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FF6DEC" w14:textId="77777777" w:rsidR="00461826" w:rsidRPr="009F6DC0" w:rsidRDefault="00461826" w:rsidP="00461826">
      <w:pPr>
        <w:jc w:val="center"/>
        <w:rPr>
          <w:rFonts w:ascii="Times New Roman" w:hAnsi="Times New Roman"/>
          <w:b/>
          <w:bCs/>
          <w:sz w:val="32"/>
          <w:szCs w:val="32"/>
        </w:rPr>
      </w:pPr>
      <w:r w:rsidRPr="009F6DC0">
        <w:rPr>
          <w:rFonts w:ascii="Times New Roman" w:hAnsi="Times New Roman"/>
          <w:b/>
          <w:bCs/>
          <w:sz w:val="32"/>
          <w:szCs w:val="32"/>
        </w:rPr>
        <w:t>An Evaluation of Mutual Fund Performance in an Emerging Economy: Evidence from Bangladesh</w:t>
      </w:r>
    </w:p>
    <w:p w14:paraId="7A0E2125" w14:textId="77777777" w:rsidR="000E1548" w:rsidRDefault="000E1548" w:rsidP="00D74016">
      <w:pPr>
        <w:rPr>
          <w:rFonts w:ascii="Times New Roman" w:hAnsi="Times New Roman" w:cs="Times New Roman"/>
          <w:b/>
          <w:bCs/>
          <w:sz w:val="28"/>
          <w:szCs w:val="28"/>
        </w:rPr>
      </w:pPr>
    </w:p>
    <w:p w14:paraId="02550EE2" w14:textId="504ECCA8" w:rsidR="00EC0FC8" w:rsidRPr="00D3720A" w:rsidRDefault="00EC0FC8" w:rsidP="00D74016">
      <w:pPr>
        <w:rPr>
          <w:rFonts w:ascii="Times New Roman" w:hAnsi="Times New Roman" w:cs="Times New Roman"/>
          <w:b/>
          <w:bCs/>
          <w:sz w:val="28"/>
          <w:szCs w:val="28"/>
        </w:rPr>
      </w:pPr>
      <w:r w:rsidRPr="00D3720A">
        <w:rPr>
          <w:rFonts w:ascii="Times New Roman" w:hAnsi="Times New Roman" w:cs="Times New Roman"/>
          <w:b/>
          <w:bCs/>
          <w:sz w:val="28"/>
          <w:szCs w:val="28"/>
        </w:rPr>
        <w:t>Abstract</w:t>
      </w:r>
    </w:p>
    <w:p w14:paraId="1428B811" w14:textId="7017BC25" w:rsidR="00EC0FC8" w:rsidRPr="00EC0FC8" w:rsidRDefault="00EC0FC8" w:rsidP="00A54CC1">
      <w:pPr>
        <w:spacing w:line="360" w:lineRule="auto"/>
        <w:jc w:val="both"/>
        <w:rPr>
          <w:rFonts w:ascii="Times New Roman" w:hAnsi="Times New Roman" w:cs="Times New Roman"/>
          <w:i/>
          <w:iCs/>
          <w:sz w:val="24"/>
          <w:szCs w:val="24"/>
        </w:rPr>
      </w:pPr>
      <w:r w:rsidRPr="00EC0FC8">
        <w:rPr>
          <w:rFonts w:ascii="Times New Roman" w:hAnsi="Times New Roman" w:cs="Times New Roman"/>
          <w:i/>
          <w:iCs/>
          <w:sz w:val="24"/>
          <w:szCs w:val="24"/>
        </w:rPr>
        <w:t>T</w:t>
      </w:r>
      <w:r w:rsidR="00166C65">
        <w:rPr>
          <w:rFonts w:ascii="Times New Roman" w:hAnsi="Times New Roman" w:cs="Times New Roman"/>
          <w:i/>
          <w:iCs/>
          <w:sz w:val="24"/>
          <w:szCs w:val="24"/>
        </w:rPr>
        <w:t>his study evaluates the relative</w:t>
      </w:r>
      <w:r w:rsidRPr="00EC0FC8">
        <w:rPr>
          <w:rFonts w:ascii="Times New Roman" w:hAnsi="Times New Roman" w:cs="Times New Roman"/>
          <w:i/>
          <w:iCs/>
          <w:sz w:val="24"/>
          <w:szCs w:val="24"/>
        </w:rPr>
        <w:t xml:space="preserve"> performance of mutual funds listed on the Dhaka Stock Exchange (DSE) over a ten-year period, from July 2014 to June 2024. Utilizing secondary data, the research examines 21 actively traded closed-end mutual funds, focusing on their risk-adjusted performance metrics. Key measures, including the Sharpe ratio, Treynor ratio, Jensen's Alpha, and Fama’s decomposition model, are employed to assess fund effectiveness relative to market benchmarks, specifically the DSEX index. Findings indicate that a significant portion of the mutual funds underperformed based on annualized return on the benchmark, with only a few demonstrating superior risk-adjusted returns.</w:t>
      </w:r>
      <w:r w:rsidR="00674148" w:rsidRPr="00674148">
        <w:t xml:space="preserve"> </w:t>
      </w:r>
      <w:r w:rsidR="00674148" w:rsidRPr="00674148">
        <w:rPr>
          <w:rFonts w:ascii="Times New Roman" w:hAnsi="Times New Roman" w:cs="Times New Roman"/>
          <w:i/>
          <w:iCs/>
          <w:sz w:val="24"/>
          <w:szCs w:val="24"/>
        </w:rPr>
        <w:t>Most funds exhibited a moderate relationship (R² ranging from 20%-40%), suggesting that their returns were not heavily dependent on systematic risk (βp). This indicates that managers were assuming a certain level of diversifiable (unsystematic) risk.</w:t>
      </w:r>
      <w:r w:rsidR="00674148">
        <w:rPr>
          <w:rFonts w:ascii="Times New Roman" w:hAnsi="Times New Roman" w:cs="Times New Roman"/>
          <w:i/>
          <w:iCs/>
          <w:sz w:val="24"/>
          <w:szCs w:val="24"/>
        </w:rPr>
        <w:t xml:space="preserve"> </w:t>
      </w:r>
      <w:r w:rsidRPr="00EC0FC8">
        <w:rPr>
          <w:rFonts w:ascii="Times New Roman" w:hAnsi="Times New Roman" w:cs="Times New Roman"/>
          <w:i/>
          <w:iCs/>
          <w:sz w:val="24"/>
          <w:szCs w:val="24"/>
        </w:rPr>
        <w:t>The analysis further reveals that fund managers' selectivity and diversification strategies play critical roles in value creation.</w:t>
      </w:r>
      <w:r w:rsidRPr="00EC0FC8">
        <w:rPr>
          <w:i/>
          <w:iCs/>
          <w:sz w:val="24"/>
          <w:szCs w:val="24"/>
        </w:rPr>
        <w:t xml:space="preserve"> </w:t>
      </w:r>
      <w:r w:rsidR="00A31753" w:rsidRPr="00EC0FC8">
        <w:rPr>
          <w:rFonts w:ascii="Times New Roman" w:hAnsi="Times New Roman" w:cs="Times New Roman"/>
          <w:i/>
          <w:iCs/>
          <w:sz w:val="24"/>
          <w:szCs w:val="24"/>
        </w:rPr>
        <w:t>All</w:t>
      </w:r>
      <w:r w:rsidRPr="00EC0FC8">
        <w:rPr>
          <w:rFonts w:ascii="Times New Roman" w:hAnsi="Times New Roman" w:cs="Times New Roman"/>
          <w:i/>
          <w:iCs/>
          <w:sz w:val="24"/>
          <w:szCs w:val="24"/>
        </w:rPr>
        <w:t xml:space="preserve"> funds exhibited negative values, indicating a deficiency in selectivity among fund managers</w:t>
      </w:r>
      <w:r w:rsidR="00CF16E2">
        <w:rPr>
          <w:rFonts w:ascii="Times New Roman" w:hAnsi="Times New Roman" w:cs="Times New Roman"/>
          <w:i/>
          <w:iCs/>
          <w:sz w:val="24"/>
          <w:szCs w:val="24"/>
        </w:rPr>
        <w:t xml:space="preserve">. </w:t>
      </w:r>
      <w:r w:rsidR="00CF16E2" w:rsidRPr="00CF16E2">
        <w:rPr>
          <w:rFonts w:ascii="Times New Roman" w:hAnsi="Times New Roman" w:cs="Times New Roman"/>
          <w:i/>
          <w:iCs/>
          <w:sz w:val="24"/>
          <w:szCs w:val="24"/>
        </w:rPr>
        <w:t xml:space="preserve">It also comes to the conclusion that, in terms of risk and return model performance, mutual funds in Bangladesh have a stronger overall position than the benchmark index during the course of the study </w:t>
      </w:r>
      <w:r w:rsidR="00461826" w:rsidRPr="00CF16E2">
        <w:rPr>
          <w:rFonts w:ascii="Times New Roman" w:hAnsi="Times New Roman" w:cs="Times New Roman"/>
          <w:i/>
          <w:iCs/>
          <w:sz w:val="24"/>
          <w:szCs w:val="24"/>
        </w:rPr>
        <w:t>period.</w:t>
      </w:r>
      <w:r w:rsidR="00461826" w:rsidRPr="00EC0FC8">
        <w:rPr>
          <w:rFonts w:ascii="Times New Roman" w:hAnsi="Times New Roman" w:cs="Times New Roman"/>
          <w:i/>
          <w:iCs/>
          <w:sz w:val="24"/>
          <w:szCs w:val="24"/>
        </w:rPr>
        <w:t xml:space="preserve"> The</w:t>
      </w:r>
      <w:r w:rsidRPr="00EC0FC8">
        <w:rPr>
          <w:rFonts w:ascii="Times New Roman" w:hAnsi="Times New Roman" w:cs="Times New Roman"/>
          <w:i/>
          <w:iCs/>
          <w:sz w:val="24"/>
          <w:szCs w:val="24"/>
        </w:rPr>
        <w:t xml:space="preserve"> findings of this study will be useful for all kinds of investors, policy makers, corporations and</w:t>
      </w:r>
      <w:r w:rsidR="00A31753">
        <w:rPr>
          <w:rFonts w:ascii="Times New Roman" w:hAnsi="Times New Roman" w:cs="Times New Roman"/>
          <w:i/>
          <w:iCs/>
          <w:sz w:val="24"/>
          <w:szCs w:val="24"/>
        </w:rPr>
        <w:t xml:space="preserve"> financial market participants.</w:t>
      </w:r>
      <w:r w:rsidR="00A26A46">
        <w:rPr>
          <w:rFonts w:ascii="Times New Roman" w:hAnsi="Times New Roman" w:cs="Times New Roman"/>
          <w:i/>
          <w:iCs/>
          <w:sz w:val="24"/>
          <w:szCs w:val="24"/>
        </w:rPr>
        <w:t xml:space="preserve"> </w:t>
      </w:r>
      <w:r w:rsidR="00A31753" w:rsidRPr="00EC0FC8">
        <w:rPr>
          <w:rFonts w:ascii="Times New Roman" w:hAnsi="Times New Roman" w:cs="Times New Roman"/>
          <w:i/>
          <w:iCs/>
          <w:sz w:val="24"/>
          <w:szCs w:val="24"/>
        </w:rPr>
        <w:t>Therefore</w:t>
      </w:r>
      <w:r w:rsidRPr="00EC0FC8">
        <w:rPr>
          <w:rFonts w:ascii="Times New Roman" w:hAnsi="Times New Roman" w:cs="Times New Roman"/>
          <w:i/>
          <w:iCs/>
          <w:sz w:val="24"/>
          <w:szCs w:val="24"/>
        </w:rPr>
        <w:t>, this study aspires to offer practical utility by serving as a reference point for prospective investors, furnishing valuable insights to aid in informed decision-making within the dynamic landscape of the stock market.</w:t>
      </w:r>
    </w:p>
    <w:p w14:paraId="5E4BF706" w14:textId="158D8275" w:rsidR="00D44235" w:rsidRPr="006323DB" w:rsidRDefault="001E1399" w:rsidP="00A54CC1">
      <w:pPr>
        <w:spacing w:line="360" w:lineRule="auto"/>
        <w:jc w:val="both"/>
        <w:rPr>
          <w:rFonts w:ascii="Times New Roman" w:hAnsi="Times New Roman" w:cs="Times New Roman"/>
          <w:i/>
          <w:iCs/>
        </w:rPr>
      </w:pPr>
      <w:r w:rsidRPr="006323DB">
        <w:rPr>
          <w:rFonts w:ascii="Times New Roman" w:hAnsi="Times New Roman" w:cs="Times New Roman"/>
          <w:b/>
          <w:bCs/>
          <w:i/>
          <w:iCs/>
        </w:rPr>
        <w:t xml:space="preserve">Keywords: </w:t>
      </w:r>
      <w:r w:rsidRPr="006323DB">
        <w:rPr>
          <w:rFonts w:ascii="Times New Roman" w:hAnsi="Times New Roman" w:cs="Times New Roman"/>
          <w:i/>
          <w:iCs/>
        </w:rPr>
        <w:t>Mutual Fund,</w:t>
      </w:r>
      <w:r w:rsidRPr="006323DB">
        <w:rPr>
          <w:i/>
          <w:iCs/>
        </w:rPr>
        <w:t xml:space="preserve"> </w:t>
      </w:r>
      <w:r w:rsidR="00E572C9" w:rsidRPr="006323DB">
        <w:rPr>
          <w:rFonts w:ascii="Times New Roman" w:hAnsi="Times New Roman" w:cs="Times New Roman"/>
          <w:i/>
          <w:iCs/>
        </w:rPr>
        <w:t>Risk-R</w:t>
      </w:r>
      <w:r w:rsidRPr="006323DB">
        <w:rPr>
          <w:rFonts w:ascii="Times New Roman" w:hAnsi="Times New Roman" w:cs="Times New Roman"/>
          <w:i/>
          <w:iCs/>
        </w:rPr>
        <w:t>eturn Analysis, Unsystematic Risk, Systematic Risk,</w:t>
      </w:r>
      <w:r w:rsidRPr="006323DB">
        <w:rPr>
          <w:rFonts w:ascii="MinionPro-Regular" w:hAnsi="MinionPro-Regular" w:cs="MinionPro-Regular"/>
          <w:i/>
          <w:iCs/>
          <w:kern w:val="0"/>
          <w:sz w:val="18"/>
          <w:szCs w:val="18"/>
        </w:rPr>
        <w:t xml:space="preserve"> </w:t>
      </w:r>
      <w:r w:rsidRPr="006323DB">
        <w:rPr>
          <w:rFonts w:ascii="Times New Roman" w:hAnsi="Times New Roman" w:cs="Times New Roman"/>
          <w:i/>
          <w:iCs/>
        </w:rPr>
        <w:t>CAPM, Sharpe ratio, Treynor</w:t>
      </w:r>
      <w:r w:rsidR="0022201C" w:rsidRPr="006323DB">
        <w:rPr>
          <w:rFonts w:ascii="Times New Roman" w:hAnsi="Times New Roman" w:cs="Times New Roman"/>
          <w:i/>
          <w:iCs/>
        </w:rPr>
        <w:t xml:space="preserve"> ratio, Jensen ratio, R-squared</w:t>
      </w:r>
      <w:r w:rsidRPr="006323DB">
        <w:rPr>
          <w:rFonts w:ascii="Times New Roman" w:hAnsi="Times New Roman" w:cs="Times New Roman"/>
          <w:i/>
          <w:iCs/>
        </w:rPr>
        <w:t>, Fama Decomposition Model.</w:t>
      </w:r>
    </w:p>
    <w:p w14:paraId="744125D3" w14:textId="77777777" w:rsidR="00EC0FC8" w:rsidRDefault="00EC0FC8">
      <w:pPr>
        <w:rPr>
          <w:rFonts w:ascii="Times New Roman" w:hAnsi="Times New Roman" w:cs="Times New Roman"/>
          <w:sz w:val="24"/>
          <w:szCs w:val="24"/>
        </w:rPr>
      </w:pPr>
    </w:p>
    <w:p w14:paraId="7CA63111" w14:textId="77777777" w:rsidR="00A54CC1" w:rsidRDefault="00A54CC1" w:rsidP="00A54CC1">
      <w:pPr>
        <w:spacing w:line="360" w:lineRule="auto"/>
        <w:rPr>
          <w:rFonts w:ascii="Times New Roman" w:hAnsi="Times New Roman" w:cs="Times New Roman"/>
          <w:b/>
          <w:bCs/>
          <w:sz w:val="24"/>
          <w:szCs w:val="24"/>
        </w:rPr>
      </w:pPr>
    </w:p>
    <w:p w14:paraId="0325D6E5" w14:textId="77777777" w:rsidR="000E1548" w:rsidRDefault="000E1548" w:rsidP="00A54CC1">
      <w:pPr>
        <w:spacing w:line="360" w:lineRule="auto"/>
        <w:rPr>
          <w:rFonts w:ascii="Times New Roman" w:hAnsi="Times New Roman" w:cs="Times New Roman"/>
          <w:b/>
          <w:bCs/>
          <w:sz w:val="24"/>
          <w:szCs w:val="24"/>
        </w:rPr>
      </w:pPr>
    </w:p>
    <w:p w14:paraId="6383BF4D" w14:textId="77777777" w:rsidR="000E1548" w:rsidRDefault="000E1548" w:rsidP="00A54CC1">
      <w:pPr>
        <w:spacing w:line="360" w:lineRule="auto"/>
        <w:rPr>
          <w:rFonts w:ascii="Times New Roman" w:hAnsi="Times New Roman" w:cs="Times New Roman"/>
          <w:b/>
          <w:bCs/>
          <w:sz w:val="24"/>
          <w:szCs w:val="24"/>
        </w:rPr>
      </w:pPr>
    </w:p>
    <w:p w14:paraId="00F0647D" w14:textId="0741A6BC" w:rsidR="00F713D1" w:rsidRPr="0030335A" w:rsidRDefault="00F713D1" w:rsidP="00A54CC1">
      <w:pPr>
        <w:spacing w:line="360" w:lineRule="auto"/>
        <w:rPr>
          <w:rFonts w:ascii="Times New Roman" w:hAnsi="Times New Roman" w:cs="Times New Roman"/>
          <w:b/>
          <w:bCs/>
          <w:sz w:val="28"/>
          <w:szCs w:val="28"/>
        </w:rPr>
      </w:pPr>
      <w:r w:rsidRPr="0030335A">
        <w:rPr>
          <w:rFonts w:ascii="Times New Roman" w:hAnsi="Times New Roman" w:cs="Times New Roman"/>
          <w:b/>
          <w:bCs/>
          <w:sz w:val="28"/>
          <w:szCs w:val="28"/>
        </w:rPr>
        <w:lastRenderedPageBreak/>
        <w:t>Introduction</w:t>
      </w:r>
    </w:p>
    <w:p w14:paraId="71555D96" w14:textId="4A525F27" w:rsidR="00F713D1" w:rsidRPr="00F713D1" w:rsidRDefault="00F713D1" w:rsidP="00A54CC1">
      <w:pPr>
        <w:spacing w:line="360" w:lineRule="auto"/>
        <w:jc w:val="both"/>
        <w:rPr>
          <w:rFonts w:ascii="Times New Roman" w:hAnsi="Times New Roman" w:cs="Times New Roman"/>
          <w:sz w:val="24"/>
          <w:szCs w:val="24"/>
        </w:rPr>
      </w:pPr>
      <w:r w:rsidRPr="00F713D1">
        <w:rPr>
          <w:rFonts w:ascii="Times New Roman" w:hAnsi="Times New Roman" w:cs="Times New Roman"/>
          <w:sz w:val="24"/>
          <w:szCs w:val="24"/>
        </w:rPr>
        <w:t>Mutual funds have become increasingly popular in Bangladesh, particularly within the framework of the Dhaka Stock Exchange (DSE). Serving as an attractive investment option, mutual funds enable both individual and institutional investors to pool their resources, gaining access to a diversified portfolio of assets that are managed by professional fund managers. This collective investment approach not only reduces individual investment risk but also increases the potential for returns in the rapidly growing Bangladeshi market.</w:t>
      </w:r>
      <w:r>
        <w:rPr>
          <w:rFonts w:ascii="Times New Roman" w:hAnsi="Times New Roman" w:cs="Times New Roman"/>
          <w:sz w:val="24"/>
          <w:szCs w:val="24"/>
        </w:rPr>
        <w:t xml:space="preserve"> </w:t>
      </w:r>
      <w:r w:rsidRPr="00F713D1">
        <w:rPr>
          <w:rFonts w:ascii="Times New Roman" w:hAnsi="Times New Roman" w:cs="Times New Roman"/>
          <w:sz w:val="24"/>
          <w:szCs w:val="24"/>
        </w:rPr>
        <w:t>Effective portfolio management is crucial for investment success, especially in emerging markets like Bangladesh, where unique economic dynamics and market structures present distinct challenges and opportunities. As Bangladesh's financial landscape evolves—driven by regulatory changes, technological advancements, and rising foreign investment—it's essential for both individual and institutional investors to comprehend the performance of portfolio managers.</w:t>
      </w:r>
    </w:p>
    <w:p w14:paraId="3C22E6DC" w14:textId="5D7108DB" w:rsidR="00CF16E2" w:rsidRPr="00CF16E2" w:rsidRDefault="00CF16E2" w:rsidP="00A54CC1">
      <w:pPr>
        <w:spacing w:line="360" w:lineRule="auto"/>
        <w:jc w:val="both"/>
        <w:rPr>
          <w:rFonts w:ascii="Times New Roman" w:hAnsi="Times New Roman" w:cs="Times New Roman"/>
          <w:sz w:val="24"/>
          <w:szCs w:val="24"/>
        </w:rPr>
      </w:pPr>
      <w:r w:rsidRPr="00CF16E2">
        <w:rPr>
          <w:rFonts w:ascii="Times New Roman" w:hAnsi="Times New Roman" w:cs="Times New Roman"/>
          <w:sz w:val="24"/>
          <w:szCs w:val="24"/>
        </w:rPr>
        <w:t>The performance of mutual funds may be measured using a variety of numerical indicators that have been created in the literature and are often used in practice. Well-known measures that evaluate the predicted returns of mutual funds in proportion to their risks include the Treynor ratio (1965) and the Sharpe ratio (1966). These risk characteristics are specifically included in the portfolio assessment model used in this work, which builds on previous theoretical developments about capital asset pricing under uncertainty by Sharpe (1964) and Lintner (1965).</w:t>
      </w:r>
      <w:r w:rsidRPr="00CF16E2">
        <w:rPr>
          <w:rFonts w:ascii="Times New Roman" w:eastAsia="Times New Roman" w:hAnsi="Times New Roman" w:cs="Times New Roman"/>
          <w:kern w:val="0"/>
          <w:sz w:val="24"/>
          <w:szCs w:val="24"/>
          <w14:ligatures w14:val="none"/>
        </w:rPr>
        <w:t xml:space="preserve"> </w:t>
      </w:r>
      <w:r w:rsidRPr="00CF16E2">
        <w:rPr>
          <w:rFonts w:ascii="Times New Roman" w:hAnsi="Times New Roman" w:cs="Times New Roman"/>
          <w:sz w:val="24"/>
          <w:szCs w:val="24"/>
        </w:rPr>
        <w:t>An essential part of investment management is assessing portfolio performance, which provides information about how well investment strategies work and how well portfolio managers can generate returns in relation to risk. Without the complexity of relative benchmarks, evaluating portfolio performance using absolute measurements in the context of the DSE, one of South Asia's top equities markets, offers a clearer grasp of real gains or losses.</w:t>
      </w:r>
    </w:p>
    <w:p w14:paraId="630B7CB7" w14:textId="71104302" w:rsidR="00F713D1" w:rsidRDefault="00F713D1" w:rsidP="00A54CC1">
      <w:pPr>
        <w:spacing w:line="360" w:lineRule="auto"/>
        <w:jc w:val="both"/>
        <w:rPr>
          <w:rFonts w:ascii="Times New Roman" w:hAnsi="Times New Roman" w:cs="Times New Roman"/>
          <w:sz w:val="24"/>
          <w:szCs w:val="24"/>
        </w:rPr>
      </w:pPr>
      <w:r w:rsidRPr="00F713D1">
        <w:rPr>
          <w:rFonts w:ascii="Times New Roman" w:hAnsi="Times New Roman" w:cs="Times New Roman"/>
          <w:sz w:val="24"/>
          <w:szCs w:val="24"/>
        </w:rPr>
        <w:t>This paper concentrates on the absolute measure of portfolio performance evaluation within the DSE, aiming to deliver a thorough analysis of portfolio performance in terms of total returns, risk-adjusted returns, and the influence of market conditions. As Bangladesh’s economy continues to expand, grasping the performance dynamics of investments in the DSE becomes increasingly vital for individual and institutional investors alike.</w:t>
      </w:r>
      <w:r w:rsidR="0043618D">
        <w:rPr>
          <w:rFonts w:ascii="Times New Roman" w:hAnsi="Times New Roman" w:cs="Times New Roman"/>
          <w:sz w:val="24"/>
          <w:szCs w:val="24"/>
        </w:rPr>
        <w:t xml:space="preserve"> </w:t>
      </w:r>
      <w:r w:rsidRPr="00F713D1">
        <w:rPr>
          <w:rFonts w:ascii="Times New Roman" w:hAnsi="Times New Roman" w:cs="Times New Roman"/>
          <w:sz w:val="24"/>
          <w:szCs w:val="24"/>
        </w:rPr>
        <w:t xml:space="preserve">By utilizing absolute performance metrics, including the Sharpe ratio, Jensen's alpha, and the Treynor ratio, this study aims to shed light on the effectiveness of various investment strategies in the DSE. Additionally, it will examine the </w:t>
      </w:r>
      <w:r w:rsidRPr="00F713D1">
        <w:rPr>
          <w:rFonts w:ascii="Times New Roman" w:hAnsi="Times New Roman" w:cs="Times New Roman"/>
          <w:sz w:val="24"/>
          <w:szCs w:val="24"/>
        </w:rPr>
        <w:lastRenderedPageBreak/>
        <w:t>implications of these performance measures for portfolio management practices and investment decision-making in a changing market environment. Through this analysis, the paper aspires to provide valuable insights that can enhance investment strategies and foster greater confidence in the DSE as a promising investment destination.</w:t>
      </w:r>
    </w:p>
    <w:p w14:paraId="77D0BF28" w14:textId="77777777" w:rsidR="00F713D1" w:rsidRDefault="00F713D1" w:rsidP="00F713D1">
      <w:pPr>
        <w:jc w:val="both"/>
        <w:rPr>
          <w:rFonts w:ascii="Times New Roman" w:hAnsi="Times New Roman" w:cs="Times New Roman"/>
          <w:sz w:val="24"/>
          <w:szCs w:val="24"/>
        </w:rPr>
      </w:pPr>
    </w:p>
    <w:p w14:paraId="0303D0F7" w14:textId="77777777" w:rsidR="00F713D1" w:rsidRPr="002569CF" w:rsidRDefault="00F713D1" w:rsidP="00A54CC1">
      <w:pPr>
        <w:spacing w:line="360" w:lineRule="auto"/>
        <w:jc w:val="both"/>
        <w:rPr>
          <w:rFonts w:ascii="Times New Roman" w:hAnsi="Times New Roman" w:cs="Times New Roman"/>
          <w:b/>
          <w:bCs/>
          <w:sz w:val="28"/>
          <w:szCs w:val="28"/>
        </w:rPr>
      </w:pPr>
      <w:r w:rsidRPr="002569CF">
        <w:rPr>
          <w:rFonts w:ascii="Times New Roman" w:hAnsi="Times New Roman" w:cs="Times New Roman"/>
          <w:b/>
          <w:bCs/>
          <w:sz w:val="28"/>
          <w:szCs w:val="28"/>
        </w:rPr>
        <w:t>Literature Review</w:t>
      </w:r>
    </w:p>
    <w:p w14:paraId="4F71FBD6" w14:textId="4B6B916B" w:rsidR="00CF16E2" w:rsidRPr="00CF16E2" w:rsidRDefault="00CF16E2" w:rsidP="00A54CC1">
      <w:pPr>
        <w:spacing w:line="360" w:lineRule="auto"/>
        <w:jc w:val="both"/>
        <w:rPr>
          <w:rFonts w:ascii="Times New Roman" w:hAnsi="Times New Roman" w:cs="Times New Roman"/>
          <w:sz w:val="24"/>
          <w:szCs w:val="24"/>
        </w:rPr>
      </w:pPr>
      <w:r w:rsidRPr="00CF16E2">
        <w:rPr>
          <w:rFonts w:ascii="Times New Roman" w:hAnsi="Times New Roman" w:cs="Times New Roman"/>
          <w:sz w:val="24"/>
          <w:szCs w:val="24"/>
        </w:rPr>
        <w:t>Evaluating fund managers' performance has become a critical subject for practitioners and scholars alike as mutual funds continue to gain popularity. Around the world, a great deal of research has been done to evaluate the performance of managed portfolios, with an emphasis on finding the best fund managers.</w:t>
      </w:r>
      <w:r w:rsidR="007D6B9F">
        <w:rPr>
          <w:rFonts w:ascii="Times New Roman" w:hAnsi="Times New Roman" w:cs="Times New Roman"/>
          <w:sz w:val="24"/>
          <w:szCs w:val="24"/>
        </w:rPr>
        <w:t xml:space="preserve"> </w:t>
      </w:r>
      <w:r w:rsidRPr="00CF16E2">
        <w:rPr>
          <w:rFonts w:ascii="Times New Roman" w:hAnsi="Times New Roman" w:cs="Times New Roman"/>
          <w:sz w:val="24"/>
          <w:szCs w:val="24"/>
        </w:rPr>
        <w:t>Evans et al. (2024) investigated the connection between team diversity and asset management effectiveness, with a particular emphasis on political ideology as a crucial identity feature. According to their results, diverse teams often perform better than homogenous ones because multiple viewpoints improve decision-making and team members watch the team more closely. Nevertheless, these advantages are lessened in highly politicized settings, which increases intrateam strife. According to the report, there is a dearth of managers with a variety of ideologies in the local labor market, and established managers frequently choose uniform teams.</w:t>
      </w:r>
    </w:p>
    <w:p w14:paraId="388BE8E4" w14:textId="7DBD7E3A" w:rsidR="00CF16E2" w:rsidRPr="00CF16E2" w:rsidRDefault="00CF16E2" w:rsidP="00A54CC1">
      <w:pPr>
        <w:spacing w:line="360" w:lineRule="auto"/>
        <w:jc w:val="both"/>
        <w:rPr>
          <w:rFonts w:ascii="Times New Roman" w:hAnsi="Times New Roman" w:cs="Times New Roman"/>
          <w:sz w:val="24"/>
          <w:szCs w:val="24"/>
        </w:rPr>
      </w:pPr>
      <w:r w:rsidRPr="00CF16E2">
        <w:rPr>
          <w:rFonts w:ascii="Times New Roman" w:hAnsi="Times New Roman" w:cs="Times New Roman"/>
          <w:sz w:val="24"/>
          <w:szCs w:val="24"/>
        </w:rPr>
        <w:t xml:space="preserve">According to research by </w:t>
      </w:r>
      <w:proofErr w:type="spellStart"/>
      <w:r w:rsidRPr="00CF16E2">
        <w:rPr>
          <w:rFonts w:ascii="Times New Roman" w:hAnsi="Times New Roman" w:cs="Times New Roman"/>
          <w:sz w:val="24"/>
          <w:szCs w:val="24"/>
        </w:rPr>
        <w:t>Alsubaiei</w:t>
      </w:r>
      <w:proofErr w:type="spellEnd"/>
      <w:r w:rsidRPr="00CF16E2">
        <w:rPr>
          <w:rFonts w:ascii="Times New Roman" w:hAnsi="Times New Roman" w:cs="Times New Roman"/>
          <w:sz w:val="24"/>
          <w:szCs w:val="24"/>
        </w:rPr>
        <w:t xml:space="preserve"> et al. (2024), mutual fund performance is severely impacted by oil market volatility. Regardless of the volatility and performance indicators they employed in their investigation, this detrimental effect persisted. Furthermore, their findings indicated that increased oil volatility impairs fund managers' ability to choose stocks.</w:t>
      </w:r>
      <w:r w:rsidR="007D6B9F">
        <w:rPr>
          <w:rFonts w:ascii="Times New Roman" w:hAnsi="Times New Roman" w:cs="Times New Roman"/>
          <w:sz w:val="24"/>
          <w:szCs w:val="24"/>
        </w:rPr>
        <w:t xml:space="preserve"> </w:t>
      </w:r>
      <w:r w:rsidRPr="00CF16E2">
        <w:rPr>
          <w:rFonts w:ascii="Times New Roman" w:hAnsi="Times New Roman" w:cs="Times New Roman"/>
          <w:sz w:val="24"/>
          <w:szCs w:val="24"/>
        </w:rPr>
        <w:t>Reducing investment limits does not always improve fund performance, according to Han et al.'s (2024) analysis of mutual fund performance as they raised their holdings of H-shares. Information asymmetry and fund managers' restricted access to H-share information are major causes of this underperformance, which forces them to use investor-pleasing tactics.</w:t>
      </w:r>
    </w:p>
    <w:p w14:paraId="5BF01FE7" w14:textId="0C7B6E34" w:rsidR="00CF16E2" w:rsidRPr="00CF16E2" w:rsidRDefault="00CF16E2" w:rsidP="00A54CC1">
      <w:pPr>
        <w:spacing w:line="360" w:lineRule="auto"/>
        <w:jc w:val="both"/>
        <w:rPr>
          <w:rFonts w:ascii="Times New Roman" w:hAnsi="Times New Roman" w:cs="Times New Roman"/>
          <w:sz w:val="24"/>
          <w:szCs w:val="24"/>
        </w:rPr>
      </w:pPr>
      <w:r w:rsidRPr="00CF16E2">
        <w:rPr>
          <w:rFonts w:ascii="Times New Roman" w:hAnsi="Times New Roman" w:cs="Times New Roman"/>
          <w:sz w:val="24"/>
          <w:szCs w:val="24"/>
        </w:rPr>
        <w:t>Tan et al. (2024) looked at how mutual fund efficiency during the COVID-19 pandemic was affected by Environmental, Social, and Governance (ESG) performance. Through the use of hypothesis testing and Data Envelopment Analysis (DEA), they discovered that mutual funds with lower ESG controversy scores fared better than those with higher controversy scores, suggesting increased</w:t>
      </w:r>
      <w:r w:rsidR="00DD594B">
        <w:rPr>
          <w:rFonts w:ascii="Times New Roman" w:hAnsi="Times New Roman" w:cs="Times New Roman"/>
          <w:sz w:val="24"/>
          <w:szCs w:val="24"/>
        </w:rPr>
        <w:t>.</w:t>
      </w:r>
      <w:r w:rsidRPr="00CF16E2">
        <w:rPr>
          <w:rFonts w:ascii="Times New Roman" w:hAnsi="Times New Roman" w:cs="Times New Roman"/>
          <w:sz w:val="24"/>
          <w:szCs w:val="24"/>
        </w:rPr>
        <w:t xml:space="preserve"> As the measuring horizon lengthens, the proportion of U.S. stock mutual funds that beat </w:t>
      </w:r>
      <w:r w:rsidRPr="00CF16E2">
        <w:rPr>
          <w:rFonts w:ascii="Times New Roman" w:hAnsi="Times New Roman" w:cs="Times New Roman"/>
          <w:sz w:val="24"/>
          <w:szCs w:val="24"/>
        </w:rPr>
        <w:lastRenderedPageBreak/>
        <w:t xml:space="preserve">the SPY ETF drastically decreases, according to </w:t>
      </w:r>
      <w:proofErr w:type="spellStart"/>
      <w:r w:rsidRPr="00CF16E2">
        <w:rPr>
          <w:rFonts w:ascii="Times New Roman" w:hAnsi="Times New Roman" w:cs="Times New Roman"/>
          <w:sz w:val="24"/>
          <w:szCs w:val="24"/>
        </w:rPr>
        <w:t>Bessembinder</w:t>
      </w:r>
      <w:proofErr w:type="spellEnd"/>
      <w:r w:rsidRPr="00CF16E2">
        <w:rPr>
          <w:rFonts w:ascii="Times New Roman" w:hAnsi="Times New Roman" w:cs="Times New Roman"/>
          <w:sz w:val="24"/>
          <w:szCs w:val="24"/>
        </w:rPr>
        <w:t xml:space="preserve"> et al. (2023). According to their findings, several funds with positive monthly alpha estimates had negative long-term anomalous returns, indicating that fund return distributions have a positive skewness that rises with investment horizon.</w:t>
      </w:r>
    </w:p>
    <w:p w14:paraId="26519B6C" w14:textId="67631FD5" w:rsidR="00CF16E2" w:rsidRPr="00CF16E2" w:rsidRDefault="00CF16E2" w:rsidP="00A54CC1">
      <w:pPr>
        <w:spacing w:line="360" w:lineRule="auto"/>
        <w:jc w:val="both"/>
        <w:rPr>
          <w:rFonts w:ascii="Times New Roman" w:hAnsi="Times New Roman" w:cs="Times New Roman"/>
          <w:sz w:val="24"/>
          <w:szCs w:val="24"/>
        </w:rPr>
      </w:pPr>
      <w:r w:rsidRPr="00CF16E2">
        <w:rPr>
          <w:rFonts w:ascii="Times New Roman" w:hAnsi="Times New Roman" w:cs="Times New Roman"/>
          <w:sz w:val="24"/>
          <w:szCs w:val="24"/>
        </w:rPr>
        <w:t>The connection between fund performance and fund manager attributes has been the subject of several research. In contrast to their male colleagues, female fund managers often earn greater double-adjusted alphas, a difference that holds true over a number of months, according to Lin et al. (2023). The fact that managers' tenure and educational attainment had no statistically significant effects on alpha values is intriguing and raises the possibility that conventional alpha measurements might provide inaccurate results.</w:t>
      </w:r>
      <w:r w:rsidR="00697586">
        <w:rPr>
          <w:rFonts w:ascii="Times New Roman" w:hAnsi="Times New Roman" w:cs="Times New Roman"/>
          <w:sz w:val="24"/>
          <w:szCs w:val="24"/>
        </w:rPr>
        <w:t xml:space="preserve"> </w:t>
      </w:r>
      <w:r w:rsidRPr="00CF16E2">
        <w:rPr>
          <w:rFonts w:ascii="Times New Roman" w:hAnsi="Times New Roman" w:cs="Times New Roman"/>
          <w:sz w:val="24"/>
          <w:szCs w:val="24"/>
        </w:rPr>
        <w:t>Guo et al. (2022) talked about divesting from fossil fuels as a way to help push energy toward greener sources. Their findings showed no discernible difference in risk-adjusted returns between investments in fossil fuels and their alternatives, suggesting that investors may switch to low-carbon companies without compromising their investing goals.</w:t>
      </w:r>
    </w:p>
    <w:p w14:paraId="417071D1" w14:textId="56E21F09" w:rsidR="00CF16E2" w:rsidRPr="00CF16E2" w:rsidRDefault="00CF16E2" w:rsidP="00A54CC1">
      <w:pPr>
        <w:spacing w:line="360" w:lineRule="auto"/>
        <w:jc w:val="both"/>
        <w:rPr>
          <w:rFonts w:ascii="Times New Roman" w:hAnsi="Times New Roman" w:cs="Times New Roman"/>
          <w:sz w:val="24"/>
          <w:szCs w:val="24"/>
        </w:rPr>
      </w:pPr>
      <w:r w:rsidRPr="00CF16E2">
        <w:rPr>
          <w:rFonts w:ascii="Times New Roman" w:hAnsi="Times New Roman" w:cs="Times New Roman"/>
          <w:sz w:val="24"/>
          <w:szCs w:val="24"/>
        </w:rPr>
        <w:t>Pant et al. (2022) looked at how Nepali mutual fund performance was impacted by both macroeconomic and internal variables. Fund age had a beneficial effect on performance, while cash ratios, expense ratios, and economic indicators had a negative effect, according to their study.</w:t>
      </w:r>
      <w:r w:rsidR="00697586">
        <w:rPr>
          <w:rFonts w:ascii="Times New Roman" w:hAnsi="Times New Roman" w:cs="Times New Roman"/>
          <w:sz w:val="24"/>
          <w:szCs w:val="24"/>
        </w:rPr>
        <w:t xml:space="preserve"> </w:t>
      </w:r>
      <w:r w:rsidRPr="00CF16E2">
        <w:rPr>
          <w:rFonts w:ascii="Times New Roman" w:hAnsi="Times New Roman" w:cs="Times New Roman"/>
          <w:sz w:val="24"/>
          <w:szCs w:val="24"/>
        </w:rPr>
        <w:t xml:space="preserve">In response to the increased interest of investors in ESG, Sadeghi </w:t>
      </w:r>
      <w:proofErr w:type="spellStart"/>
      <w:r w:rsidRPr="00CF16E2">
        <w:rPr>
          <w:rFonts w:ascii="Times New Roman" w:hAnsi="Times New Roman" w:cs="Times New Roman"/>
          <w:sz w:val="24"/>
          <w:szCs w:val="24"/>
        </w:rPr>
        <w:t>Goghari</w:t>
      </w:r>
      <w:proofErr w:type="spellEnd"/>
      <w:r w:rsidRPr="00CF16E2">
        <w:rPr>
          <w:rFonts w:ascii="Times New Roman" w:hAnsi="Times New Roman" w:cs="Times New Roman"/>
          <w:sz w:val="24"/>
          <w:szCs w:val="24"/>
        </w:rPr>
        <w:t xml:space="preserve"> et al. (2020) investigated whether mutual funds that invest in ESG-compliant assets perform better than those that do not. In fact, funds with higher ESG ratings did better than those with lower ratings, according to their analysis on European mutual funds.</w:t>
      </w:r>
      <w:r w:rsidR="00697586">
        <w:rPr>
          <w:rFonts w:ascii="Times New Roman" w:hAnsi="Times New Roman" w:cs="Times New Roman"/>
          <w:sz w:val="24"/>
          <w:szCs w:val="24"/>
        </w:rPr>
        <w:t xml:space="preserve"> </w:t>
      </w:r>
      <w:r w:rsidRPr="00CF16E2">
        <w:rPr>
          <w:rFonts w:ascii="Times New Roman" w:hAnsi="Times New Roman" w:cs="Times New Roman"/>
          <w:sz w:val="24"/>
          <w:szCs w:val="24"/>
        </w:rPr>
        <w:t>Biplob (2017) examined the performance of 15 closed-end mutual funds in Bangladesh and found that nine of them were successfully lowering unique risk and were well-diversified. Although a reasonable degree of selectivity was noted, the study did not find any statistically significant timing skill among fund managers.</w:t>
      </w:r>
    </w:p>
    <w:p w14:paraId="72CEE73D" w14:textId="53F3E4F2" w:rsidR="00CF16E2" w:rsidRPr="00CF16E2" w:rsidRDefault="00CF16E2" w:rsidP="00A54CC1">
      <w:pPr>
        <w:spacing w:line="360" w:lineRule="auto"/>
        <w:jc w:val="both"/>
        <w:rPr>
          <w:rFonts w:ascii="Times New Roman" w:hAnsi="Times New Roman" w:cs="Times New Roman"/>
          <w:sz w:val="24"/>
          <w:szCs w:val="24"/>
        </w:rPr>
      </w:pPr>
      <w:r w:rsidRPr="00CF16E2">
        <w:rPr>
          <w:rFonts w:ascii="Times New Roman" w:hAnsi="Times New Roman" w:cs="Times New Roman"/>
          <w:sz w:val="24"/>
          <w:szCs w:val="24"/>
        </w:rPr>
        <w:t xml:space="preserve">Sharma (2016) evaluated the net selectivity performance of 30 firms between April 2010 and March 2015 using the Fama decomposition model and found that the majority had superior stock selection and positive net selectivity. Using a variety of performance metrics, </w:t>
      </w:r>
      <w:proofErr w:type="spellStart"/>
      <w:r w:rsidRPr="00CF16E2">
        <w:rPr>
          <w:rFonts w:ascii="Times New Roman" w:hAnsi="Times New Roman" w:cs="Times New Roman"/>
          <w:sz w:val="24"/>
          <w:szCs w:val="24"/>
        </w:rPr>
        <w:t>Seddeke</w:t>
      </w:r>
      <w:proofErr w:type="spellEnd"/>
      <w:r w:rsidRPr="00CF16E2">
        <w:rPr>
          <w:rFonts w:ascii="Times New Roman" w:hAnsi="Times New Roman" w:cs="Times New Roman"/>
          <w:sz w:val="24"/>
          <w:szCs w:val="24"/>
        </w:rPr>
        <w:t xml:space="preserve"> &amp; Rahman (2016) investigated the performance of mutual funds in Bangladesh and discovered that all of them had negative net selectivity, a sign of inadequate stock selection and diversification.</w:t>
      </w:r>
      <w:r w:rsidR="00697586">
        <w:rPr>
          <w:rFonts w:ascii="Times New Roman" w:hAnsi="Times New Roman" w:cs="Times New Roman"/>
          <w:sz w:val="24"/>
          <w:szCs w:val="24"/>
        </w:rPr>
        <w:t xml:space="preserve"> </w:t>
      </w:r>
      <w:r w:rsidRPr="00CF16E2">
        <w:rPr>
          <w:rFonts w:ascii="Times New Roman" w:hAnsi="Times New Roman" w:cs="Times New Roman"/>
          <w:sz w:val="24"/>
          <w:szCs w:val="24"/>
        </w:rPr>
        <w:t xml:space="preserve">According to Arslan et al. (2015), who assessed mutual fund performance in Pakistan between 2010 and 2013, </w:t>
      </w:r>
      <w:r w:rsidRPr="00CF16E2">
        <w:rPr>
          <w:rFonts w:ascii="Times New Roman" w:hAnsi="Times New Roman" w:cs="Times New Roman"/>
          <w:sz w:val="24"/>
          <w:szCs w:val="24"/>
        </w:rPr>
        <w:lastRenderedPageBreak/>
        <w:t>the majority of schemes underperformed as a result of poor stock selection and insufficient management expertise.32 mutual funds in Bangladesh were evaluated by ACMA (2014), which discovered that several of them produced anomalous returns when compared to market benchmarks. The results of previous research on risk-adjusted performance metrics, including Treynor, Jensen, and Sharpe ratios, are consistent with this analysis.</w:t>
      </w:r>
    </w:p>
    <w:p w14:paraId="72506AC4" w14:textId="36C0972C" w:rsidR="00F713D1" w:rsidRDefault="00CF16E2" w:rsidP="00A54CC1">
      <w:pPr>
        <w:spacing w:line="360" w:lineRule="auto"/>
        <w:jc w:val="both"/>
        <w:rPr>
          <w:rFonts w:ascii="Times New Roman" w:hAnsi="Times New Roman" w:cs="Times New Roman"/>
          <w:sz w:val="24"/>
          <w:szCs w:val="24"/>
        </w:rPr>
      </w:pPr>
      <w:r w:rsidRPr="00CF16E2">
        <w:rPr>
          <w:rFonts w:ascii="Times New Roman" w:hAnsi="Times New Roman" w:cs="Times New Roman"/>
          <w:sz w:val="24"/>
          <w:szCs w:val="24"/>
        </w:rPr>
        <w:t xml:space="preserve">According to risk-return models, </w:t>
      </w:r>
      <w:proofErr w:type="spellStart"/>
      <w:r w:rsidRPr="00CF16E2">
        <w:rPr>
          <w:rFonts w:ascii="Times New Roman" w:hAnsi="Times New Roman" w:cs="Times New Roman"/>
          <w:sz w:val="24"/>
          <w:szCs w:val="24"/>
        </w:rPr>
        <w:t>Lohana</w:t>
      </w:r>
      <w:proofErr w:type="spellEnd"/>
      <w:r w:rsidRPr="00CF16E2">
        <w:rPr>
          <w:rFonts w:ascii="Times New Roman" w:hAnsi="Times New Roman" w:cs="Times New Roman"/>
          <w:sz w:val="24"/>
          <w:szCs w:val="24"/>
        </w:rPr>
        <w:t xml:space="preserve"> (2013) looked at a few Indian mutual funds and discovered that, although all of the funds beat market index returns, the gains were not significant. Using a variety of performance criteria, Prajapati &amp; Patel (2012) also examined Indian mutual fund schemes and found that the majority of them had positive returns from 2007 to 2011.</w:t>
      </w:r>
      <w:r w:rsidR="00697586">
        <w:rPr>
          <w:rFonts w:ascii="Times New Roman" w:hAnsi="Times New Roman" w:cs="Times New Roman"/>
          <w:sz w:val="24"/>
          <w:szCs w:val="24"/>
        </w:rPr>
        <w:t xml:space="preserve"> </w:t>
      </w:r>
      <w:r w:rsidRPr="00CF16E2">
        <w:rPr>
          <w:rFonts w:ascii="Times New Roman" w:hAnsi="Times New Roman" w:cs="Times New Roman"/>
          <w:sz w:val="24"/>
          <w:szCs w:val="24"/>
        </w:rPr>
        <w:t>Only a tiny portion of the best-performing mutual funds continued to have positive alpha performance after fees, according to Cuthbertson et al. (2010), who evaluated mutual fund performance mainly in the US and the UK.</w:t>
      </w:r>
      <w:r w:rsidR="00697586">
        <w:rPr>
          <w:rFonts w:ascii="Times New Roman" w:hAnsi="Times New Roman" w:cs="Times New Roman"/>
          <w:sz w:val="24"/>
          <w:szCs w:val="24"/>
        </w:rPr>
        <w:t xml:space="preserve"> </w:t>
      </w:r>
      <w:r w:rsidRPr="00CF16E2">
        <w:rPr>
          <w:rFonts w:ascii="Times New Roman" w:hAnsi="Times New Roman" w:cs="Times New Roman"/>
          <w:sz w:val="24"/>
          <w:szCs w:val="24"/>
        </w:rPr>
        <w:t>When evaluating fund managers' capacity to choose cheap stocks, Jensen (1972) found that, for his sample of 115 mutual funds, managers were unable to predict asset prices accurately enough to pay for fees and research costs. Fama (1972) presented a methodology for assessing the performance of mutual funds by dissecting it into elements like risk, diversity, and net selectivity.</w:t>
      </w:r>
    </w:p>
    <w:p w14:paraId="5353972A" w14:textId="77777777" w:rsidR="00F713D1" w:rsidRPr="00EE0E27" w:rsidRDefault="00F713D1" w:rsidP="00A54CC1">
      <w:pPr>
        <w:spacing w:line="360" w:lineRule="auto"/>
        <w:jc w:val="both"/>
        <w:rPr>
          <w:rFonts w:ascii="Times New Roman" w:hAnsi="Times New Roman" w:cs="Times New Roman"/>
          <w:b/>
          <w:bCs/>
          <w:sz w:val="28"/>
          <w:szCs w:val="28"/>
        </w:rPr>
      </w:pPr>
      <w:r w:rsidRPr="00EE0E27">
        <w:rPr>
          <w:rFonts w:ascii="Times New Roman" w:hAnsi="Times New Roman" w:cs="Times New Roman"/>
          <w:b/>
          <w:bCs/>
          <w:sz w:val="28"/>
          <w:szCs w:val="28"/>
        </w:rPr>
        <w:t>Objectives of the Study</w:t>
      </w:r>
    </w:p>
    <w:p w14:paraId="3C931B50" w14:textId="71AB11C8" w:rsidR="00FC514C" w:rsidRPr="00FC514C" w:rsidRDefault="00FC514C" w:rsidP="009A29B5">
      <w:pPr>
        <w:spacing w:after="0" w:line="360" w:lineRule="auto"/>
        <w:jc w:val="both"/>
        <w:rPr>
          <w:rFonts w:ascii="Times New Roman" w:eastAsia="Times New Roman" w:hAnsi="Times New Roman" w:cs="Times New Roman"/>
          <w:kern w:val="0"/>
          <w:sz w:val="24"/>
          <w:szCs w:val="24"/>
          <w14:ligatures w14:val="none"/>
        </w:rPr>
      </w:pPr>
      <w:r w:rsidRPr="00FC514C">
        <w:rPr>
          <w:rFonts w:ascii="Times New Roman" w:eastAsia="Times New Roman" w:hAnsi="Times New Roman" w:cs="Times New Roman"/>
          <w:kern w:val="0"/>
          <w:sz w:val="24"/>
          <w:szCs w:val="24"/>
          <w14:ligatures w14:val="none"/>
        </w:rPr>
        <w:t>This article aims to evaluate the relative performance metrics of mutual funds that are listed on the Dhaka Stock Exchange. Fund managers, investors, and academics all need to understand how mutual funds perform. In order to accomplish this goal, the research has set the following particular mutual fund performance goals:</w:t>
      </w:r>
    </w:p>
    <w:p w14:paraId="549327A1" w14:textId="10C5854C" w:rsidR="00FC514C" w:rsidRPr="009A29B5" w:rsidRDefault="00FC514C" w:rsidP="009A29B5">
      <w:pPr>
        <w:pStyle w:val="ListParagraph"/>
        <w:numPr>
          <w:ilvl w:val="0"/>
          <w:numId w:val="5"/>
        </w:numPr>
        <w:spacing w:line="360" w:lineRule="auto"/>
        <w:jc w:val="both"/>
        <w:rPr>
          <w:rFonts w:ascii="Times New Roman" w:hAnsi="Times New Roman" w:cs="Times New Roman"/>
          <w:sz w:val="24"/>
          <w:szCs w:val="24"/>
        </w:rPr>
      </w:pPr>
      <w:r w:rsidRPr="00FC514C">
        <w:rPr>
          <w:rFonts w:ascii="Times New Roman" w:hAnsi="Times New Roman" w:cs="Times New Roman"/>
          <w:sz w:val="24"/>
          <w:szCs w:val="24"/>
        </w:rPr>
        <w:t>To assess how well-chosen mutual funds perform risk-</w:t>
      </w:r>
      <w:r w:rsidR="009A29B5" w:rsidRPr="00FC514C">
        <w:rPr>
          <w:rFonts w:ascii="Times New Roman" w:hAnsi="Times New Roman" w:cs="Times New Roman"/>
          <w:sz w:val="24"/>
          <w:szCs w:val="24"/>
        </w:rPr>
        <w:t>adjusted</w:t>
      </w:r>
      <w:r w:rsidRPr="00FC514C">
        <w:rPr>
          <w:rFonts w:ascii="Times New Roman" w:hAnsi="Times New Roman" w:cs="Times New Roman"/>
          <w:sz w:val="24"/>
          <w:szCs w:val="24"/>
        </w:rPr>
        <w:t xml:space="preserve"> on the DSE. </w:t>
      </w:r>
    </w:p>
    <w:p w14:paraId="17FBE492" w14:textId="4280CBBD" w:rsidR="00FC514C" w:rsidRPr="00A54CC1" w:rsidRDefault="00FC514C" w:rsidP="00F713D1">
      <w:pPr>
        <w:pStyle w:val="ListParagraph"/>
        <w:numPr>
          <w:ilvl w:val="0"/>
          <w:numId w:val="5"/>
        </w:numPr>
        <w:spacing w:line="360" w:lineRule="auto"/>
        <w:jc w:val="both"/>
        <w:rPr>
          <w:rFonts w:ascii="Times New Roman" w:hAnsi="Times New Roman" w:cs="Times New Roman"/>
          <w:sz w:val="24"/>
          <w:szCs w:val="24"/>
        </w:rPr>
      </w:pPr>
      <w:r w:rsidRPr="00FC514C">
        <w:rPr>
          <w:rFonts w:ascii="Times New Roman" w:hAnsi="Times New Roman" w:cs="Times New Roman"/>
          <w:sz w:val="24"/>
          <w:szCs w:val="24"/>
        </w:rPr>
        <w:t>To investigate how diversity and selectivity contribute to investment value development.</w:t>
      </w:r>
    </w:p>
    <w:p w14:paraId="7AE12489" w14:textId="71CCFF36" w:rsidR="00F713D1" w:rsidRPr="00104269" w:rsidRDefault="00F713D1" w:rsidP="00A54CC1">
      <w:pPr>
        <w:spacing w:line="360" w:lineRule="auto"/>
        <w:jc w:val="both"/>
        <w:rPr>
          <w:rFonts w:ascii="Times New Roman" w:hAnsi="Times New Roman" w:cs="Times New Roman"/>
          <w:b/>
          <w:bCs/>
          <w:sz w:val="28"/>
          <w:szCs w:val="28"/>
        </w:rPr>
      </w:pPr>
      <w:r w:rsidRPr="00104269">
        <w:rPr>
          <w:rFonts w:ascii="Times New Roman" w:hAnsi="Times New Roman" w:cs="Times New Roman"/>
          <w:b/>
          <w:bCs/>
          <w:sz w:val="28"/>
          <w:szCs w:val="28"/>
        </w:rPr>
        <w:t>Data and Methodology</w:t>
      </w:r>
    </w:p>
    <w:p w14:paraId="5A1FB09A" w14:textId="77777777" w:rsidR="00F713D1" w:rsidRPr="00F713D1" w:rsidRDefault="00F713D1" w:rsidP="00A54CC1">
      <w:pPr>
        <w:spacing w:line="360" w:lineRule="auto"/>
        <w:jc w:val="both"/>
        <w:rPr>
          <w:rFonts w:ascii="Times New Roman" w:hAnsi="Times New Roman" w:cs="Times New Roman"/>
          <w:b/>
          <w:bCs/>
        </w:rPr>
      </w:pPr>
      <w:r>
        <w:rPr>
          <w:rFonts w:ascii="Times New Roman" w:hAnsi="Times New Roman" w:cs="Times New Roman"/>
          <w:sz w:val="24"/>
          <w:szCs w:val="24"/>
        </w:rPr>
        <w:tab/>
      </w:r>
      <w:r w:rsidRPr="00F713D1">
        <w:rPr>
          <w:rFonts w:ascii="Times New Roman" w:hAnsi="Times New Roman" w:cs="Times New Roman"/>
          <w:b/>
          <w:bCs/>
        </w:rPr>
        <w:t>Population, Sample, and Sampling Techniques</w:t>
      </w:r>
    </w:p>
    <w:p w14:paraId="0CC6F83D" w14:textId="77777777" w:rsidR="00F713D1" w:rsidRPr="00F713D1" w:rsidRDefault="00F713D1" w:rsidP="00A54CC1">
      <w:pPr>
        <w:spacing w:line="360" w:lineRule="auto"/>
        <w:jc w:val="both"/>
        <w:rPr>
          <w:rFonts w:ascii="Times New Roman" w:hAnsi="Times New Roman" w:cs="Times New Roman"/>
          <w:sz w:val="24"/>
          <w:szCs w:val="24"/>
        </w:rPr>
      </w:pPr>
      <w:r w:rsidRPr="00F713D1">
        <w:rPr>
          <w:rFonts w:ascii="Times New Roman" w:hAnsi="Times New Roman" w:cs="Times New Roman"/>
          <w:sz w:val="24"/>
          <w:szCs w:val="24"/>
        </w:rPr>
        <w:t xml:space="preserve">This study utilized secondary data sources for its analysis. The sample of mutual funds was selected based on those listed on the Dhaka Stock Exchange (DSE). To evaluate the market performance of these mutual funds, the study considered the monthly closing values of stock </w:t>
      </w:r>
      <w:r w:rsidRPr="00F713D1">
        <w:rPr>
          <w:rFonts w:ascii="Times New Roman" w:hAnsi="Times New Roman" w:cs="Times New Roman"/>
          <w:sz w:val="24"/>
          <w:szCs w:val="24"/>
        </w:rPr>
        <w:lastRenderedPageBreak/>
        <w:t>prices. Specifically, data for all mutual funds were collected for the period from July 2014 to June 2024.</w:t>
      </w:r>
    </w:p>
    <w:p w14:paraId="57CFAA6F" w14:textId="354514CF" w:rsidR="00F713D1" w:rsidRDefault="00F713D1" w:rsidP="00A54CC1">
      <w:pPr>
        <w:spacing w:line="360" w:lineRule="auto"/>
        <w:jc w:val="both"/>
        <w:rPr>
          <w:rFonts w:ascii="Times New Roman" w:hAnsi="Times New Roman" w:cs="Times New Roman"/>
          <w:sz w:val="24"/>
          <w:szCs w:val="24"/>
        </w:rPr>
      </w:pPr>
      <w:r w:rsidRPr="00F713D1">
        <w:rPr>
          <w:rFonts w:ascii="Times New Roman" w:hAnsi="Times New Roman" w:cs="Times New Roman"/>
          <w:sz w:val="24"/>
          <w:szCs w:val="24"/>
        </w:rPr>
        <w:t>The analysis focuses on 21 mutual funds that have been actively traded on the DSE for at least the past ten years. Data was sourced from the DSE data library, and the risk-free rate was estimated using the average 10-year Treasury bond rate from auction results provided by the Bangladesh Bank. The collected data were organized and consolidated to meet the study's requirements. To facilitate a meaningful evaluation, the performance of the mutual funds was compared against their respective benchmark portfolios, with the DSEX serving as the proxy benchmark index for all selected mutual funds.</w:t>
      </w:r>
    </w:p>
    <w:p w14:paraId="0E691F5F" w14:textId="77777777" w:rsidR="00F713D1" w:rsidRPr="00325F90" w:rsidRDefault="00F713D1" w:rsidP="00A54CC1">
      <w:pPr>
        <w:autoSpaceDE w:val="0"/>
        <w:autoSpaceDN w:val="0"/>
        <w:adjustRightInd w:val="0"/>
        <w:spacing w:after="0" w:line="360" w:lineRule="auto"/>
        <w:jc w:val="both"/>
        <w:rPr>
          <w:rFonts w:ascii="Times New Roman" w:hAnsi="Times New Roman" w:cs="Times New Roman"/>
          <w:sz w:val="24"/>
          <w:szCs w:val="24"/>
        </w:rPr>
      </w:pPr>
      <w:r w:rsidRPr="00325F90">
        <w:rPr>
          <w:rFonts w:ascii="Times New Roman" w:hAnsi="Times New Roman" w:cs="Times New Roman"/>
          <w:b/>
          <w:bCs/>
          <w:sz w:val="24"/>
          <w:szCs w:val="24"/>
        </w:rPr>
        <w:t xml:space="preserve">Tools and Techniques: </w:t>
      </w:r>
      <w:r w:rsidRPr="00325F90">
        <w:rPr>
          <w:rFonts w:ascii="Times New Roman" w:hAnsi="Times New Roman" w:cs="Times New Roman"/>
          <w:sz w:val="24"/>
          <w:szCs w:val="24"/>
        </w:rPr>
        <w:t>All Financial Tool and Statistical Tool have been made by MS Excel 2019 software.</w:t>
      </w:r>
    </w:p>
    <w:p w14:paraId="71E53CBA" w14:textId="77777777" w:rsidR="00F713D1" w:rsidRPr="00325F90" w:rsidRDefault="00F713D1" w:rsidP="00F713D1">
      <w:pPr>
        <w:autoSpaceDE w:val="0"/>
        <w:autoSpaceDN w:val="0"/>
        <w:adjustRightInd w:val="0"/>
        <w:spacing w:after="0" w:line="240" w:lineRule="auto"/>
        <w:jc w:val="both"/>
        <w:rPr>
          <w:rFonts w:ascii="Times New Roman" w:hAnsi="Times New Roman" w:cs="Times New Roman"/>
          <w:sz w:val="24"/>
          <w:szCs w:val="24"/>
        </w:rPr>
      </w:pPr>
    </w:p>
    <w:tbl>
      <w:tblPr>
        <w:tblStyle w:val="TableGrid"/>
        <w:tblW w:w="9019" w:type="dxa"/>
        <w:tblInd w:w="355" w:type="dxa"/>
        <w:tblLook w:val="04A0" w:firstRow="1" w:lastRow="0" w:firstColumn="1" w:lastColumn="0" w:noHBand="0" w:noVBand="1"/>
      </w:tblPr>
      <w:tblGrid>
        <w:gridCol w:w="4332"/>
        <w:gridCol w:w="4687"/>
      </w:tblGrid>
      <w:tr w:rsidR="00F713D1" w:rsidRPr="00DA00A6" w14:paraId="2EC49CE8" w14:textId="77777777" w:rsidTr="00A26A46">
        <w:trPr>
          <w:trHeight w:val="535"/>
        </w:trPr>
        <w:tc>
          <w:tcPr>
            <w:tcW w:w="4332" w:type="dxa"/>
          </w:tcPr>
          <w:p w14:paraId="025794C6" w14:textId="77777777" w:rsidR="00F713D1" w:rsidRPr="00DA00A6" w:rsidRDefault="00F713D1" w:rsidP="00A26A46">
            <w:pPr>
              <w:autoSpaceDE w:val="0"/>
              <w:autoSpaceDN w:val="0"/>
              <w:adjustRightInd w:val="0"/>
              <w:jc w:val="center"/>
              <w:rPr>
                <w:rFonts w:ascii="Times New Roman" w:hAnsi="Times New Roman" w:cs="Times New Roman"/>
                <w:b/>
                <w:bCs/>
              </w:rPr>
            </w:pPr>
            <w:r w:rsidRPr="00DA00A6">
              <w:rPr>
                <w:rFonts w:ascii="Times New Roman" w:hAnsi="Times New Roman" w:cs="Times New Roman"/>
                <w:b/>
                <w:bCs/>
              </w:rPr>
              <w:t>Financial Tool</w:t>
            </w:r>
          </w:p>
        </w:tc>
        <w:tc>
          <w:tcPr>
            <w:tcW w:w="4687" w:type="dxa"/>
          </w:tcPr>
          <w:p w14:paraId="74F3244D" w14:textId="77777777" w:rsidR="00F713D1" w:rsidRPr="00DA00A6" w:rsidRDefault="00F713D1" w:rsidP="00A26A46">
            <w:pPr>
              <w:autoSpaceDE w:val="0"/>
              <w:autoSpaceDN w:val="0"/>
              <w:adjustRightInd w:val="0"/>
              <w:jc w:val="center"/>
              <w:rPr>
                <w:rFonts w:ascii="Times New Roman" w:hAnsi="Times New Roman" w:cs="Times New Roman"/>
                <w:b/>
                <w:bCs/>
              </w:rPr>
            </w:pPr>
            <w:r w:rsidRPr="00DA00A6">
              <w:rPr>
                <w:rFonts w:ascii="Times New Roman" w:hAnsi="Times New Roman" w:cs="Times New Roman"/>
                <w:b/>
                <w:bCs/>
              </w:rPr>
              <w:t>Statistical Tool</w:t>
            </w:r>
          </w:p>
        </w:tc>
      </w:tr>
      <w:tr w:rsidR="00F713D1" w:rsidRPr="00DA00A6" w14:paraId="05BFBD9E" w14:textId="77777777" w:rsidTr="00A26A46">
        <w:trPr>
          <w:trHeight w:val="557"/>
        </w:trPr>
        <w:tc>
          <w:tcPr>
            <w:tcW w:w="4332" w:type="dxa"/>
          </w:tcPr>
          <w:p w14:paraId="47C42F4C" w14:textId="77777777" w:rsidR="00F713D1" w:rsidRPr="00325F90" w:rsidRDefault="00F713D1" w:rsidP="00A26A46">
            <w:pPr>
              <w:autoSpaceDE w:val="0"/>
              <w:autoSpaceDN w:val="0"/>
              <w:adjustRightInd w:val="0"/>
              <w:jc w:val="center"/>
              <w:rPr>
                <w:rFonts w:ascii="Times New Roman" w:hAnsi="Times New Roman" w:cs="Times New Roman"/>
                <w:sz w:val="24"/>
                <w:szCs w:val="24"/>
              </w:rPr>
            </w:pPr>
            <w:r w:rsidRPr="00325F90">
              <w:rPr>
                <w:rFonts w:ascii="Times New Roman" w:hAnsi="Times New Roman" w:cs="Times New Roman"/>
                <w:sz w:val="24"/>
                <w:szCs w:val="24"/>
              </w:rPr>
              <w:t>Sharpe Ratio, Treynor Ratio, Jenson Ratio Fama’s Net Selectivity, Capital Asset Pricing Model</w:t>
            </w:r>
          </w:p>
          <w:p w14:paraId="4C57473B" w14:textId="77777777" w:rsidR="00F713D1" w:rsidRPr="00325F90" w:rsidRDefault="00F713D1" w:rsidP="00A26A46">
            <w:pPr>
              <w:autoSpaceDE w:val="0"/>
              <w:autoSpaceDN w:val="0"/>
              <w:adjustRightInd w:val="0"/>
              <w:jc w:val="center"/>
              <w:rPr>
                <w:rFonts w:ascii="Times New Roman" w:hAnsi="Times New Roman" w:cs="Times New Roman"/>
                <w:sz w:val="24"/>
                <w:szCs w:val="24"/>
              </w:rPr>
            </w:pPr>
          </w:p>
        </w:tc>
        <w:tc>
          <w:tcPr>
            <w:tcW w:w="4687" w:type="dxa"/>
          </w:tcPr>
          <w:p w14:paraId="4B548D5B" w14:textId="77777777" w:rsidR="00F713D1" w:rsidRPr="00325F90" w:rsidRDefault="00F713D1" w:rsidP="00A26A46">
            <w:pPr>
              <w:autoSpaceDE w:val="0"/>
              <w:autoSpaceDN w:val="0"/>
              <w:adjustRightInd w:val="0"/>
              <w:jc w:val="center"/>
              <w:rPr>
                <w:rFonts w:ascii="Times New Roman" w:hAnsi="Times New Roman" w:cs="Times New Roman"/>
                <w:sz w:val="24"/>
                <w:szCs w:val="24"/>
              </w:rPr>
            </w:pPr>
            <w:r w:rsidRPr="00325F90">
              <w:rPr>
                <w:rFonts w:ascii="Times New Roman" w:hAnsi="Times New Roman" w:cs="Times New Roman"/>
                <w:sz w:val="24"/>
                <w:szCs w:val="24"/>
              </w:rPr>
              <w:t>Standard Deviation, R-squared, Alpha, Beta, Correlation</w:t>
            </w:r>
          </w:p>
        </w:tc>
      </w:tr>
    </w:tbl>
    <w:p w14:paraId="2B1B4C33" w14:textId="77777777" w:rsidR="00F713D1" w:rsidRDefault="00F713D1" w:rsidP="00F713D1">
      <w:pPr>
        <w:jc w:val="both"/>
        <w:rPr>
          <w:rFonts w:ascii="Times New Roman" w:hAnsi="Times New Roman" w:cs="Times New Roman"/>
          <w:sz w:val="24"/>
          <w:szCs w:val="24"/>
        </w:rPr>
      </w:pPr>
    </w:p>
    <w:p w14:paraId="16518BCF" w14:textId="77777777" w:rsidR="00FC514C" w:rsidRDefault="00F713D1" w:rsidP="00A54CC1">
      <w:pPr>
        <w:spacing w:line="360" w:lineRule="auto"/>
        <w:rPr>
          <w:rFonts w:ascii="Times New Roman" w:hAnsi="Times New Roman" w:cs="Times New Roman"/>
          <w:sz w:val="24"/>
          <w:szCs w:val="24"/>
        </w:rPr>
      </w:pPr>
      <w:r w:rsidRPr="00325F90">
        <w:rPr>
          <w:rFonts w:ascii="Times New Roman" w:hAnsi="Times New Roman" w:cs="Times New Roman"/>
          <w:b/>
          <w:bCs/>
          <w:sz w:val="24"/>
          <w:szCs w:val="24"/>
        </w:rPr>
        <w:t>Return</w:t>
      </w:r>
      <w:r w:rsidRPr="00325F90">
        <w:rPr>
          <w:rFonts w:ascii="Times New Roman" w:hAnsi="Times New Roman" w:cs="Times New Roman"/>
          <w:sz w:val="24"/>
          <w:szCs w:val="24"/>
        </w:rPr>
        <w:t xml:space="preserve">: </w:t>
      </w:r>
      <w:r w:rsidR="00AE1DF0" w:rsidRPr="00AE1DF0">
        <w:rPr>
          <w:rFonts w:ascii="Times New Roman" w:hAnsi="Times New Roman" w:cs="Times New Roman"/>
          <w:sz w:val="24"/>
          <w:szCs w:val="24"/>
        </w:rPr>
        <w:t xml:space="preserve">The following has calculated the average return on mutual funds using the monthly return data. Likewise, the benchmark index's monthly returns have been calculated. </w:t>
      </w:r>
    </w:p>
    <w:p w14:paraId="247D4806" w14:textId="034C0467" w:rsidR="00F713D1" w:rsidRPr="00325F90" w:rsidRDefault="00F713D1" w:rsidP="00A54CC1">
      <w:pPr>
        <w:spacing w:line="360" w:lineRule="auto"/>
        <w:rPr>
          <w:rFonts w:ascii="Times New Roman" w:hAnsi="Times New Roman" w:cs="Times New Roman"/>
          <w:sz w:val="24"/>
          <w:szCs w:val="24"/>
        </w:rPr>
      </w:pPr>
      <w:r w:rsidRPr="00325F90">
        <w:rPr>
          <w:rFonts w:ascii="Times New Roman" w:hAnsi="Times New Roman" w:cs="Times New Roman"/>
          <w:sz w:val="24"/>
          <w:szCs w:val="24"/>
        </w:rPr>
        <w:t xml:space="preserve"> For the benchmark index, the return of Dhaka Stock Exchange (DSE) is calculated as:</w:t>
      </w:r>
    </w:p>
    <w:p w14:paraId="7540E4DE" w14:textId="26909C45" w:rsidR="00F713D1" w:rsidRPr="00472B8E" w:rsidRDefault="00F713D1" w:rsidP="00F713D1">
      <w:pPr>
        <w:rPr>
          <w:rFonts w:ascii="Times New Roman" w:hAnsi="Times New Roman" w:cs="Times New Roman"/>
          <w:i/>
          <w:iCs/>
          <w:sz w:val="32"/>
          <w:szCs w:val="32"/>
        </w:rPr>
      </w:pPr>
      <w:r w:rsidRPr="00472B8E">
        <w:rPr>
          <w:rFonts w:ascii="Times New Roman" w:hAnsi="Times New Roman" w:cs="Times New Roman"/>
          <w:i/>
          <w:iCs/>
          <w:sz w:val="32"/>
          <w:szCs w:val="32"/>
        </w:rPr>
        <w:t>Annualized Average Return=</w:t>
      </w:r>
      <m:oMath>
        <m:r>
          <w:rPr>
            <w:rFonts w:ascii="Cambria Math" w:hAnsi="Cambria Math" w:cs="Times New Roman"/>
            <w:sz w:val="32"/>
            <w:szCs w:val="32"/>
          </w:rPr>
          <m:t>[</m:t>
        </m:r>
        <m:f>
          <m:fPr>
            <m:ctrlPr>
              <w:rPr>
                <w:rFonts w:ascii="Cambria Math" w:hAnsi="Cambria Math" w:cs="Times New Roman"/>
                <w:i/>
                <w:iCs/>
                <w:sz w:val="32"/>
                <w:szCs w:val="32"/>
              </w:rPr>
            </m:ctrlPr>
          </m:fPr>
          <m:num>
            <m:sSub>
              <m:sSubPr>
                <m:ctrlPr>
                  <w:rPr>
                    <w:rFonts w:ascii="Cambria Math" w:hAnsi="Cambria Math" w:cs="Times New Roman"/>
                    <w:i/>
                    <w:sz w:val="32"/>
                    <w:szCs w:val="32"/>
                  </w:rPr>
                </m:ctrlPr>
              </m:sSubPr>
              <m:e>
                <m:r>
                  <w:rPr>
                    <w:rFonts w:ascii="Cambria Math" w:hAnsi="Cambria Math" w:cs="Times New Roman"/>
                    <w:sz w:val="32"/>
                    <w:szCs w:val="32"/>
                  </w:rPr>
                  <m:t>R</m:t>
                </m:r>
              </m:e>
              <m:sub>
                <m:r>
                  <w:rPr>
                    <w:rFonts w:ascii="Cambria Math" w:hAnsi="Cambria Math" w:cs="Times New Roman"/>
                    <w:sz w:val="32"/>
                    <w:szCs w:val="32"/>
                  </w:rPr>
                  <m:t>1</m:t>
                </m:r>
              </m:sub>
            </m:sSub>
            <m:r>
              <w:rPr>
                <w:rFonts w:ascii="Cambria Math" w:hAnsi="Cambria Math" w:cs="Times New Roman"/>
                <w:sz w:val="32"/>
                <w:szCs w:val="32"/>
              </w:rPr>
              <m:t>+</m:t>
            </m:r>
            <m:sSub>
              <m:sSubPr>
                <m:ctrlPr>
                  <w:rPr>
                    <w:rFonts w:ascii="Cambria Math" w:hAnsi="Cambria Math" w:cs="Times New Roman"/>
                    <w:i/>
                    <w:sz w:val="32"/>
                    <w:szCs w:val="32"/>
                  </w:rPr>
                </m:ctrlPr>
              </m:sSubPr>
              <m:e>
                <m:r>
                  <w:rPr>
                    <w:rFonts w:ascii="Cambria Math" w:hAnsi="Cambria Math" w:cs="Times New Roman"/>
                    <w:sz w:val="32"/>
                    <w:szCs w:val="32"/>
                  </w:rPr>
                  <m:t>R</m:t>
                </m:r>
              </m:e>
              <m:sub>
                <m:r>
                  <w:rPr>
                    <w:rFonts w:ascii="Cambria Math" w:hAnsi="Cambria Math" w:cs="Times New Roman"/>
                    <w:sz w:val="32"/>
                    <w:szCs w:val="32"/>
                  </w:rPr>
                  <m:t>2</m:t>
                </m:r>
              </m:sub>
            </m:sSub>
            <m:r>
              <w:rPr>
                <w:rFonts w:ascii="Cambria Math" w:hAnsi="Cambria Math" w:cs="Times New Roman"/>
                <w:sz w:val="32"/>
                <w:szCs w:val="32"/>
              </w:rPr>
              <m:t>+</m:t>
            </m:r>
            <m:sSub>
              <m:sSubPr>
                <m:ctrlPr>
                  <w:rPr>
                    <w:rFonts w:ascii="Cambria Math" w:hAnsi="Cambria Math" w:cs="Times New Roman"/>
                    <w:i/>
                    <w:sz w:val="32"/>
                    <w:szCs w:val="32"/>
                  </w:rPr>
                </m:ctrlPr>
              </m:sSubPr>
              <m:e>
                <m:r>
                  <w:rPr>
                    <w:rFonts w:ascii="Cambria Math" w:hAnsi="Cambria Math" w:cs="Times New Roman"/>
                    <w:sz w:val="32"/>
                    <w:szCs w:val="32"/>
                  </w:rPr>
                  <m:t>R</m:t>
                </m:r>
              </m:e>
              <m:sub>
                <m:r>
                  <w:rPr>
                    <w:rFonts w:ascii="Cambria Math" w:hAnsi="Cambria Math" w:cs="Times New Roman"/>
                    <w:sz w:val="32"/>
                    <w:szCs w:val="32"/>
                  </w:rPr>
                  <m:t>3</m:t>
                </m:r>
              </m:sub>
            </m:sSub>
            <m:r>
              <w:rPr>
                <w:rFonts w:ascii="Cambria Math" w:hAnsi="Cambria Math" w:cs="Times New Roman"/>
                <w:sz w:val="32"/>
                <w:szCs w:val="32"/>
              </w:rPr>
              <m:t>…+</m:t>
            </m:r>
            <m:sSub>
              <m:sSubPr>
                <m:ctrlPr>
                  <w:rPr>
                    <w:rFonts w:ascii="Cambria Math" w:hAnsi="Cambria Math" w:cs="Times New Roman"/>
                    <w:i/>
                    <w:sz w:val="32"/>
                    <w:szCs w:val="32"/>
                  </w:rPr>
                </m:ctrlPr>
              </m:sSubPr>
              <m:e>
                <m:r>
                  <w:rPr>
                    <w:rFonts w:ascii="Cambria Math" w:hAnsi="Cambria Math" w:cs="Times New Roman"/>
                    <w:sz w:val="32"/>
                    <w:szCs w:val="32"/>
                  </w:rPr>
                  <m:t>R</m:t>
                </m:r>
              </m:e>
              <m:sub>
                <m:r>
                  <w:rPr>
                    <w:rFonts w:ascii="Cambria Math" w:hAnsi="Cambria Math" w:cs="Times New Roman"/>
                    <w:sz w:val="32"/>
                    <w:szCs w:val="32"/>
                  </w:rPr>
                  <m:t>n</m:t>
                </m:r>
              </m:sub>
            </m:sSub>
          </m:num>
          <m:den>
            <m:r>
              <w:rPr>
                <w:rFonts w:ascii="Cambria Math" w:hAnsi="Cambria Math" w:cs="Times New Roman"/>
                <w:sz w:val="32"/>
                <w:szCs w:val="32"/>
              </w:rPr>
              <m:t>N</m:t>
            </m:r>
          </m:den>
        </m:f>
      </m:oMath>
      <w:r w:rsidR="002070DB" w:rsidRPr="00472B8E">
        <w:rPr>
          <w:rFonts w:ascii="Times New Roman" w:eastAsiaTheme="minorEastAsia" w:hAnsi="Times New Roman" w:cs="Times New Roman"/>
          <w:i/>
          <w:iCs/>
          <w:sz w:val="32"/>
          <w:szCs w:val="32"/>
        </w:rPr>
        <w:t>] ×</w:t>
      </w:r>
      <w:r w:rsidR="00F81238" w:rsidRPr="00472B8E">
        <w:rPr>
          <w:rFonts w:ascii="Times New Roman" w:eastAsiaTheme="minorEastAsia" w:hAnsi="Times New Roman" w:cs="Times New Roman"/>
          <w:i/>
          <w:iCs/>
          <w:sz w:val="32"/>
          <w:szCs w:val="32"/>
        </w:rPr>
        <w:t>12</w:t>
      </w:r>
      <w:r w:rsidR="00B65968" w:rsidRPr="00472B8E">
        <w:rPr>
          <w:rFonts w:ascii="Times New Roman" w:eastAsiaTheme="minorEastAsia" w:hAnsi="Times New Roman" w:cs="Times New Roman"/>
          <w:sz w:val="32"/>
          <w:szCs w:val="32"/>
        </w:rPr>
        <w:t>……………</w:t>
      </w:r>
      <w:r w:rsidR="003D7ABA" w:rsidRPr="00472B8E">
        <w:rPr>
          <w:rFonts w:ascii="Times New Roman" w:eastAsiaTheme="minorEastAsia" w:hAnsi="Times New Roman" w:cs="Times New Roman"/>
          <w:sz w:val="32"/>
          <w:szCs w:val="32"/>
        </w:rPr>
        <w:t>….</w:t>
      </w:r>
      <w:r w:rsidR="0037198A" w:rsidRPr="00472B8E">
        <w:rPr>
          <w:rFonts w:ascii="Times New Roman" w:eastAsiaTheme="minorEastAsia" w:hAnsi="Times New Roman" w:cs="Times New Roman"/>
          <w:sz w:val="32"/>
          <w:szCs w:val="32"/>
        </w:rPr>
        <w:t xml:space="preserve"> (</w:t>
      </w:r>
      <w:proofErr w:type="spellStart"/>
      <w:r w:rsidR="0037198A" w:rsidRPr="00472B8E">
        <w:rPr>
          <w:rFonts w:ascii="Times New Roman" w:eastAsiaTheme="minorEastAsia" w:hAnsi="Times New Roman" w:cs="Times New Roman"/>
          <w:sz w:val="32"/>
          <w:szCs w:val="32"/>
        </w:rPr>
        <w:t>i</w:t>
      </w:r>
      <w:proofErr w:type="spellEnd"/>
      <w:r w:rsidR="0037198A" w:rsidRPr="00472B8E">
        <w:rPr>
          <w:rFonts w:ascii="Times New Roman" w:eastAsiaTheme="minorEastAsia" w:hAnsi="Times New Roman" w:cs="Times New Roman"/>
          <w:sz w:val="32"/>
          <w:szCs w:val="32"/>
        </w:rPr>
        <w:t>)</w:t>
      </w:r>
    </w:p>
    <w:p w14:paraId="6E440A64" w14:textId="6214DE29" w:rsidR="00F713D1" w:rsidRPr="00F713D1" w:rsidRDefault="00F713D1" w:rsidP="00F713D1">
      <w:pPr>
        <w:rPr>
          <w:rFonts w:ascii="Times New Roman" w:hAnsi="Times New Roman" w:cs="Times New Roman"/>
          <w:sz w:val="24"/>
          <w:szCs w:val="24"/>
        </w:rPr>
      </w:pPr>
      <w:proofErr w:type="gramStart"/>
      <w:r w:rsidRPr="00F713D1">
        <w:rPr>
          <w:rFonts w:ascii="Times New Roman" w:hAnsi="Times New Roman" w:cs="Times New Roman"/>
          <w:sz w:val="24"/>
          <w:szCs w:val="24"/>
        </w:rPr>
        <w:t>Where</w:t>
      </w:r>
      <w:proofErr w:type="gramEnd"/>
      <w:r w:rsidRPr="00F713D1">
        <w:rPr>
          <w:rFonts w:ascii="Times New Roman" w:hAnsi="Times New Roman" w:cs="Times New Roman"/>
          <w:sz w:val="24"/>
          <w:szCs w:val="24"/>
        </w:rPr>
        <w:t>,</w:t>
      </w:r>
    </w:p>
    <w:p w14:paraId="434F832F" w14:textId="7C438ADE" w:rsidR="00F713D1" w:rsidRPr="00F713D1" w:rsidRDefault="00000000" w:rsidP="00F713D1">
      <w:pPr>
        <w:ind w:firstLine="720"/>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1</m:t>
            </m:r>
          </m:sub>
        </m:sSub>
      </m:oMath>
      <w:r w:rsidR="00F713D1" w:rsidRPr="00F713D1">
        <w:rPr>
          <w:rFonts w:ascii="Times New Roman" w:hAnsi="Times New Roman" w:cs="Times New Roman"/>
          <w:sz w:val="24"/>
          <w:szCs w:val="24"/>
        </w:rPr>
        <w:t>= Return of first month</w:t>
      </w:r>
    </w:p>
    <w:p w14:paraId="5C68686E" w14:textId="4C0DCFF1" w:rsidR="00F713D1" w:rsidRPr="00F713D1" w:rsidRDefault="00000000" w:rsidP="00F713D1">
      <w:pPr>
        <w:ind w:firstLine="720"/>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2</m:t>
            </m:r>
          </m:sub>
        </m:sSub>
      </m:oMath>
      <w:r w:rsidR="00F713D1" w:rsidRPr="00F713D1">
        <w:rPr>
          <w:rFonts w:ascii="Times New Roman" w:hAnsi="Times New Roman" w:cs="Times New Roman"/>
          <w:sz w:val="24"/>
          <w:szCs w:val="24"/>
        </w:rPr>
        <w:t>=Return of second month</w:t>
      </w:r>
    </w:p>
    <w:p w14:paraId="2C7B334E" w14:textId="1BE46495" w:rsidR="00F713D1" w:rsidRPr="00F713D1" w:rsidRDefault="00000000" w:rsidP="00F713D1">
      <w:pPr>
        <w:ind w:firstLine="720"/>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3</m:t>
            </m:r>
          </m:sub>
        </m:sSub>
      </m:oMath>
      <w:r w:rsidR="00F713D1" w:rsidRPr="00F713D1">
        <w:rPr>
          <w:rFonts w:ascii="Times New Roman" w:hAnsi="Times New Roman" w:cs="Times New Roman"/>
          <w:sz w:val="24"/>
          <w:szCs w:val="24"/>
        </w:rPr>
        <w:t>= Return of third month</w:t>
      </w:r>
    </w:p>
    <w:p w14:paraId="724B41AD" w14:textId="12F0BE9D" w:rsidR="00276852" w:rsidRPr="00F713D1" w:rsidRDefault="00F713D1" w:rsidP="007D1977">
      <w:pPr>
        <w:ind w:firstLine="720"/>
        <w:rPr>
          <w:rFonts w:ascii="Times New Roman" w:hAnsi="Times New Roman" w:cs="Times New Roman"/>
          <w:sz w:val="24"/>
          <w:szCs w:val="24"/>
        </w:rPr>
      </w:pPr>
      <w:r w:rsidRPr="00F713D1">
        <w:rPr>
          <w:rFonts w:ascii="Times New Roman" w:hAnsi="Times New Roman" w:cs="Times New Roman"/>
          <w:sz w:val="24"/>
          <w:szCs w:val="24"/>
        </w:rPr>
        <w:t>N= Number of months</w:t>
      </w:r>
      <w:r w:rsidR="00EC0FC8">
        <w:rPr>
          <w:rFonts w:ascii="Times New Roman" w:hAnsi="Times New Roman" w:cs="Times New Roman"/>
          <w:sz w:val="24"/>
          <w:szCs w:val="24"/>
        </w:rPr>
        <w:t>.</w:t>
      </w:r>
    </w:p>
    <w:p w14:paraId="1C4C74CF" w14:textId="57B088AF" w:rsidR="00C14D99" w:rsidRPr="00AE1DF0" w:rsidRDefault="00C14D99" w:rsidP="00AB4893">
      <w:pPr>
        <w:spacing w:line="360" w:lineRule="auto"/>
        <w:jc w:val="both"/>
        <w:rPr>
          <w:rFonts w:ascii="Times New Roman" w:hAnsi="Times New Roman" w:cs="Times New Roman"/>
          <w:sz w:val="24"/>
          <w:szCs w:val="24"/>
        </w:rPr>
      </w:pPr>
      <w:r w:rsidRPr="00325F90">
        <w:rPr>
          <w:rFonts w:ascii="Times New Roman" w:hAnsi="Times New Roman" w:cs="Times New Roman"/>
          <w:b/>
          <w:bCs/>
          <w:sz w:val="24"/>
          <w:szCs w:val="24"/>
        </w:rPr>
        <w:t>Risk</w:t>
      </w:r>
      <w:r w:rsidRPr="00AE1DF0">
        <w:rPr>
          <w:rFonts w:ascii="Times New Roman" w:hAnsi="Times New Roman" w:cs="Times New Roman"/>
          <w:sz w:val="24"/>
          <w:szCs w:val="24"/>
        </w:rPr>
        <w:t xml:space="preserve">: </w:t>
      </w:r>
      <w:r w:rsidR="00AE1DF0" w:rsidRPr="00AE1DF0">
        <w:rPr>
          <w:rFonts w:ascii="Times New Roman" w:hAnsi="Times New Roman" w:cs="Times New Roman"/>
          <w:sz w:val="24"/>
          <w:szCs w:val="24"/>
        </w:rPr>
        <w:t xml:space="preserve">A measure of overall risk is the standard deviation. The standard deviation, σ = Var (r), is the variance's square root. Both the variance and the standard deviation are quantitative indicators </w:t>
      </w:r>
      <w:r w:rsidR="00AE1DF0" w:rsidRPr="00AE1DF0">
        <w:rPr>
          <w:rFonts w:ascii="Times New Roman" w:hAnsi="Times New Roman" w:cs="Times New Roman"/>
          <w:sz w:val="24"/>
          <w:szCs w:val="24"/>
        </w:rPr>
        <w:lastRenderedPageBreak/>
        <w:t>of an asset's overall risk that are equally appropriate and comparable. The average monthly returns are used to calculate the variance and standard deviation.</w:t>
      </w:r>
    </w:p>
    <w:p w14:paraId="3C29E5AB" w14:textId="2A787904" w:rsidR="00C14D99" w:rsidRPr="00AB4893" w:rsidRDefault="00C14D99" w:rsidP="00C14D99">
      <w:pPr>
        <w:rPr>
          <w:rFonts w:ascii="Times New Roman" w:hAnsi="Times New Roman" w:cs="Times New Roman"/>
          <w:sz w:val="24"/>
          <w:szCs w:val="24"/>
        </w:rPr>
      </w:pPr>
      <w:r>
        <w:rPr>
          <w:noProof/>
        </w:rPr>
        <mc:AlternateContent>
          <mc:Choice Requires="wps">
            <w:drawing>
              <wp:inline distT="0" distB="0" distL="0" distR="0" wp14:anchorId="42D137AD" wp14:editId="6F51B95E">
                <wp:extent cx="304800" cy="304800"/>
                <wp:effectExtent l="0" t="0" r="0" b="0"/>
                <wp:docPr id="271950012" name="Rectangle 1" descr="\sigma={\sqrt {\frac {\sum(x_{i}-{\mu})^{2}}{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92BCD06" id="Rectangle 1" o:spid="_x0000_s1026" alt="\sigma={\sqrt {\frac {\sum(x_{i}-{\mu})^{2}}{N}}}"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sidRPr="00F26519">
        <w:t xml:space="preserve"> </w:t>
      </w:r>
      <w:r>
        <w:rPr>
          <w:noProof/>
        </w:rPr>
        <mc:AlternateContent>
          <mc:Choice Requires="wps">
            <w:drawing>
              <wp:inline distT="0" distB="0" distL="0" distR="0" wp14:anchorId="2D413CF7" wp14:editId="3ACCA646">
                <wp:extent cx="304800" cy="304800"/>
                <wp:effectExtent l="0" t="0" r="0" b="0"/>
                <wp:docPr id="1006564782" name="Rectangle 2" descr="\sigma={\sqrt {\frac {\sum(x_{i}-{\mu})^{2}}{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6247C94" id="Rectangle 2" o:spid="_x0000_s1026" alt="\sigma={\sqrt {\frac {\sum(x_{i}-{\mu})^{2}}{N}}}"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sidRPr="00F26519">
        <w:t xml:space="preserve"> </w:t>
      </w:r>
      <w:r>
        <w:rPr>
          <w:noProof/>
        </w:rPr>
        <mc:AlternateContent>
          <mc:Choice Requires="wps">
            <w:drawing>
              <wp:inline distT="0" distB="0" distL="0" distR="0" wp14:anchorId="58139D66" wp14:editId="038A4752">
                <wp:extent cx="304800" cy="304800"/>
                <wp:effectExtent l="0" t="0" r="0" b="0"/>
                <wp:docPr id="2137794036" name="Rectangle 3" descr="\sigma={\sqrt {\frac {\sum(x_{i}-{\mu})^{2}}{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B4848FB" id="Rectangle 3" o:spid="_x0000_s1026" alt="\sigma={\sqrt {\frac {\sum(x_{i}-{\mu})^{2}}{N}}}"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sidRPr="00F26519">
        <w:t xml:space="preserve"> </w:t>
      </w:r>
      <w:r w:rsidR="00000266" w:rsidRPr="00CC5EEC">
        <w:rPr>
          <w:rFonts w:ascii="Times New Roman" w:hAnsi="Times New Roman" w:cs="Times New Roman"/>
          <w:sz w:val="46"/>
          <w:szCs w:val="46"/>
        </w:rPr>
        <w:t xml:space="preserve">σ = </w:t>
      </w:r>
      <m:oMath>
        <m:rad>
          <m:radPr>
            <m:degHide m:val="1"/>
            <m:ctrlPr>
              <w:rPr>
                <w:rFonts w:ascii="Cambria Math" w:hAnsi="Cambria Math" w:cs="Times New Roman"/>
                <w:i/>
                <w:sz w:val="46"/>
                <w:szCs w:val="46"/>
              </w:rPr>
            </m:ctrlPr>
          </m:radPr>
          <m:deg/>
          <m:e>
            <m:f>
              <m:fPr>
                <m:ctrlPr>
                  <w:rPr>
                    <w:rFonts w:ascii="Cambria Math" w:hAnsi="Cambria Math" w:cs="Times New Roman"/>
                    <w:i/>
                    <w:sz w:val="46"/>
                    <w:szCs w:val="46"/>
                  </w:rPr>
                </m:ctrlPr>
              </m:fPr>
              <m:num>
                <m:r>
                  <w:rPr>
                    <w:rFonts w:ascii="Cambria Math" w:hAnsi="Cambria Math" w:cs="Times New Roman"/>
                    <w:sz w:val="46"/>
                    <w:szCs w:val="46"/>
                  </w:rPr>
                  <m:t>∑(</m:t>
                </m:r>
                <m:sSub>
                  <m:sSubPr>
                    <m:ctrlPr>
                      <w:rPr>
                        <w:rFonts w:ascii="Cambria Math" w:hAnsi="Cambria Math" w:cs="Times New Roman"/>
                        <w:i/>
                        <w:sz w:val="46"/>
                        <w:szCs w:val="46"/>
                      </w:rPr>
                    </m:ctrlPr>
                  </m:sSubPr>
                  <m:e>
                    <m:r>
                      <w:rPr>
                        <w:rFonts w:ascii="Cambria Math" w:hAnsi="Cambria Math" w:cs="Times New Roman"/>
                        <w:sz w:val="46"/>
                        <w:szCs w:val="46"/>
                      </w:rPr>
                      <m:t>X</m:t>
                    </m:r>
                  </m:e>
                  <m:sub>
                    <m:r>
                      <w:rPr>
                        <w:rFonts w:ascii="Cambria Math" w:hAnsi="Cambria Math" w:cs="Times New Roman"/>
                        <w:sz w:val="46"/>
                        <w:szCs w:val="46"/>
                      </w:rPr>
                      <m:t>i</m:t>
                    </m:r>
                  </m:sub>
                </m:sSub>
                <m:r>
                  <w:rPr>
                    <w:rFonts w:ascii="Cambria Math" w:hAnsi="Cambria Math" w:cs="Times New Roman"/>
                    <w:sz w:val="46"/>
                    <w:szCs w:val="46"/>
                  </w:rPr>
                  <m:t>-µ)</m:t>
                </m:r>
              </m:num>
              <m:den>
                <m:r>
                  <w:rPr>
                    <w:rFonts w:ascii="Cambria Math" w:hAnsi="Cambria Math" w:cs="Times New Roman"/>
                    <w:sz w:val="46"/>
                    <w:szCs w:val="46"/>
                  </w:rPr>
                  <m:t>N</m:t>
                </m:r>
              </m:den>
            </m:f>
          </m:e>
        </m:rad>
      </m:oMath>
      <w:r w:rsidR="00000266" w:rsidRPr="00CC5EEC">
        <w:rPr>
          <w:rFonts w:ascii="Times New Roman" w:eastAsiaTheme="minorEastAsia" w:hAnsi="Times New Roman" w:cs="Times New Roman"/>
          <w:sz w:val="46"/>
          <w:szCs w:val="46"/>
        </w:rPr>
        <w:t xml:space="preserve"> </w:t>
      </w:r>
      <w:r w:rsidR="00000266" w:rsidRPr="00CC5EEC">
        <w:rPr>
          <w:rFonts w:ascii="Times New Roman" w:eastAsiaTheme="minorEastAsia" w:hAnsi="Times New Roman" w:cs="Times New Roman"/>
          <w:sz w:val="24"/>
          <w:szCs w:val="24"/>
        </w:rPr>
        <w:t>…………………………………</w:t>
      </w:r>
      <w:r w:rsidR="003D7ABA" w:rsidRPr="00CC5EEC">
        <w:rPr>
          <w:rFonts w:ascii="Times New Roman" w:eastAsiaTheme="minorEastAsia" w:hAnsi="Times New Roman" w:cs="Times New Roman"/>
          <w:sz w:val="24"/>
          <w:szCs w:val="24"/>
        </w:rPr>
        <w:t>…………</w:t>
      </w:r>
      <w:r w:rsidR="00000266" w:rsidRPr="00CC5EEC">
        <w:rPr>
          <w:rFonts w:ascii="Times New Roman" w:eastAsiaTheme="minorEastAsia" w:hAnsi="Times New Roman" w:cs="Times New Roman"/>
          <w:sz w:val="24"/>
          <w:szCs w:val="24"/>
        </w:rPr>
        <w:t>…(</w:t>
      </w:r>
      <w:r w:rsidR="0037198A" w:rsidRPr="00CC5EEC">
        <w:rPr>
          <w:rFonts w:ascii="Times New Roman" w:eastAsiaTheme="minorEastAsia" w:hAnsi="Times New Roman" w:cs="Times New Roman"/>
          <w:sz w:val="24"/>
          <w:szCs w:val="24"/>
        </w:rPr>
        <w:t>ii</w:t>
      </w:r>
      <w:r w:rsidR="00000266" w:rsidRPr="00CC5EEC">
        <w:rPr>
          <w:rFonts w:ascii="Times New Roman" w:eastAsiaTheme="minorEastAsia" w:hAnsi="Times New Roman" w:cs="Times New Roman"/>
          <w:sz w:val="24"/>
          <w:szCs w:val="24"/>
        </w:rPr>
        <w:t>)</w:t>
      </w:r>
    </w:p>
    <w:p w14:paraId="36766B79" w14:textId="7805DDF1" w:rsidR="00C14D99" w:rsidRPr="00C14D99" w:rsidRDefault="00C14D99" w:rsidP="00C14D99">
      <w:pPr>
        <w:rPr>
          <w:rFonts w:ascii="Times New Roman" w:hAnsi="Times New Roman" w:cs="Times New Roman"/>
          <w:sz w:val="24"/>
          <w:szCs w:val="24"/>
        </w:rPr>
      </w:pPr>
      <w:proofErr w:type="gramStart"/>
      <w:r w:rsidRPr="00F713D1">
        <w:rPr>
          <w:rFonts w:ascii="Times New Roman" w:hAnsi="Times New Roman" w:cs="Times New Roman"/>
          <w:sz w:val="24"/>
          <w:szCs w:val="24"/>
        </w:rPr>
        <w:t>Where</w:t>
      </w:r>
      <w:proofErr w:type="gramEnd"/>
      <w:r w:rsidRPr="00F713D1">
        <w:rPr>
          <w:rFonts w:ascii="Times New Roman" w:hAnsi="Times New Roman" w:cs="Times New Roman"/>
          <w:sz w:val="24"/>
          <w:szCs w:val="24"/>
        </w:rPr>
        <w:t>,</w:t>
      </w:r>
    </w:p>
    <w:p w14:paraId="31B32C96" w14:textId="2BE2B52B" w:rsidR="00C14D99" w:rsidRPr="00C14D99" w:rsidRDefault="00732987" w:rsidP="00461826">
      <w:pPr>
        <w:ind w:firstLine="720"/>
        <w:rPr>
          <w:rFonts w:ascii="Times New Roman" w:hAnsi="Times New Roman" w:cs="Times New Roman"/>
          <w:sz w:val="24"/>
          <w:szCs w:val="24"/>
        </w:rPr>
      </w:pPr>
      <w:r w:rsidRPr="00732987">
        <w:rPr>
          <w:rFonts w:ascii="Times New Roman" w:hAnsi="Times New Roman" w:cs="Times New Roman"/>
          <w:sz w:val="28"/>
          <w:szCs w:val="28"/>
        </w:rPr>
        <w:t>σ</w:t>
      </w:r>
      <w:r w:rsidR="00C14D99" w:rsidRPr="00732987">
        <w:rPr>
          <w:rFonts w:ascii="Times New Roman" w:hAnsi="Times New Roman" w:cs="Times New Roman"/>
          <w:sz w:val="28"/>
          <w:szCs w:val="28"/>
        </w:rPr>
        <w:t xml:space="preserve"> </w:t>
      </w:r>
      <w:r w:rsidR="00C14D99" w:rsidRPr="00C14D99">
        <w:rPr>
          <w:rFonts w:ascii="Times New Roman" w:hAnsi="Times New Roman" w:cs="Times New Roman"/>
          <w:b/>
          <w:bCs/>
          <w:sz w:val="24"/>
          <w:szCs w:val="24"/>
        </w:rPr>
        <w:t xml:space="preserve">         </w:t>
      </w:r>
      <w:r w:rsidR="00C14D99" w:rsidRPr="00C14D99">
        <w:rPr>
          <w:rFonts w:ascii="Times New Roman" w:hAnsi="Times New Roman" w:cs="Times New Roman"/>
          <w:sz w:val="24"/>
          <w:szCs w:val="24"/>
        </w:rPr>
        <w:t>=</w:t>
      </w:r>
      <w:r w:rsidR="00C14D99" w:rsidRPr="00C14D99">
        <w:rPr>
          <w:rFonts w:ascii="Times New Roman" w:hAnsi="Times New Roman" w:cs="Times New Roman"/>
          <w:sz w:val="24"/>
          <w:szCs w:val="24"/>
        </w:rPr>
        <w:tab/>
      </w:r>
      <w:r w:rsidR="00461826">
        <w:rPr>
          <w:rFonts w:ascii="Times New Roman" w:hAnsi="Times New Roman" w:cs="Times New Roman"/>
          <w:sz w:val="24"/>
          <w:szCs w:val="24"/>
        </w:rPr>
        <w:t>P</w:t>
      </w:r>
      <w:r w:rsidR="00C14D99" w:rsidRPr="00C14D99">
        <w:rPr>
          <w:rFonts w:ascii="Times New Roman" w:hAnsi="Times New Roman" w:cs="Times New Roman"/>
          <w:sz w:val="24"/>
          <w:szCs w:val="24"/>
        </w:rPr>
        <w:t>opulation standard deviation</w:t>
      </w:r>
    </w:p>
    <w:p w14:paraId="41C24B50" w14:textId="7DE00B1D" w:rsidR="00C14D99" w:rsidRPr="00C14D99" w:rsidRDefault="00C14D99" w:rsidP="00461826">
      <w:pPr>
        <w:ind w:firstLine="720"/>
        <w:rPr>
          <w:rFonts w:ascii="Times New Roman" w:hAnsi="Times New Roman" w:cs="Times New Roman"/>
          <w:sz w:val="24"/>
          <w:szCs w:val="24"/>
        </w:rPr>
      </w:pPr>
      <w:r w:rsidRPr="00C14D99">
        <w:rPr>
          <w:rFonts w:ascii="Times New Roman" w:hAnsi="Times New Roman" w:cs="Times New Roman"/>
          <w:sz w:val="24"/>
          <w:szCs w:val="24"/>
        </w:rPr>
        <w:t>N</w:t>
      </w:r>
      <w:r w:rsidRPr="00C14D99">
        <w:rPr>
          <w:rFonts w:ascii="Times New Roman" w:hAnsi="Times New Roman" w:cs="Times New Roman"/>
          <w:sz w:val="24"/>
          <w:szCs w:val="24"/>
        </w:rPr>
        <w:tab/>
        <w:t>=</w:t>
      </w:r>
      <w:r w:rsidRPr="00C14D99">
        <w:rPr>
          <w:rFonts w:ascii="Times New Roman" w:hAnsi="Times New Roman" w:cs="Times New Roman"/>
          <w:sz w:val="24"/>
          <w:szCs w:val="24"/>
        </w:rPr>
        <w:tab/>
      </w:r>
      <w:r w:rsidR="00461826">
        <w:rPr>
          <w:rFonts w:ascii="Times New Roman" w:hAnsi="Times New Roman" w:cs="Times New Roman"/>
          <w:sz w:val="24"/>
          <w:szCs w:val="24"/>
        </w:rPr>
        <w:t>T</w:t>
      </w:r>
      <w:r w:rsidRPr="00C14D99">
        <w:rPr>
          <w:rFonts w:ascii="Times New Roman" w:hAnsi="Times New Roman" w:cs="Times New Roman"/>
          <w:sz w:val="24"/>
          <w:szCs w:val="24"/>
        </w:rPr>
        <w:t>he size of the population</w:t>
      </w:r>
    </w:p>
    <w:p w14:paraId="55D00737" w14:textId="1EB917E1" w:rsidR="00C14D99" w:rsidRPr="00C14D99" w:rsidRDefault="00000000" w:rsidP="00461826">
      <w:pPr>
        <w:ind w:firstLine="720"/>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i</m:t>
            </m:r>
          </m:sub>
        </m:sSub>
      </m:oMath>
      <w:r w:rsidR="00C14D99" w:rsidRPr="00C14D99">
        <w:rPr>
          <w:rFonts w:ascii="Times New Roman" w:hAnsi="Times New Roman" w:cs="Times New Roman"/>
          <w:sz w:val="24"/>
          <w:szCs w:val="24"/>
        </w:rPr>
        <w:tab/>
        <w:t>=</w:t>
      </w:r>
      <w:r w:rsidR="00C14D99" w:rsidRPr="00C14D99">
        <w:rPr>
          <w:rFonts w:ascii="Times New Roman" w:hAnsi="Times New Roman" w:cs="Times New Roman"/>
          <w:sz w:val="24"/>
          <w:szCs w:val="24"/>
        </w:rPr>
        <w:tab/>
      </w:r>
      <w:r w:rsidR="00461826">
        <w:rPr>
          <w:rFonts w:ascii="Times New Roman" w:hAnsi="Times New Roman" w:cs="Times New Roman"/>
          <w:sz w:val="24"/>
          <w:szCs w:val="24"/>
        </w:rPr>
        <w:t>E</w:t>
      </w:r>
      <w:r w:rsidR="00C14D99" w:rsidRPr="00C14D99">
        <w:rPr>
          <w:rFonts w:ascii="Times New Roman" w:hAnsi="Times New Roman" w:cs="Times New Roman"/>
          <w:sz w:val="24"/>
          <w:szCs w:val="24"/>
        </w:rPr>
        <w:t>ach value from the population</w:t>
      </w:r>
    </w:p>
    <w:p w14:paraId="28B1A9F0" w14:textId="7932BD51" w:rsidR="00C14D99" w:rsidRDefault="00C14D99" w:rsidP="00461826">
      <w:pPr>
        <w:ind w:firstLine="720"/>
        <w:rPr>
          <w:rFonts w:ascii="Times New Roman" w:hAnsi="Times New Roman" w:cs="Times New Roman"/>
          <w:sz w:val="24"/>
          <w:szCs w:val="24"/>
        </w:rPr>
      </w:pPr>
      <w:r w:rsidRPr="00C14D99">
        <w:rPr>
          <w:rFonts w:ascii="Times New Roman" w:hAnsi="Times New Roman" w:cs="Times New Roman"/>
          <w:b/>
          <w:bCs/>
          <w:color w:val="202122"/>
          <w:sz w:val="24"/>
          <w:szCs w:val="24"/>
          <w:shd w:val="clear" w:color="auto" w:fill="FFFFFF"/>
        </w:rPr>
        <w:t xml:space="preserve"> </w:t>
      </w:r>
      <w:r w:rsidRPr="00732987">
        <w:rPr>
          <w:rFonts w:ascii="Times New Roman" w:hAnsi="Times New Roman" w:cs="Times New Roman"/>
          <w:sz w:val="24"/>
          <w:szCs w:val="24"/>
        </w:rPr>
        <w:t>μ</w:t>
      </w:r>
      <w:r w:rsidRPr="00732987">
        <w:rPr>
          <w:rFonts w:ascii="Times New Roman" w:hAnsi="Times New Roman" w:cs="Times New Roman"/>
          <w:b/>
          <w:bCs/>
          <w:sz w:val="24"/>
          <w:szCs w:val="24"/>
        </w:rPr>
        <w:tab/>
      </w:r>
      <w:r w:rsidRPr="00C14D99">
        <w:rPr>
          <w:rFonts w:ascii="Times New Roman" w:hAnsi="Times New Roman" w:cs="Times New Roman"/>
          <w:sz w:val="24"/>
          <w:szCs w:val="24"/>
        </w:rPr>
        <w:t>=</w:t>
      </w:r>
      <w:r w:rsidRPr="00C14D99">
        <w:rPr>
          <w:rFonts w:ascii="Times New Roman" w:hAnsi="Times New Roman" w:cs="Times New Roman"/>
          <w:sz w:val="24"/>
          <w:szCs w:val="24"/>
        </w:rPr>
        <w:tab/>
      </w:r>
      <w:r w:rsidR="00461826">
        <w:rPr>
          <w:rFonts w:ascii="Times New Roman" w:hAnsi="Times New Roman" w:cs="Times New Roman"/>
          <w:sz w:val="24"/>
          <w:szCs w:val="24"/>
        </w:rPr>
        <w:t>T</w:t>
      </w:r>
      <w:r w:rsidRPr="00C14D99">
        <w:rPr>
          <w:rFonts w:ascii="Times New Roman" w:hAnsi="Times New Roman" w:cs="Times New Roman"/>
          <w:sz w:val="24"/>
          <w:szCs w:val="24"/>
        </w:rPr>
        <w:t>he population mean</w:t>
      </w:r>
      <w:r>
        <w:rPr>
          <w:rFonts w:ascii="Times New Roman" w:hAnsi="Times New Roman" w:cs="Times New Roman"/>
          <w:sz w:val="24"/>
          <w:szCs w:val="24"/>
        </w:rPr>
        <w:t>.</w:t>
      </w:r>
    </w:p>
    <w:p w14:paraId="651C1882" w14:textId="77777777" w:rsidR="00C14D99" w:rsidRDefault="00C14D99" w:rsidP="00C14D99">
      <w:pPr>
        <w:rPr>
          <w:rFonts w:ascii="Times New Roman" w:hAnsi="Times New Roman" w:cs="Times New Roman"/>
          <w:sz w:val="24"/>
          <w:szCs w:val="24"/>
        </w:rPr>
      </w:pPr>
    </w:p>
    <w:p w14:paraId="7BD5B513" w14:textId="7AE253AA" w:rsidR="00C14D99" w:rsidRDefault="00C14D99" w:rsidP="00AB4893">
      <w:pPr>
        <w:spacing w:line="360" w:lineRule="auto"/>
        <w:rPr>
          <w:rFonts w:ascii="Times New Roman" w:hAnsi="Times New Roman" w:cs="Times New Roman"/>
          <w:sz w:val="24"/>
          <w:szCs w:val="24"/>
        </w:rPr>
      </w:pPr>
      <w:r w:rsidRPr="00325F90">
        <w:rPr>
          <w:rFonts w:ascii="Times New Roman" w:hAnsi="Times New Roman" w:cs="Times New Roman"/>
          <w:b/>
          <w:bCs/>
          <w:sz w:val="24"/>
          <w:szCs w:val="24"/>
        </w:rPr>
        <w:t xml:space="preserve">Beta: </w:t>
      </w:r>
      <w:r w:rsidR="00AE1DF0" w:rsidRPr="00AE1DF0">
        <w:rPr>
          <w:rFonts w:ascii="Times New Roman" w:hAnsi="Times New Roman" w:cs="Times New Roman"/>
          <w:sz w:val="24"/>
          <w:szCs w:val="24"/>
        </w:rPr>
        <w:t xml:space="preserve">Beta is a metric for non-diversifiable or systematic risk. It calculates how sensitive the stock is in relation to a wide market index. </w:t>
      </w:r>
    </w:p>
    <w:p w14:paraId="3B6EF35C" w14:textId="4A08CD14" w:rsidR="00B65968" w:rsidRPr="009669A4" w:rsidRDefault="00B65968" w:rsidP="00C14D99">
      <w:pPr>
        <w:ind w:firstLine="720"/>
        <w:jc w:val="both"/>
        <w:rPr>
          <w:rFonts w:ascii="Times New Roman" w:hAnsi="Times New Roman" w:cs="Times New Roman"/>
          <w:sz w:val="24"/>
          <w:szCs w:val="24"/>
        </w:rPr>
      </w:pPr>
      <w:r w:rsidRPr="009669A4">
        <w:rPr>
          <w:rFonts w:ascii="Times New Roman" w:hAnsi="Times New Roman" w:cs="Times New Roman"/>
          <w:sz w:val="36"/>
          <w:szCs w:val="36"/>
        </w:rPr>
        <w:t>β =</w:t>
      </w:r>
      <m:oMath>
        <m:r>
          <w:rPr>
            <w:rFonts w:ascii="Cambria Math" w:hAnsi="Cambria Math" w:cs="Times New Roman"/>
            <w:sz w:val="36"/>
            <w:szCs w:val="36"/>
          </w:rPr>
          <m:t xml:space="preserve"> </m:t>
        </m:r>
        <m:f>
          <m:fPr>
            <m:ctrlPr>
              <w:rPr>
                <w:rFonts w:ascii="Cambria Math" w:hAnsi="Cambria Math" w:cs="Times New Roman"/>
                <w:i/>
                <w:sz w:val="36"/>
                <w:szCs w:val="36"/>
              </w:rPr>
            </m:ctrlPr>
          </m:fPr>
          <m:num>
            <m:r>
              <w:rPr>
                <w:rFonts w:ascii="Cambria Math" w:hAnsi="Cambria Math" w:cs="Times New Roman"/>
                <w:sz w:val="36"/>
                <w:szCs w:val="36"/>
              </w:rPr>
              <m:t>Covariance (</m:t>
            </m:r>
            <m:sSub>
              <m:sSubPr>
                <m:ctrlPr>
                  <w:rPr>
                    <w:rFonts w:ascii="Cambria Math" w:hAnsi="Cambria Math" w:cs="Times New Roman"/>
                    <w:i/>
                    <w:sz w:val="36"/>
                    <w:szCs w:val="36"/>
                  </w:rPr>
                </m:ctrlPr>
              </m:sSubPr>
              <m:e>
                <m:r>
                  <w:rPr>
                    <w:rFonts w:ascii="Cambria Math" w:hAnsi="Cambria Math" w:cs="Times New Roman"/>
                    <w:sz w:val="36"/>
                    <w:szCs w:val="36"/>
                  </w:rPr>
                  <m:t>r</m:t>
                </m:r>
              </m:e>
              <m:sub>
                <m:r>
                  <w:rPr>
                    <w:rFonts w:ascii="Cambria Math" w:hAnsi="Cambria Math" w:cs="Times New Roman"/>
                    <w:sz w:val="36"/>
                    <w:szCs w:val="36"/>
                  </w:rPr>
                  <m:t>market</m:t>
                </m:r>
              </m:sub>
            </m:sSub>
            <m:sSub>
              <m:sSubPr>
                <m:ctrlPr>
                  <w:rPr>
                    <w:rFonts w:ascii="Cambria Math" w:hAnsi="Cambria Math" w:cs="Times New Roman"/>
                    <w:i/>
                    <w:sz w:val="36"/>
                    <w:szCs w:val="36"/>
                  </w:rPr>
                </m:ctrlPr>
              </m:sSubPr>
              <m:e>
                <m:r>
                  <w:rPr>
                    <w:rFonts w:ascii="Cambria Math" w:hAnsi="Cambria Math" w:cs="Times New Roman"/>
                    <w:sz w:val="36"/>
                    <w:szCs w:val="36"/>
                  </w:rPr>
                  <m:t>,r</m:t>
                </m:r>
              </m:e>
              <m:sub>
                <m:r>
                  <w:rPr>
                    <w:rFonts w:ascii="Cambria Math" w:hAnsi="Cambria Math" w:cs="Times New Roman"/>
                    <w:sz w:val="36"/>
                    <w:szCs w:val="36"/>
                  </w:rPr>
                  <m:t>stock</m:t>
                </m:r>
              </m:sub>
            </m:sSub>
            <m:r>
              <w:rPr>
                <w:rFonts w:ascii="Cambria Math" w:hAnsi="Cambria Math" w:cs="Times New Roman"/>
                <w:sz w:val="36"/>
                <w:szCs w:val="36"/>
              </w:rPr>
              <m:t>)</m:t>
            </m:r>
          </m:num>
          <m:den>
            <m:r>
              <w:rPr>
                <w:rFonts w:ascii="Cambria Math" w:hAnsi="Cambria Math" w:cs="Times New Roman"/>
                <w:sz w:val="36"/>
                <w:szCs w:val="36"/>
              </w:rPr>
              <m:t>Variance(</m:t>
            </m:r>
            <m:sSub>
              <m:sSubPr>
                <m:ctrlPr>
                  <w:rPr>
                    <w:rFonts w:ascii="Cambria Math" w:hAnsi="Cambria Math" w:cs="Times New Roman"/>
                    <w:i/>
                    <w:sz w:val="36"/>
                    <w:szCs w:val="36"/>
                  </w:rPr>
                </m:ctrlPr>
              </m:sSubPr>
              <m:e>
                <m:r>
                  <w:rPr>
                    <w:rFonts w:ascii="Cambria Math" w:hAnsi="Cambria Math" w:cs="Times New Roman"/>
                    <w:sz w:val="36"/>
                    <w:szCs w:val="36"/>
                  </w:rPr>
                  <m:t>r</m:t>
                </m:r>
              </m:e>
              <m:sub>
                <m:r>
                  <w:rPr>
                    <w:rFonts w:ascii="Cambria Math" w:hAnsi="Cambria Math" w:cs="Times New Roman"/>
                    <w:sz w:val="36"/>
                    <w:szCs w:val="36"/>
                  </w:rPr>
                  <m:t>market</m:t>
                </m:r>
              </m:sub>
            </m:sSub>
            <m:r>
              <w:rPr>
                <w:rFonts w:ascii="Cambria Math" w:hAnsi="Cambria Math" w:cs="Times New Roman"/>
                <w:sz w:val="36"/>
                <w:szCs w:val="36"/>
              </w:rPr>
              <m:t>)</m:t>
            </m:r>
          </m:den>
        </m:f>
      </m:oMath>
      <w:r w:rsidRPr="009669A4">
        <w:rPr>
          <w:rFonts w:ascii="Times New Roman" w:eastAsiaTheme="minorEastAsia" w:hAnsi="Times New Roman" w:cs="Times New Roman"/>
          <w:sz w:val="36"/>
          <w:szCs w:val="36"/>
        </w:rPr>
        <w:t xml:space="preserve"> </w:t>
      </w:r>
      <w:r w:rsidRPr="009669A4">
        <w:rPr>
          <w:rFonts w:ascii="Times New Roman" w:eastAsiaTheme="minorEastAsia" w:hAnsi="Times New Roman" w:cs="Times New Roman"/>
          <w:sz w:val="24"/>
          <w:szCs w:val="24"/>
        </w:rPr>
        <w:t>………………………………………. (</w:t>
      </w:r>
      <w:r w:rsidR="0037198A" w:rsidRPr="009669A4">
        <w:rPr>
          <w:rFonts w:ascii="Times New Roman" w:eastAsiaTheme="minorEastAsia" w:hAnsi="Times New Roman" w:cs="Times New Roman"/>
          <w:sz w:val="24"/>
          <w:szCs w:val="24"/>
        </w:rPr>
        <w:t>iii</w:t>
      </w:r>
      <w:r w:rsidRPr="009669A4">
        <w:rPr>
          <w:rFonts w:ascii="Times New Roman" w:eastAsiaTheme="minorEastAsia" w:hAnsi="Times New Roman" w:cs="Times New Roman"/>
          <w:sz w:val="24"/>
          <w:szCs w:val="24"/>
        </w:rPr>
        <w:t>)</w:t>
      </w:r>
    </w:p>
    <w:p w14:paraId="50909AB4" w14:textId="77777777" w:rsidR="00C14D99" w:rsidRPr="00DA00A6" w:rsidRDefault="00C14D99" w:rsidP="00C14D99">
      <w:pPr>
        <w:ind w:firstLine="720"/>
        <w:jc w:val="both"/>
        <w:rPr>
          <w:rFonts w:ascii="Times New Roman" w:hAnsi="Times New Roman" w:cs="Times New Roman"/>
          <w:sz w:val="24"/>
          <w:szCs w:val="24"/>
        </w:rPr>
      </w:pPr>
      <w:proofErr w:type="gramStart"/>
      <w:r w:rsidRPr="00DA00A6">
        <w:rPr>
          <w:rFonts w:ascii="Times New Roman" w:hAnsi="Times New Roman" w:cs="Times New Roman"/>
          <w:sz w:val="24"/>
          <w:szCs w:val="24"/>
        </w:rPr>
        <w:t>Where</w:t>
      </w:r>
      <w:proofErr w:type="gramEnd"/>
      <w:r w:rsidRPr="00DA00A6">
        <w:rPr>
          <w:rFonts w:ascii="Times New Roman" w:hAnsi="Times New Roman" w:cs="Times New Roman"/>
          <w:sz w:val="24"/>
          <w:szCs w:val="24"/>
        </w:rPr>
        <w:t>,</w:t>
      </w:r>
    </w:p>
    <w:p w14:paraId="568BCE85" w14:textId="535CFF3F" w:rsidR="00C14D99" w:rsidRPr="002D0CBD" w:rsidRDefault="00C14D99" w:rsidP="00C14D99">
      <w:pPr>
        <w:ind w:firstLine="720"/>
        <w:jc w:val="both"/>
        <w:rPr>
          <w:rStyle w:val="mord"/>
          <w:rFonts w:ascii="Times New Roman" w:hAnsi="Times New Roman" w:cs="Times New Roman"/>
          <w:spacing w:val="1"/>
          <w:sz w:val="24"/>
          <w:szCs w:val="24"/>
          <w:shd w:val="clear" w:color="auto" w:fill="FFFFFF"/>
        </w:rPr>
      </w:pPr>
      <w:r w:rsidRPr="002D0CBD">
        <w:rPr>
          <w:rStyle w:val="mord"/>
          <w:rFonts w:ascii="Times New Roman" w:hAnsi="Times New Roman" w:cs="Times New Roman"/>
          <w:i/>
          <w:iCs/>
          <w:spacing w:val="1"/>
          <w:sz w:val="24"/>
          <w:szCs w:val="24"/>
          <w:shd w:val="clear" w:color="auto" w:fill="FFFFFF"/>
        </w:rPr>
        <w:t>Rm</w:t>
      </w:r>
      <w:r w:rsidR="00305932" w:rsidRPr="002D0CBD">
        <w:rPr>
          <w:rStyle w:val="mord"/>
          <w:rFonts w:ascii="Times New Roman" w:hAnsi="Times New Roman" w:cs="Times New Roman"/>
          <w:i/>
          <w:iCs/>
          <w:spacing w:val="1"/>
          <w:sz w:val="24"/>
          <w:szCs w:val="24"/>
          <w:shd w:val="clear" w:color="auto" w:fill="FFFFFF"/>
        </w:rPr>
        <w:t xml:space="preserve"> </w:t>
      </w:r>
      <w:r w:rsidRPr="002D0CBD">
        <w:rPr>
          <w:rStyle w:val="mord"/>
          <w:rFonts w:ascii="Times New Roman" w:hAnsi="Times New Roman" w:cs="Times New Roman"/>
          <w:i/>
          <w:iCs/>
          <w:spacing w:val="1"/>
          <w:sz w:val="24"/>
          <w:szCs w:val="24"/>
          <w:shd w:val="clear" w:color="auto" w:fill="FFFFFF"/>
        </w:rPr>
        <w:t>=</w:t>
      </w:r>
      <w:r w:rsidRPr="002D0CBD">
        <w:rPr>
          <w:rStyle w:val="mord"/>
          <w:rFonts w:ascii="Times New Roman" w:hAnsi="Times New Roman" w:cs="Times New Roman"/>
          <w:spacing w:val="1"/>
          <w:sz w:val="24"/>
          <w:szCs w:val="24"/>
          <w:shd w:val="clear" w:color="auto" w:fill="FFFFFF"/>
        </w:rPr>
        <w:t xml:space="preserve"> </w:t>
      </w:r>
      <w:r w:rsidR="00A26A46" w:rsidRPr="002D0CBD">
        <w:rPr>
          <w:rStyle w:val="mord"/>
          <w:rFonts w:ascii="Times New Roman" w:hAnsi="Times New Roman" w:cs="Times New Roman"/>
          <w:spacing w:val="1"/>
          <w:sz w:val="24"/>
          <w:szCs w:val="24"/>
          <w:shd w:val="clear" w:color="auto" w:fill="FFFFFF"/>
        </w:rPr>
        <w:t>the</w:t>
      </w:r>
      <w:r w:rsidRPr="002D0CBD">
        <w:rPr>
          <w:rStyle w:val="mord"/>
          <w:rFonts w:ascii="Times New Roman" w:hAnsi="Times New Roman" w:cs="Times New Roman"/>
          <w:spacing w:val="1"/>
          <w:sz w:val="24"/>
          <w:szCs w:val="24"/>
          <w:shd w:val="clear" w:color="auto" w:fill="FFFFFF"/>
        </w:rPr>
        <w:t xml:space="preserve"> return on the overall market</w:t>
      </w:r>
    </w:p>
    <w:p w14:paraId="4C7EAA12" w14:textId="6131ECF9" w:rsidR="00C14D99" w:rsidRPr="002D0CBD" w:rsidRDefault="00C14D99" w:rsidP="00C14D99">
      <w:pPr>
        <w:ind w:firstLine="720"/>
        <w:jc w:val="both"/>
        <w:rPr>
          <w:rStyle w:val="mord"/>
          <w:rFonts w:ascii="Times New Roman" w:hAnsi="Times New Roman" w:cs="Times New Roman"/>
          <w:spacing w:val="1"/>
          <w:sz w:val="24"/>
          <w:szCs w:val="24"/>
          <w:shd w:val="clear" w:color="auto" w:fill="FFFFFF"/>
        </w:rPr>
      </w:pPr>
      <w:r w:rsidRPr="002D0CBD">
        <w:rPr>
          <w:rStyle w:val="mord"/>
          <w:rFonts w:ascii="Times New Roman" w:hAnsi="Times New Roman" w:cs="Times New Roman"/>
          <w:i/>
          <w:iCs/>
          <w:spacing w:val="1"/>
          <w:sz w:val="24"/>
          <w:szCs w:val="24"/>
          <w:shd w:val="clear" w:color="auto" w:fill="FFFFFF"/>
        </w:rPr>
        <w:t>Rs</w:t>
      </w:r>
      <w:r w:rsidR="00305932" w:rsidRPr="002D0CBD">
        <w:rPr>
          <w:rStyle w:val="mord"/>
          <w:rFonts w:ascii="Times New Roman" w:hAnsi="Times New Roman" w:cs="Times New Roman"/>
          <w:i/>
          <w:iCs/>
          <w:spacing w:val="1"/>
          <w:sz w:val="24"/>
          <w:szCs w:val="24"/>
          <w:shd w:val="clear" w:color="auto" w:fill="FFFFFF"/>
        </w:rPr>
        <w:t xml:space="preserve"> </w:t>
      </w:r>
      <w:r w:rsidRPr="002D0CBD">
        <w:rPr>
          <w:rStyle w:val="mord"/>
          <w:rFonts w:ascii="Times New Roman" w:hAnsi="Times New Roman" w:cs="Times New Roman"/>
          <w:i/>
          <w:iCs/>
          <w:spacing w:val="1"/>
          <w:sz w:val="24"/>
          <w:szCs w:val="24"/>
          <w:shd w:val="clear" w:color="auto" w:fill="FFFFFF"/>
        </w:rPr>
        <w:t>=</w:t>
      </w:r>
      <w:r w:rsidRPr="002D0CBD">
        <w:rPr>
          <w:rStyle w:val="mord"/>
          <w:rFonts w:ascii="Times New Roman" w:hAnsi="Times New Roman" w:cs="Times New Roman"/>
          <w:spacing w:val="1"/>
          <w:sz w:val="24"/>
          <w:szCs w:val="24"/>
          <w:shd w:val="clear" w:color="auto" w:fill="FFFFFF"/>
        </w:rPr>
        <w:t xml:space="preserve"> </w:t>
      </w:r>
      <w:r w:rsidR="00A26A46" w:rsidRPr="002D0CBD">
        <w:rPr>
          <w:rStyle w:val="mord"/>
          <w:rFonts w:ascii="Times New Roman" w:hAnsi="Times New Roman" w:cs="Times New Roman"/>
          <w:spacing w:val="1"/>
          <w:sz w:val="24"/>
          <w:szCs w:val="24"/>
          <w:shd w:val="clear" w:color="auto" w:fill="FFFFFF"/>
        </w:rPr>
        <w:t>the</w:t>
      </w:r>
      <w:r w:rsidRPr="002D0CBD">
        <w:rPr>
          <w:rStyle w:val="mord"/>
          <w:rFonts w:ascii="Times New Roman" w:hAnsi="Times New Roman" w:cs="Times New Roman"/>
          <w:spacing w:val="1"/>
          <w:sz w:val="24"/>
          <w:szCs w:val="24"/>
          <w:shd w:val="clear" w:color="auto" w:fill="FFFFFF"/>
        </w:rPr>
        <w:t xml:space="preserve"> return on an individual stock</w:t>
      </w:r>
    </w:p>
    <w:p w14:paraId="324F41A4" w14:textId="05AB85E3" w:rsidR="00C14D99" w:rsidRPr="002D0CBD" w:rsidRDefault="00C14D99" w:rsidP="00C14D99">
      <w:pPr>
        <w:ind w:left="720"/>
        <w:rPr>
          <w:rStyle w:val="mord"/>
          <w:rFonts w:ascii="Times New Roman" w:hAnsi="Times New Roman" w:cs="Times New Roman"/>
          <w:spacing w:val="1"/>
          <w:sz w:val="24"/>
          <w:szCs w:val="24"/>
          <w:shd w:val="clear" w:color="auto" w:fill="FFFFFF"/>
        </w:rPr>
      </w:pPr>
      <w:r w:rsidRPr="002D0CBD">
        <w:rPr>
          <w:rStyle w:val="mord"/>
          <w:rFonts w:ascii="Times New Roman" w:hAnsi="Times New Roman" w:cs="Times New Roman"/>
          <w:spacing w:val="1"/>
          <w:sz w:val="24"/>
          <w:szCs w:val="24"/>
          <w:shd w:val="clear" w:color="auto" w:fill="FFFFFF"/>
        </w:rPr>
        <w:t>Covariance</w:t>
      </w:r>
      <w:r w:rsidR="00305932" w:rsidRPr="002D0CBD">
        <w:rPr>
          <w:rStyle w:val="mord"/>
          <w:rFonts w:ascii="Times New Roman" w:hAnsi="Times New Roman" w:cs="Times New Roman"/>
          <w:spacing w:val="1"/>
          <w:sz w:val="24"/>
          <w:szCs w:val="24"/>
          <w:shd w:val="clear" w:color="auto" w:fill="FFFFFF"/>
        </w:rPr>
        <w:t xml:space="preserve"> </w:t>
      </w:r>
      <w:r w:rsidRPr="002D0CBD">
        <w:rPr>
          <w:rStyle w:val="mord"/>
          <w:rFonts w:ascii="Times New Roman" w:hAnsi="Times New Roman" w:cs="Times New Roman"/>
          <w:spacing w:val="1"/>
          <w:sz w:val="24"/>
          <w:szCs w:val="24"/>
          <w:shd w:val="clear" w:color="auto" w:fill="FFFFFF"/>
        </w:rPr>
        <w:t>= How change in a stock’s market returns is related to changes in the market’s returns.</w:t>
      </w:r>
    </w:p>
    <w:p w14:paraId="057EDC1A" w14:textId="15A52CFC" w:rsidR="00EC0FC8" w:rsidRPr="00573732" w:rsidRDefault="00C14D99" w:rsidP="00573732">
      <w:pPr>
        <w:ind w:firstLine="720"/>
        <w:jc w:val="both"/>
        <w:rPr>
          <w:rFonts w:ascii="Times New Roman" w:hAnsi="Times New Roman" w:cs="Times New Roman"/>
          <w:spacing w:val="1"/>
          <w:sz w:val="24"/>
          <w:szCs w:val="24"/>
          <w:shd w:val="clear" w:color="auto" w:fill="FFFFFF"/>
        </w:rPr>
      </w:pPr>
      <w:r w:rsidRPr="002D0CBD">
        <w:rPr>
          <w:rStyle w:val="mord"/>
          <w:rFonts w:ascii="Times New Roman" w:hAnsi="Times New Roman" w:cs="Times New Roman"/>
          <w:spacing w:val="1"/>
          <w:sz w:val="24"/>
          <w:szCs w:val="24"/>
          <w:shd w:val="clear" w:color="auto" w:fill="FFFFFF"/>
        </w:rPr>
        <w:t>Variance</w:t>
      </w:r>
      <w:r w:rsidR="00305932" w:rsidRPr="002D0CBD">
        <w:rPr>
          <w:rStyle w:val="mord"/>
          <w:rFonts w:ascii="Times New Roman" w:hAnsi="Times New Roman" w:cs="Times New Roman"/>
          <w:spacing w:val="1"/>
          <w:sz w:val="24"/>
          <w:szCs w:val="24"/>
          <w:shd w:val="clear" w:color="auto" w:fill="FFFFFF"/>
        </w:rPr>
        <w:t xml:space="preserve"> </w:t>
      </w:r>
      <w:r w:rsidRPr="002D0CBD">
        <w:rPr>
          <w:rStyle w:val="mord"/>
          <w:rFonts w:ascii="Times New Roman" w:hAnsi="Times New Roman" w:cs="Times New Roman"/>
          <w:spacing w:val="1"/>
          <w:sz w:val="24"/>
          <w:szCs w:val="24"/>
          <w:shd w:val="clear" w:color="auto" w:fill="FFFFFF"/>
        </w:rPr>
        <w:t>=</w:t>
      </w:r>
      <w:r w:rsidRPr="00DA00A6">
        <w:rPr>
          <w:rStyle w:val="mord"/>
          <w:rFonts w:ascii="Times New Roman" w:hAnsi="Times New Roman" w:cs="Times New Roman"/>
          <w:spacing w:val="1"/>
          <w:sz w:val="24"/>
          <w:szCs w:val="24"/>
          <w:shd w:val="clear" w:color="auto" w:fill="FFFFFF"/>
        </w:rPr>
        <w:t xml:space="preserve"> How far the market’s data points spread out from their average value.</w:t>
      </w:r>
    </w:p>
    <w:p w14:paraId="26F4FD8B" w14:textId="30DD8576" w:rsidR="00B65968" w:rsidRPr="00CB7B40" w:rsidRDefault="00C14D99" w:rsidP="00CB7B40">
      <w:pPr>
        <w:spacing w:line="360" w:lineRule="auto"/>
        <w:jc w:val="both"/>
        <w:rPr>
          <w:rFonts w:ascii="Times New Roman" w:hAnsi="Times New Roman" w:cs="Times New Roman"/>
          <w:sz w:val="24"/>
          <w:szCs w:val="24"/>
        </w:rPr>
      </w:pPr>
      <w:r w:rsidRPr="00325F90">
        <w:rPr>
          <w:rFonts w:ascii="Times New Roman" w:hAnsi="Times New Roman" w:cs="Times New Roman"/>
          <w:b/>
          <w:bCs/>
          <w:sz w:val="24"/>
          <w:szCs w:val="24"/>
        </w:rPr>
        <w:t xml:space="preserve">Unsystematic Risk:  </w:t>
      </w:r>
      <w:r w:rsidR="00AE1DF0" w:rsidRPr="00AE1DF0">
        <w:rPr>
          <w:rFonts w:ascii="Times New Roman" w:hAnsi="Times New Roman" w:cs="Times New Roman"/>
          <w:sz w:val="24"/>
          <w:szCs w:val="24"/>
        </w:rPr>
        <w:t>Unsystematic risk, usually referred to as specific risk, refers to the risks that are particular to a particular business or sector. These hazards, however, don't only affect one company at a time. A bad management, for instance, might be a particular danger to the stock price of a single firm. And that's how unsystematic risk may be quantified statistically.</w:t>
      </w:r>
    </w:p>
    <w:p w14:paraId="2A8BFD79" w14:textId="15CE92AC" w:rsidR="00C14D99" w:rsidRPr="00573732" w:rsidRDefault="00000000" w:rsidP="00CB7B40">
      <w:pPr>
        <w:ind w:left="720" w:firstLine="720"/>
        <w:rPr>
          <w:rFonts w:ascii="Times New Roman" w:hAnsi="Times New Roman" w:cs="Times New Roman"/>
          <w:sz w:val="28"/>
          <w:szCs w:val="28"/>
        </w:rPr>
      </w:pPr>
      <m:oMath>
        <m:sSub>
          <m:sSubPr>
            <m:ctrlPr>
              <w:rPr>
                <w:rFonts w:ascii="Cambria Math" w:hAnsi="Cambria Math" w:cs="Times New Roman"/>
                <w:i/>
                <w:sz w:val="32"/>
                <w:szCs w:val="32"/>
              </w:rPr>
            </m:ctrlPr>
          </m:sSubPr>
          <m:e>
            <m:r>
              <m:rPr>
                <m:sty m:val="p"/>
              </m:rPr>
              <w:rPr>
                <w:rFonts w:ascii="Cambria Math" w:hAnsi="Cambria Math" w:cs="Times New Roman"/>
                <w:sz w:val="32"/>
                <w:szCs w:val="32"/>
              </w:rPr>
              <m:t>σ</m:t>
            </m:r>
          </m:e>
          <m:sub>
            <m:r>
              <m:rPr>
                <m:sty m:val="b"/>
              </m:rPr>
              <w:rPr>
                <w:rFonts w:ascii="Cambria Math" w:hAnsi="Cambria Math" w:cs="Times New Roman"/>
                <w:sz w:val="32"/>
                <w:szCs w:val="32"/>
              </w:rPr>
              <m:t>€</m:t>
            </m:r>
          </m:sub>
        </m:sSub>
      </m:oMath>
      <w:r w:rsidR="00B65968" w:rsidRPr="00071C0B">
        <w:rPr>
          <w:rFonts w:ascii="Times New Roman" w:eastAsiaTheme="minorEastAsia" w:hAnsi="Times New Roman" w:cs="Times New Roman"/>
          <w:sz w:val="32"/>
          <w:szCs w:val="32"/>
        </w:rPr>
        <w:t>=</w:t>
      </w:r>
      <m:oMath>
        <m:rad>
          <m:radPr>
            <m:degHide m:val="1"/>
            <m:ctrlPr>
              <w:rPr>
                <w:rFonts w:ascii="Cambria Math" w:eastAsiaTheme="minorEastAsia" w:hAnsi="Cambria Math" w:cs="Times New Roman"/>
                <w:i/>
                <w:sz w:val="32"/>
                <w:szCs w:val="32"/>
              </w:rPr>
            </m:ctrlPr>
          </m:radPr>
          <m:deg/>
          <m:e>
            <m:sSup>
              <m:sSupPr>
                <m:ctrlPr>
                  <w:rPr>
                    <w:rFonts w:ascii="Cambria Math" w:hAnsi="Cambria Math" w:cs="Times New Roman"/>
                    <w:sz w:val="32"/>
                    <w:szCs w:val="32"/>
                  </w:rPr>
                </m:ctrlPr>
              </m:sSupPr>
              <m:e>
                <m:r>
                  <w:rPr>
                    <w:rFonts w:ascii="Cambria Math" w:hAnsi="Cambria Math" w:cs="Times New Roman"/>
                    <w:sz w:val="32"/>
                    <w:szCs w:val="32"/>
                  </w:rPr>
                  <m:t>σ</m:t>
                </m:r>
              </m:e>
              <m:sup>
                <m:r>
                  <w:rPr>
                    <w:rFonts w:ascii="Cambria Math" w:hAnsi="Cambria Math" w:cs="Times New Roman"/>
                    <w:sz w:val="32"/>
                    <w:szCs w:val="32"/>
                  </w:rPr>
                  <m:t>2</m:t>
                </m:r>
              </m:sup>
            </m:sSup>
            <m:r>
              <m:rPr>
                <m:sty m:val="p"/>
              </m:rPr>
              <w:rPr>
                <w:rFonts w:ascii="Cambria Math" w:hAnsi="Cambria Math" w:cs="Times New Roman"/>
                <w:sz w:val="32"/>
                <w:szCs w:val="32"/>
                <w:vertAlign w:val="superscript"/>
              </w:rPr>
              <m:t xml:space="preserve"> </m:t>
            </m:r>
            <m:r>
              <m:rPr>
                <m:sty m:val="p"/>
              </m:rPr>
              <w:rPr>
                <w:rFonts w:ascii="Cambria Math" w:hAnsi="Cambria Math" w:cs="Times New Roman"/>
                <w:sz w:val="32"/>
                <w:szCs w:val="32"/>
              </w:rPr>
              <m:t>j-β²j.</m:t>
            </m:r>
            <m:r>
              <m:rPr>
                <m:sty m:val="p"/>
              </m:rPr>
              <w:rPr>
                <w:rFonts w:ascii="Cambria Math" w:hAnsi="Cambria Math" w:cs="Times New Roman"/>
                <w:color w:val="4D5156"/>
                <w:sz w:val="32"/>
                <w:szCs w:val="32"/>
                <w:shd w:val="clear" w:color="auto" w:fill="FFFFFF"/>
              </w:rPr>
              <m:t xml:space="preserve"> </m:t>
            </m:r>
            <m:sSup>
              <m:sSupPr>
                <m:ctrlPr>
                  <w:rPr>
                    <w:rFonts w:ascii="Cambria Math" w:hAnsi="Cambria Math" w:cs="Times New Roman"/>
                    <w:sz w:val="32"/>
                    <w:szCs w:val="32"/>
                  </w:rPr>
                </m:ctrlPr>
              </m:sSupPr>
              <m:e>
                <m:r>
                  <w:rPr>
                    <w:rFonts w:ascii="Cambria Math" w:hAnsi="Cambria Math" w:cs="Times New Roman"/>
                    <w:sz w:val="32"/>
                    <w:szCs w:val="32"/>
                  </w:rPr>
                  <m:t>σ</m:t>
                </m:r>
              </m:e>
              <m:sup>
                <m:r>
                  <w:rPr>
                    <w:rFonts w:ascii="Cambria Math" w:hAnsi="Cambria Math" w:cs="Times New Roman"/>
                    <w:sz w:val="32"/>
                    <w:szCs w:val="32"/>
                  </w:rPr>
                  <m:t>2</m:t>
                </m:r>
              </m:sup>
            </m:sSup>
            <m:r>
              <m:rPr>
                <m:sty m:val="p"/>
              </m:rPr>
              <w:rPr>
                <w:rFonts w:ascii="Cambria Math" w:hAnsi="Cambria Math" w:cs="Times New Roman"/>
                <w:sz w:val="32"/>
                <w:szCs w:val="32"/>
                <w:vertAlign w:val="superscript"/>
              </w:rPr>
              <m:t xml:space="preserve"> m </m:t>
            </m:r>
          </m:e>
        </m:rad>
      </m:oMath>
      <w:r w:rsidR="00345BE1" w:rsidRPr="00573732">
        <w:rPr>
          <w:rFonts w:ascii="Times New Roman" w:eastAsiaTheme="minorEastAsia" w:hAnsi="Times New Roman" w:cs="Times New Roman"/>
          <w:sz w:val="28"/>
          <w:szCs w:val="28"/>
        </w:rPr>
        <w:t xml:space="preserve"> ……………………………………. (</w:t>
      </w:r>
      <w:r w:rsidR="0037198A" w:rsidRPr="00573732">
        <w:rPr>
          <w:rFonts w:ascii="Times New Roman" w:eastAsiaTheme="minorEastAsia" w:hAnsi="Times New Roman" w:cs="Times New Roman"/>
          <w:sz w:val="28"/>
          <w:szCs w:val="28"/>
        </w:rPr>
        <w:t>iv</w:t>
      </w:r>
      <w:r w:rsidR="00345BE1" w:rsidRPr="00573732">
        <w:rPr>
          <w:rFonts w:ascii="Times New Roman" w:eastAsiaTheme="minorEastAsia" w:hAnsi="Times New Roman" w:cs="Times New Roman"/>
          <w:sz w:val="28"/>
          <w:szCs w:val="28"/>
        </w:rPr>
        <w:t>)</w:t>
      </w:r>
    </w:p>
    <w:p w14:paraId="5787D3B6" w14:textId="77777777" w:rsidR="00C14D99" w:rsidRPr="00C14D99" w:rsidRDefault="00C14D99" w:rsidP="00DD0161">
      <w:pPr>
        <w:spacing w:after="0" w:line="240" w:lineRule="auto"/>
        <w:rPr>
          <w:rFonts w:ascii="Times New Roman" w:hAnsi="Times New Roman" w:cs="Times New Roman"/>
          <w:sz w:val="24"/>
          <w:szCs w:val="24"/>
        </w:rPr>
      </w:pPr>
      <w:proofErr w:type="gramStart"/>
      <w:r w:rsidRPr="00C14D99">
        <w:rPr>
          <w:rFonts w:ascii="Times New Roman" w:hAnsi="Times New Roman" w:cs="Times New Roman"/>
          <w:sz w:val="24"/>
          <w:szCs w:val="24"/>
        </w:rPr>
        <w:t>Where</w:t>
      </w:r>
      <w:proofErr w:type="gramEnd"/>
      <w:r w:rsidRPr="00C14D99">
        <w:rPr>
          <w:rFonts w:ascii="Times New Roman" w:hAnsi="Times New Roman" w:cs="Times New Roman"/>
          <w:sz w:val="24"/>
          <w:szCs w:val="24"/>
        </w:rPr>
        <w:t>,</w:t>
      </w:r>
    </w:p>
    <w:p w14:paraId="10D1D545" w14:textId="1E380CD7" w:rsidR="00C14D99" w:rsidRPr="00C14D99" w:rsidRDefault="00C14D99" w:rsidP="00DD0161">
      <w:pPr>
        <w:spacing w:after="0" w:line="240" w:lineRule="auto"/>
        <w:ind w:firstLine="720"/>
        <w:rPr>
          <w:rFonts w:ascii="Times New Roman" w:hAnsi="Times New Roman" w:cs="Times New Roman"/>
          <w:sz w:val="24"/>
          <w:szCs w:val="24"/>
        </w:rPr>
      </w:pPr>
      <w:r w:rsidRPr="00C64598">
        <w:rPr>
          <w:rFonts w:ascii="Times New Roman" w:hAnsi="Times New Roman" w:cs="Times New Roman"/>
        </w:rPr>
        <w:t xml:space="preserve"> </w:t>
      </w:r>
      <w:r w:rsidRPr="00C64598">
        <w:rPr>
          <w:rFonts w:ascii="Times New Roman" w:hAnsi="Times New Roman" w:cs="Times New Roman"/>
          <w:sz w:val="40"/>
          <w:szCs w:val="40"/>
        </w:rPr>
        <w:t>σ</w:t>
      </w:r>
      <w:r w:rsidRPr="00DA00A6">
        <w:rPr>
          <w:rFonts w:ascii="Times New Roman" w:hAnsi="Times New Roman" w:cs="Times New Roman"/>
          <w:b/>
          <w:bCs/>
        </w:rPr>
        <w:t>€</w:t>
      </w:r>
      <w:r w:rsidR="00CB7B40">
        <w:rPr>
          <w:rFonts w:ascii="Times New Roman" w:hAnsi="Times New Roman" w:cs="Times New Roman"/>
          <w:b/>
          <w:bCs/>
        </w:rPr>
        <w:t xml:space="preserve"> </w:t>
      </w:r>
      <w:r w:rsidRPr="00DA00A6">
        <w:rPr>
          <w:rFonts w:ascii="Times New Roman" w:hAnsi="Times New Roman" w:cs="Times New Roman"/>
        </w:rPr>
        <w:t xml:space="preserve">= </w:t>
      </w:r>
      <w:r w:rsidRPr="00C14D99">
        <w:rPr>
          <w:rFonts w:ascii="Times New Roman" w:hAnsi="Times New Roman" w:cs="Times New Roman"/>
          <w:sz w:val="24"/>
          <w:szCs w:val="24"/>
        </w:rPr>
        <w:t>unsystematic risk of mutual fund</w:t>
      </w:r>
    </w:p>
    <w:p w14:paraId="5CEF7DF9" w14:textId="67514375" w:rsidR="00C14D99" w:rsidRPr="00C14D99" w:rsidRDefault="00C14D99" w:rsidP="00DD0161">
      <w:pPr>
        <w:spacing w:after="0" w:line="240" w:lineRule="auto"/>
        <w:rPr>
          <w:rFonts w:ascii="Times New Roman" w:hAnsi="Times New Roman" w:cs="Times New Roman"/>
          <w:sz w:val="24"/>
          <w:szCs w:val="24"/>
        </w:rPr>
      </w:pPr>
      <w:r w:rsidRPr="00DA00A6">
        <w:rPr>
          <w:rFonts w:ascii="Times New Roman" w:hAnsi="Times New Roman" w:cs="Times New Roman"/>
        </w:rPr>
        <w:lastRenderedPageBreak/>
        <w:tab/>
      </w:r>
      <w:r w:rsidRPr="00DA00A6">
        <w:rPr>
          <w:rFonts w:ascii="Times New Roman" w:hAnsi="Times New Roman" w:cs="Times New Roman"/>
          <w:sz w:val="38"/>
          <w:szCs w:val="38"/>
        </w:rPr>
        <w:t>σ</w:t>
      </w:r>
      <w:r w:rsidRPr="00DA00A6">
        <w:rPr>
          <w:rFonts w:ascii="Times New Roman" w:hAnsi="Times New Roman" w:cs="Times New Roman"/>
          <w:sz w:val="38"/>
          <w:szCs w:val="38"/>
          <w:vertAlign w:val="superscript"/>
        </w:rPr>
        <w:t>2</w:t>
      </w:r>
      <w:r w:rsidRPr="00DA00A6">
        <w:rPr>
          <w:rFonts w:ascii="Times New Roman" w:hAnsi="Times New Roman" w:cs="Times New Roman"/>
          <w:vertAlign w:val="superscript"/>
        </w:rPr>
        <w:t xml:space="preserve"> </w:t>
      </w:r>
      <w:r w:rsidRPr="00DA00A6">
        <w:rPr>
          <w:rFonts w:ascii="Times New Roman" w:hAnsi="Times New Roman" w:cs="Times New Roman"/>
        </w:rPr>
        <w:t>j</w:t>
      </w:r>
      <w:r w:rsidR="00CB7B40">
        <w:rPr>
          <w:rFonts w:ascii="Times New Roman" w:hAnsi="Times New Roman" w:cs="Times New Roman"/>
        </w:rPr>
        <w:t xml:space="preserve"> </w:t>
      </w:r>
      <w:r w:rsidRPr="00DA00A6">
        <w:rPr>
          <w:rFonts w:ascii="Times New Roman" w:hAnsi="Times New Roman" w:cs="Times New Roman"/>
        </w:rPr>
        <w:t xml:space="preserve">= </w:t>
      </w:r>
      <w:r w:rsidRPr="00C14D99">
        <w:rPr>
          <w:rFonts w:ascii="Times New Roman" w:hAnsi="Times New Roman" w:cs="Times New Roman"/>
          <w:sz w:val="24"/>
          <w:szCs w:val="24"/>
        </w:rPr>
        <w:t>Total Risk of mutual fund</w:t>
      </w:r>
    </w:p>
    <w:p w14:paraId="2B3C4E54" w14:textId="698D6763" w:rsidR="00F713D1" w:rsidRPr="00CB7B40" w:rsidRDefault="00C14D99" w:rsidP="00DD0161">
      <w:pPr>
        <w:spacing w:after="0" w:line="240" w:lineRule="auto"/>
        <w:ind w:firstLine="720"/>
        <w:rPr>
          <w:rFonts w:ascii="Times New Roman" w:hAnsi="Times New Roman" w:cs="Times New Roman"/>
          <w:sz w:val="40"/>
          <w:szCs w:val="40"/>
          <w:vertAlign w:val="superscript"/>
        </w:rPr>
      </w:pPr>
      <w:r w:rsidRPr="00DA00A6">
        <w:rPr>
          <w:rFonts w:ascii="Times New Roman" w:hAnsi="Times New Roman" w:cs="Times New Roman"/>
          <w:sz w:val="36"/>
          <w:szCs w:val="36"/>
        </w:rPr>
        <w:t>β²</w:t>
      </w:r>
      <w:r w:rsidRPr="00DA00A6">
        <w:rPr>
          <w:rFonts w:ascii="Times New Roman" w:hAnsi="Times New Roman" w:cs="Times New Roman"/>
        </w:rPr>
        <w:t>j.</w:t>
      </w:r>
      <w:r w:rsidRPr="00DA00A6">
        <w:rPr>
          <w:rFonts w:ascii="Times New Roman" w:hAnsi="Times New Roman" w:cs="Times New Roman"/>
          <w:color w:val="4D5156"/>
          <w:sz w:val="21"/>
          <w:szCs w:val="21"/>
          <w:shd w:val="clear" w:color="auto" w:fill="FFFFFF"/>
        </w:rPr>
        <w:t xml:space="preserve"> </w:t>
      </w:r>
      <w:r w:rsidRPr="00DA00A6">
        <w:rPr>
          <w:rFonts w:ascii="Times New Roman" w:hAnsi="Times New Roman" w:cs="Times New Roman"/>
          <w:sz w:val="38"/>
          <w:szCs w:val="38"/>
        </w:rPr>
        <w:t>σ</w:t>
      </w:r>
      <w:r w:rsidRPr="00DA00A6">
        <w:rPr>
          <w:rFonts w:ascii="Times New Roman" w:hAnsi="Times New Roman" w:cs="Times New Roman"/>
          <w:sz w:val="38"/>
          <w:szCs w:val="38"/>
          <w:vertAlign w:val="superscript"/>
        </w:rPr>
        <w:t>2</w:t>
      </w:r>
      <w:r w:rsidRPr="00DA00A6">
        <w:rPr>
          <w:rFonts w:ascii="Times New Roman" w:hAnsi="Times New Roman" w:cs="Times New Roman"/>
          <w:vertAlign w:val="superscript"/>
        </w:rPr>
        <w:t xml:space="preserve"> </w:t>
      </w:r>
      <w:proofErr w:type="gramStart"/>
      <w:r w:rsidRPr="00DA00A6">
        <w:rPr>
          <w:rFonts w:ascii="Times New Roman" w:hAnsi="Times New Roman" w:cs="Times New Roman"/>
          <w:vertAlign w:val="superscript"/>
        </w:rPr>
        <w:t xml:space="preserve">m </w:t>
      </w:r>
      <w:r w:rsidR="00CB7B40">
        <w:rPr>
          <w:rFonts w:ascii="Times New Roman" w:hAnsi="Times New Roman" w:cs="Times New Roman"/>
          <w:vertAlign w:val="superscript"/>
        </w:rPr>
        <w:t xml:space="preserve"> </w:t>
      </w:r>
      <w:r w:rsidRPr="00DA00A6">
        <w:rPr>
          <w:rFonts w:ascii="Times New Roman" w:hAnsi="Times New Roman" w:cs="Times New Roman"/>
          <w:sz w:val="42"/>
          <w:szCs w:val="42"/>
          <w:vertAlign w:val="superscript"/>
        </w:rPr>
        <w:t>=</w:t>
      </w:r>
      <w:proofErr w:type="gramEnd"/>
      <w:r w:rsidRPr="00DA00A6">
        <w:rPr>
          <w:rFonts w:ascii="Times New Roman" w:hAnsi="Times New Roman" w:cs="Times New Roman"/>
          <w:sz w:val="42"/>
          <w:szCs w:val="42"/>
          <w:vertAlign w:val="superscript"/>
        </w:rPr>
        <w:t xml:space="preserve"> </w:t>
      </w:r>
      <w:r w:rsidRPr="00C14D99">
        <w:rPr>
          <w:rFonts w:ascii="Times New Roman" w:hAnsi="Times New Roman" w:cs="Times New Roman"/>
          <w:sz w:val="36"/>
          <w:szCs w:val="36"/>
          <w:vertAlign w:val="superscript"/>
        </w:rPr>
        <w:t>Market risk</w:t>
      </w:r>
      <w:r w:rsidRPr="00C14D99">
        <w:rPr>
          <w:rFonts w:ascii="Times New Roman" w:hAnsi="Times New Roman" w:cs="Times New Roman"/>
          <w:sz w:val="40"/>
          <w:szCs w:val="40"/>
          <w:vertAlign w:val="superscript"/>
        </w:rPr>
        <w:t xml:space="preserve"> </w:t>
      </w:r>
    </w:p>
    <w:p w14:paraId="66459092" w14:textId="31D7594F" w:rsidR="00C14D99" w:rsidRPr="002A3549" w:rsidRDefault="00C14D99" w:rsidP="00A54CC1">
      <w:pPr>
        <w:spacing w:line="360" w:lineRule="auto"/>
        <w:jc w:val="both"/>
        <w:rPr>
          <w:rFonts w:ascii="Times New Roman" w:hAnsi="Times New Roman" w:cs="Times New Roman"/>
          <w:sz w:val="24"/>
          <w:szCs w:val="24"/>
        </w:rPr>
      </w:pPr>
      <w:r w:rsidRPr="00C14D99">
        <w:rPr>
          <w:rFonts w:ascii="Times New Roman" w:hAnsi="Times New Roman" w:cs="Times New Roman"/>
          <w:b/>
          <w:bCs/>
          <w:sz w:val="24"/>
          <w:szCs w:val="24"/>
        </w:rPr>
        <w:t>R-squared (R²)</w:t>
      </w:r>
      <w:r>
        <w:rPr>
          <w:rFonts w:ascii="Times New Roman" w:hAnsi="Times New Roman" w:cs="Times New Roman"/>
          <w:b/>
          <w:bCs/>
          <w:sz w:val="24"/>
          <w:szCs w:val="24"/>
        </w:rPr>
        <w:t xml:space="preserve">: </w:t>
      </w:r>
      <w:r w:rsidR="002A3549" w:rsidRPr="002A3549">
        <w:rPr>
          <w:rFonts w:ascii="Times New Roman" w:hAnsi="Times New Roman" w:cs="Times New Roman"/>
          <w:sz w:val="24"/>
          <w:szCs w:val="24"/>
        </w:rPr>
        <w:t>An indicator of how effectively a model's independent variable or variables explain variance in the dependent variable is called R². A score of 1 indicates a perfect match between the model and the data, and its values range from 0 to 1.</w:t>
      </w:r>
    </w:p>
    <w:p w14:paraId="7FB0E9E0" w14:textId="6236DCB2" w:rsidR="00C14D99" w:rsidRDefault="00C14D99" w:rsidP="00A54CC1">
      <w:pPr>
        <w:spacing w:line="360" w:lineRule="auto"/>
        <w:jc w:val="both"/>
        <w:rPr>
          <w:rFonts w:ascii="Times New Roman" w:hAnsi="Times New Roman" w:cs="Times New Roman"/>
          <w:sz w:val="24"/>
          <w:szCs w:val="24"/>
        </w:rPr>
      </w:pPr>
      <w:r w:rsidRPr="00C14D99">
        <w:rPr>
          <w:rFonts w:ascii="Times New Roman" w:hAnsi="Times New Roman" w:cs="Times New Roman"/>
          <w:sz w:val="24"/>
          <w:szCs w:val="24"/>
        </w:rPr>
        <w:t>To calculate R², several steps are involved. First, data points for both the dependent and independent variables are collected. Then, regression analysis is performed to determine the line of best fit, which represents the relationship between the variables. This regression line provides a visual representation of how closely the independent variables correlate with the dependent variable.</w:t>
      </w:r>
    </w:p>
    <w:p w14:paraId="47329886" w14:textId="48F6C2F9" w:rsidR="00C14D99" w:rsidRPr="00325F90" w:rsidRDefault="00C14D99" w:rsidP="00212467">
      <w:pPr>
        <w:spacing w:line="360" w:lineRule="auto"/>
        <w:jc w:val="both"/>
        <w:rPr>
          <w:rFonts w:ascii="Times New Roman" w:hAnsi="Times New Roman" w:cs="Times New Roman"/>
          <w:sz w:val="24"/>
          <w:szCs w:val="24"/>
        </w:rPr>
      </w:pPr>
      <w:r w:rsidRPr="00C14D99">
        <w:rPr>
          <w:rFonts w:ascii="Times New Roman" w:hAnsi="Times New Roman" w:cs="Times New Roman"/>
          <w:b/>
          <w:bCs/>
          <w:sz w:val="24"/>
          <w:szCs w:val="24"/>
        </w:rPr>
        <w:t>Fama Measures</w:t>
      </w:r>
      <w:r>
        <w:rPr>
          <w:rFonts w:ascii="Times New Roman" w:hAnsi="Times New Roman" w:cs="Times New Roman"/>
          <w:b/>
          <w:bCs/>
          <w:sz w:val="24"/>
          <w:szCs w:val="24"/>
        </w:rPr>
        <w:t xml:space="preserve">: </w:t>
      </w:r>
      <w:r w:rsidRPr="00C14D99">
        <w:rPr>
          <w:rFonts w:ascii="Times New Roman" w:hAnsi="Times New Roman" w:cs="Times New Roman"/>
          <w:sz w:val="24"/>
          <w:szCs w:val="24"/>
        </w:rPr>
        <w:t>While risk-adjusted performance metrics are valuable for assessing a fund's overall success, they may not adequately reveal the specific factors contributing to that performance. To gain deeper insights, it is advantageous to decompose the overall performance into distinct components. In addition to conventional risk-return metrics, utilizing performance decomposition as proposed by Eugene F. Fama allows for a more nuanced analysis of investment performance.</w:t>
      </w:r>
      <w:r>
        <w:rPr>
          <w:rFonts w:ascii="Times New Roman" w:hAnsi="Times New Roman" w:cs="Times New Roman"/>
          <w:sz w:val="24"/>
          <w:szCs w:val="24"/>
        </w:rPr>
        <w:t xml:space="preserve"> </w:t>
      </w:r>
      <w:r w:rsidRPr="00325F90">
        <w:rPr>
          <w:rFonts w:ascii="Times New Roman" w:hAnsi="Times New Roman" w:cs="Times New Roman"/>
          <w:sz w:val="24"/>
          <w:szCs w:val="24"/>
        </w:rPr>
        <w:t>Fama’s framework decomposes portfolio performance into several key components:</w:t>
      </w:r>
    </w:p>
    <w:p w14:paraId="7B121EF3" w14:textId="77777777" w:rsidR="00C14D99" w:rsidRPr="00325F90" w:rsidRDefault="00C14D99" w:rsidP="00A54CC1">
      <w:pPr>
        <w:spacing w:line="360" w:lineRule="auto"/>
        <w:jc w:val="both"/>
        <w:rPr>
          <w:rFonts w:ascii="Times New Roman" w:hAnsi="Times New Roman" w:cs="Times New Roman"/>
          <w:sz w:val="24"/>
          <w:szCs w:val="24"/>
        </w:rPr>
      </w:pPr>
      <w:r w:rsidRPr="00325F90">
        <w:rPr>
          <w:rFonts w:ascii="Times New Roman" w:hAnsi="Times New Roman" w:cs="Times New Roman"/>
          <w:b/>
          <w:bCs/>
          <w:i/>
          <w:iCs/>
          <w:sz w:val="24"/>
          <w:szCs w:val="24"/>
        </w:rPr>
        <w:t>Net Selectivity:</w:t>
      </w:r>
      <w:r w:rsidRPr="00325F90">
        <w:rPr>
          <w:rFonts w:ascii="Times New Roman" w:hAnsi="Times New Roman" w:cs="Times New Roman"/>
          <w:sz w:val="24"/>
          <w:szCs w:val="24"/>
        </w:rPr>
        <w:t xml:space="preserve"> This measures the portfolio manager's ability to choose securities that outperform the market after costs. It reflects the manager's skill in selecting individual investments that generate higher returns than a passive market strategy.</w:t>
      </w:r>
    </w:p>
    <w:p w14:paraId="1A261F98" w14:textId="2F699CF3" w:rsidR="00C14D99" w:rsidRPr="00325F90" w:rsidRDefault="00C14D99" w:rsidP="00A54CC1">
      <w:pPr>
        <w:spacing w:line="360" w:lineRule="auto"/>
        <w:jc w:val="both"/>
        <w:rPr>
          <w:rFonts w:ascii="Times New Roman" w:hAnsi="Times New Roman" w:cs="Times New Roman"/>
          <w:sz w:val="24"/>
          <w:szCs w:val="24"/>
        </w:rPr>
      </w:pPr>
      <w:r w:rsidRPr="00325F90">
        <w:rPr>
          <w:rFonts w:ascii="Times New Roman" w:hAnsi="Times New Roman" w:cs="Times New Roman"/>
          <w:b/>
          <w:bCs/>
          <w:i/>
          <w:iCs/>
          <w:sz w:val="24"/>
          <w:szCs w:val="24"/>
        </w:rPr>
        <w:t>Market Timing:</w:t>
      </w:r>
      <w:r w:rsidRPr="00325F90">
        <w:rPr>
          <w:rFonts w:ascii="Times New Roman" w:hAnsi="Times New Roman" w:cs="Times New Roman"/>
          <w:sz w:val="24"/>
          <w:szCs w:val="24"/>
        </w:rPr>
        <w:t xml:space="preserve"> This assesses the manager’s ability to forecast market trends and adjust the portfolio’s exposure to risk accordingly. A successful market timing strategy can enhance returns by capitalizing on anticipated market movements.</w:t>
      </w:r>
    </w:p>
    <w:p w14:paraId="4396C167" w14:textId="77777777" w:rsidR="00C14D99" w:rsidRPr="00325F90" w:rsidRDefault="00C14D99" w:rsidP="00A54CC1">
      <w:pPr>
        <w:spacing w:line="360" w:lineRule="auto"/>
        <w:jc w:val="both"/>
        <w:rPr>
          <w:rFonts w:ascii="Times New Roman" w:hAnsi="Times New Roman" w:cs="Times New Roman"/>
          <w:sz w:val="24"/>
          <w:szCs w:val="24"/>
        </w:rPr>
      </w:pPr>
      <w:r w:rsidRPr="00325F90">
        <w:rPr>
          <w:rFonts w:ascii="Times New Roman" w:hAnsi="Times New Roman" w:cs="Times New Roman"/>
          <w:b/>
          <w:bCs/>
          <w:i/>
          <w:iCs/>
          <w:sz w:val="24"/>
          <w:szCs w:val="24"/>
        </w:rPr>
        <w:t>Net Return to Risk</w:t>
      </w:r>
      <w:r w:rsidRPr="00325F90">
        <w:rPr>
          <w:rFonts w:ascii="Times New Roman" w:hAnsi="Times New Roman" w:cs="Times New Roman"/>
          <w:i/>
          <w:iCs/>
          <w:sz w:val="24"/>
          <w:szCs w:val="24"/>
        </w:rPr>
        <w:t>:</w:t>
      </w:r>
      <w:r w:rsidRPr="00325F90">
        <w:rPr>
          <w:rFonts w:ascii="Times New Roman" w:hAnsi="Times New Roman" w:cs="Times New Roman"/>
          <w:sz w:val="24"/>
          <w:szCs w:val="24"/>
        </w:rPr>
        <w:t xml:space="preserve"> This component evaluates how much return was earned for each unit of risk taken. It adjusts the excess return by the portfolio’s risk level, allowing for a comparison of portfolios with varying degrees of risk exposure.</w:t>
      </w:r>
    </w:p>
    <w:p w14:paraId="05A76130" w14:textId="77777777" w:rsidR="00C14D99" w:rsidRPr="00325F90" w:rsidRDefault="00C14D99" w:rsidP="00A54CC1">
      <w:pPr>
        <w:spacing w:line="360" w:lineRule="auto"/>
        <w:jc w:val="both"/>
        <w:rPr>
          <w:rFonts w:ascii="Times New Roman" w:hAnsi="Times New Roman" w:cs="Times New Roman"/>
          <w:sz w:val="24"/>
          <w:szCs w:val="24"/>
        </w:rPr>
      </w:pPr>
      <w:r w:rsidRPr="00325F90">
        <w:rPr>
          <w:rFonts w:ascii="Times New Roman" w:hAnsi="Times New Roman" w:cs="Times New Roman"/>
          <w:b/>
          <w:bCs/>
          <w:i/>
          <w:iCs/>
          <w:sz w:val="24"/>
          <w:szCs w:val="24"/>
        </w:rPr>
        <w:t>Diversification Return:</w:t>
      </w:r>
      <w:r w:rsidRPr="00325F90">
        <w:rPr>
          <w:rFonts w:ascii="Times New Roman" w:hAnsi="Times New Roman" w:cs="Times New Roman"/>
          <w:sz w:val="24"/>
          <w:szCs w:val="24"/>
        </w:rPr>
        <w:t xml:space="preserve"> This measures the additional return generated from effectively diversifying across assets or securities. Proper diversification can reduce risk and contribute to more stable returns, enhancing portfolio performance.</w:t>
      </w:r>
    </w:p>
    <w:p w14:paraId="44EE3AD7" w14:textId="77777777" w:rsidR="00C14D99" w:rsidRDefault="00C14D99" w:rsidP="00A54CC1">
      <w:pPr>
        <w:spacing w:line="360" w:lineRule="auto"/>
        <w:jc w:val="both"/>
        <w:rPr>
          <w:rFonts w:ascii="Times New Roman" w:hAnsi="Times New Roman" w:cs="Times New Roman"/>
          <w:sz w:val="24"/>
          <w:szCs w:val="24"/>
        </w:rPr>
      </w:pPr>
      <w:r w:rsidRPr="00C14D99">
        <w:rPr>
          <w:rFonts w:ascii="Times New Roman" w:hAnsi="Times New Roman" w:cs="Times New Roman"/>
          <w:b/>
          <w:bCs/>
          <w:i/>
          <w:iCs/>
          <w:sz w:val="24"/>
          <w:szCs w:val="24"/>
        </w:rPr>
        <w:lastRenderedPageBreak/>
        <w:t>Risk-Free Return:</w:t>
      </w:r>
      <w:r w:rsidRPr="00325F90">
        <w:rPr>
          <w:rFonts w:ascii="Times New Roman" w:hAnsi="Times New Roman" w:cs="Times New Roman"/>
          <w:sz w:val="24"/>
          <w:szCs w:val="24"/>
        </w:rPr>
        <w:t xml:space="preserve"> This represents the baseline return from risk-free investments, such as government bonds. It serves as a benchmark to assess whether the portfolio’s risk-taking led to additional value beyond what could be achieved without risk.</w:t>
      </w:r>
    </w:p>
    <w:p w14:paraId="1CBF3544" w14:textId="77777777" w:rsidR="002A3549" w:rsidRPr="002A3549" w:rsidRDefault="002A3549" w:rsidP="00A54CC1">
      <w:pPr>
        <w:spacing w:line="360" w:lineRule="auto"/>
        <w:jc w:val="both"/>
        <w:rPr>
          <w:rFonts w:ascii="Times New Roman" w:hAnsi="Times New Roman" w:cs="Times New Roman"/>
          <w:sz w:val="24"/>
          <w:szCs w:val="24"/>
        </w:rPr>
      </w:pPr>
      <w:r w:rsidRPr="002A3549">
        <w:rPr>
          <w:rFonts w:ascii="Times New Roman" w:hAnsi="Times New Roman" w:cs="Times New Roman"/>
          <w:sz w:val="24"/>
          <w:szCs w:val="24"/>
        </w:rPr>
        <w:t>It should be mentioned that selectivity and positive net selectivity are unlikely to differ substantially from one another. In conclusion, as both measures would provide the same outcome, it is wise to test either selectivity or net selectivity for performance evaluation in the case of well-diversified portfolios. In the case of a diversified portfolio, net selectivity is a more suitable metric.</w:t>
      </w:r>
    </w:p>
    <w:p w14:paraId="209EBF16" w14:textId="0BE0F8B9" w:rsidR="00C14D99" w:rsidRPr="00325F90" w:rsidRDefault="00C14D99" w:rsidP="00C14D99">
      <w:pPr>
        <w:ind w:firstLine="720"/>
        <w:rPr>
          <w:rFonts w:ascii="Times New Roman" w:hAnsi="Times New Roman" w:cs="Times New Roman"/>
          <w:i/>
          <w:iCs/>
          <w:sz w:val="24"/>
          <w:szCs w:val="24"/>
        </w:rPr>
      </w:pPr>
      <w:r w:rsidRPr="00325F90">
        <w:rPr>
          <w:rFonts w:ascii="Times New Roman" w:hAnsi="Times New Roman" w:cs="Times New Roman"/>
          <w:b/>
          <w:bCs/>
          <w:i/>
          <w:iCs/>
          <w:sz w:val="24"/>
          <w:szCs w:val="24"/>
        </w:rPr>
        <w:t>Ft</w:t>
      </w:r>
      <w:r w:rsidR="00397BD6">
        <w:rPr>
          <w:rFonts w:ascii="Times New Roman" w:hAnsi="Times New Roman" w:cs="Times New Roman"/>
          <w:b/>
          <w:bCs/>
          <w:i/>
          <w:iCs/>
          <w:sz w:val="24"/>
          <w:szCs w:val="24"/>
        </w:rPr>
        <w:t xml:space="preserve"> </w:t>
      </w:r>
      <w:r w:rsidRPr="00325F90">
        <w:rPr>
          <w:rFonts w:ascii="Times New Roman" w:hAnsi="Times New Roman" w:cs="Times New Roman"/>
          <w:i/>
          <w:iCs/>
          <w:sz w:val="24"/>
          <w:szCs w:val="24"/>
        </w:rPr>
        <w:t>= Portfolio Return – Risk free return – Returns due to all risks</w:t>
      </w:r>
    </w:p>
    <w:p w14:paraId="23B9A160" w14:textId="01F41547" w:rsidR="00C14D99" w:rsidRPr="00325F90" w:rsidRDefault="00F81238" w:rsidP="00AE6162">
      <w:pPr>
        <w:ind w:left="720"/>
        <w:rPr>
          <w:rFonts w:ascii="Times New Roman" w:hAnsi="Times New Roman" w:cs="Times New Roman"/>
          <w:sz w:val="24"/>
          <w:szCs w:val="24"/>
        </w:rPr>
      </w:pPr>
      <w:r w:rsidRPr="004B4ED3">
        <w:rPr>
          <w:rFonts w:ascii="Times New Roman" w:hAnsi="Times New Roman" w:cs="Times New Roman"/>
          <w:i/>
          <w:iCs/>
          <w:sz w:val="24"/>
          <w:szCs w:val="24"/>
        </w:rPr>
        <w:t xml:space="preserve">   </w:t>
      </w:r>
      <w:r w:rsidR="00397BD6">
        <w:rPr>
          <w:rFonts w:ascii="Times New Roman" w:hAnsi="Times New Roman" w:cs="Times New Roman"/>
          <w:i/>
          <w:iCs/>
          <w:sz w:val="24"/>
          <w:szCs w:val="24"/>
        </w:rPr>
        <w:t xml:space="preserve"> </w:t>
      </w:r>
      <w:r w:rsidR="00C14D99" w:rsidRPr="004B4ED3">
        <w:rPr>
          <w:rFonts w:ascii="Times New Roman" w:hAnsi="Times New Roman" w:cs="Times New Roman"/>
          <w:i/>
          <w:iCs/>
          <w:sz w:val="24"/>
          <w:szCs w:val="24"/>
        </w:rPr>
        <w:t xml:space="preserve">= </w:t>
      </w:r>
      <w:r w:rsidRPr="004B4ED3">
        <w:rPr>
          <w:rFonts w:ascii="Times New Roman" w:hAnsi="Times New Roman" w:cs="Times New Roman"/>
          <w:sz w:val="24"/>
          <w:szCs w:val="24"/>
        </w:rPr>
        <w:t>(</w:t>
      </w: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t</m:t>
            </m:r>
          </m:sub>
        </m:sSub>
      </m:oMath>
      <w:r w:rsidRPr="004B4ED3">
        <w:rPr>
          <w:rFonts w:ascii="Times New Roman" w:hAnsi="Times New Roman" w:cs="Times New Roman"/>
          <w:sz w:val="24"/>
          <w:szCs w:val="24"/>
        </w:rPr>
        <w:t xml:space="preserve"> – </w:t>
      </w: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f</m:t>
            </m:r>
          </m:sub>
        </m:sSub>
      </m:oMath>
      <w:r w:rsidRPr="004B4ED3">
        <w:rPr>
          <w:rFonts w:ascii="Times New Roman" w:hAnsi="Times New Roman" w:cs="Times New Roman"/>
          <w:b/>
          <w:bCs/>
          <w:sz w:val="24"/>
          <w:szCs w:val="24"/>
        </w:rPr>
        <w:t>)-</w:t>
      </w:r>
      <w:r w:rsidRPr="004B4ED3">
        <w:rPr>
          <w:rFonts w:ascii="Times New Roman" w:hAnsi="Times New Roman" w:cs="Times New Roman"/>
          <w:sz w:val="24"/>
          <w:szCs w:val="24"/>
        </w:rPr>
        <w:t>{</w:t>
      </w:r>
      <w:r w:rsidRPr="004B4ED3">
        <w:rPr>
          <w:rFonts w:ascii="Times New Roman" w:hAnsi="Times New Roman" w:cs="Times New Roman"/>
          <w:i/>
          <w:sz w:val="24"/>
          <w:szCs w:val="24"/>
        </w:rPr>
        <w:t xml:space="preserve"> </w:t>
      </w:r>
      <m:oMath>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σ</m:t>
            </m:r>
          </m:e>
          <m:sub>
            <m:r>
              <w:rPr>
                <w:rFonts w:ascii="Cambria Math" w:hAnsi="Cambria Math" w:cs="Times New Roman"/>
                <w:sz w:val="24"/>
                <w:szCs w:val="24"/>
              </w:rPr>
              <m:t>t</m:t>
            </m:r>
          </m:sub>
        </m:sSub>
      </m:oMath>
      <w:r w:rsidRPr="004B4ED3">
        <w:rPr>
          <w:rFonts w:ascii="Times New Roman" w:hAnsi="Times New Roman" w:cs="Times New Roman"/>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σ</m:t>
            </m:r>
          </m:e>
          <m:sub>
            <m:r>
              <w:rPr>
                <w:rFonts w:ascii="Cambria Math" w:hAnsi="Cambria Math" w:cs="Times New Roman"/>
                <w:sz w:val="24"/>
                <w:szCs w:val="24"/>
              </w:rPr>
              <m:t>m</m:t>
            </m:r>
          </m:sub>
        </m:sSub>
      </m:oMath>
      <w:r w:rsidRPr="004B4ED3">
        <w:rPr>
          <w:rFonts w:ascii="Times New Roman" w:hAnsi="Times New Roman" w:cs="Times New Roman"/>
          <w:b/>
          <w:bCs/>
          <w:sz w:val="24"/>
          <w:szCs w:val="24"/>
        </w:rPr>
        <w:t>)</w:t>
      </w:r>
      <w:r w:rsidRPr="004B4ED3">
        <w:rPr>
          <w:rFonts w:ascii="Times New Roman" w:hAnsi="Times New Roman" w:cs="Times New Roman"/>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m</m:t>
            </m:r>
          </m:sub>
        </m:sSub>
      </m:oMath>
      <w:r w:rsidRPr="004B4ED3">
        <w:rPr>
          <w:rFonts w:ascii="Times New Roman" w:hAnsi="Times New Roman" w:cs="Times New Roman"/>
          <w:sz w:val="24"/>
          <w:szCs w:val="24"/>
        </w:rPr>
        <w:t xml:space="preserve"> – </w:t>
      </w: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f</m:t>
            </m:r>
          </m:sub>
        </m:sSub>
      </m:oMath>
      <w:r w:rsidRPr="004B4ED3">
        <w:rPr>
          <w:rFonts w:ascii="Times New Roman" w:hAnsi="Times New Roman" w:cs="Times New Roman"/>
          <w:sz w:val="24"/>
          <w:szCs w:val="24"/>
        </w:rPr>
        <w:t>)</w:t>
      </w:r>
      <w:r w:rsidR="003D7ABA" w:rsidRPr="004B4ED3">
        <w:rPr>
          <w:rFonts w:ascii="Times New Roman" w:hAnsi="Times New Roman" w:cs="Times New Roman"/>
          <w:sz w:val="24"/>
          <w:szCs w:val="24"/>
        </w:rPr>
        <w:t>………………………………………………….</w:t>
      </w:r>
      <w:r w:rsidR="00A54CC1" w:rsidRPr="004B4ED3">
        <w:rPr>
          <w:rFonts w:ascii="Times New Roman" w:hAnsi="Times New Roman" w:cs="Times New Roman"/>
          <w:sz w:val="24"/>
          <w:szCs w:val="24"/>
        </w:rPr>
        <w:t xml:space="preserve"> </w:t>
      </w:r>
      <w:r w:rsidR="003D7ABA" w:rsidRPr="004B4ED3">
        <w:rPr>
          <w:rFonts w:ascii="Times New Roman" w:hAnsi="Times New Roman" w:cs="Times New Roman"/>
          <w:sz w:val="24"/>
          <w:szCs w:val="24"/>
        </w:rPr>
        <w:t>(</w:t>
      </w:r>
      <w:r w:rsidR="0037198A" w:rsidRPr="004B4ED3">
        <w:rPr>
          <w:rFonts w:ascii="Times New Roman" w:hAnsi="Times New Roman" w:cs="Times New Roman"/>
          <w:sz w:val="24"/>
          <w:szCs w:val="24"/>
        </w:rPr>
        <w:t>v</w:t>
      </w:r>
      <w:r w:rsidR="003D7ABA" w:rsidRPr="004B4ED3">
        <w:rPr>
          <w:rFonts w:ascii="Times New Roman" w:eastAsiaTheme="minorEastAsia" w:hAnsi="Times New Roman" w:cs="Times New Roman"/>
          <w:sz w:val="24"/>
          <w:szCs w:val="24"/>
        </w:rPr>
        <w:t>)</w:t>
      </w:r>
    </w:p>
    <w:p w14:paraId="2370A70F" w14:textId="77777777" w:rsidR="00C14D99" w:rsidRPr="00325F90" w:rsidRDefault="00C14D99" w:rsidP="00C14D99">
      <w:pPr>
        <w:rPr>
          <w:rFonts w:ascii="Times New Roman" w:hAnsi="Times New Roman" w:cs="Times New Roman"/>
          <w:sz w:val="24"/>
          <w:szCs w:val="24"/>
        </w:rPr>
      </w:pPr>
      <w:r w:rsidRPr="00325F90">
        <w:rPr>
          <w:rFonts w:ascii="Times New Roman" w:hAnsi="Times New Roman" w:cs="Times New Roman"/>
          <w:i/>
          <w:iCs/>
          <w:sz w:val="24"/>
          <w:szCs w:val="24"/>
        </w:rPr>
        <w:t xml:space="preserve">Fama (1972) </w:t>
      </w:r>
      <w:r w:rsidRPr="00325F90">
        <w:rPr>
          <w:rFonts w:ascii="Times New Roman" w:hAnsi="Times New Roman" w:cs="Times New Roman"/>
          <w:sz w:val="24"/>
          <w:szCs w:val="24"/>
        </w:rPr>
        <w:t>measures breaks down the observed return into four components:</w:t>
      </w:r>
    </w:p>
    <w:p w14:paraId="33C5B35B" w14:textId="58713F35" w:rsidR="00C14D99" w:rsidRPr="001A104E" w:rsidRDefault="00C14D99" w:rsidP="001A104E">
      <w:pPr>
        <w:pStyle w:val="ListParagraph"/>
        <w:numPr>
          <w:ilvl w:val="0"/>
          <w:numId w:val="6"/>
        </w:numPr>
        <w:rPr>
          <w:rFonts w:ascii="Times New Roman" w:hAnsi="Times New Roman" w:cs="Times New Roman"/>
          <w:sz w:val="24"/>
          <w:szCs w:val="24"/>
        </w:rPr>
      </w:pPr>
      <w:r w:rsidRPr="001A104E">
        <w:rPr>
          <w:rFonts w:ascii="Times New Roman" w:hAnsi="Times New Roman" w:cs="Times New Roman"/>
          <w:sz w:val="24"/>
          <w:szCs w:val="24"/>
        </w:rPr>
        <w:t xml:space="preserve">Risk free return </w:t>
      </w: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f</m:t>
            </m:r>
          </m:sub>
        </m:sSub>
      </m:oMath>
    </w:p>
    <w:p w14:paraId="427E79C8" w14:textId="74D8103F" w:rsidR="00C14D99" w:rsidRPr="001A104E" w:rsidRDefault="00C14D99" w:rsidP="001A104E">
      <w:pPr>
        <w:pStyle w:val="ListParagraph"/>
        <w:numPr>
          <w:ilvl w:val="0"/>
          <w:numId w:val="6"/>
        </w:numPr>
        <w:rPr>
          <w:rFonts w:ascii="Times New Roman" w:hAnsi="Times New Roman" w:cs="Times New Roman"/>
          <w:sz w:val="24"/>
          <w:szCs w:val="24"/>
        </w:rPr>
      </w:pPr>
      <w:r w:rsidRPr="001A104E">
        <w:rPr>
          <w:rFonts w:ascii="Times New Roman" w:hAnsi="Times New Roman" w:cs="Times New Roman"/>
          <w:sz w:val="24"/>
          <w:szCs w:val="24"/>
        </w:rPr>
        <w:t>Compensation for systematic risk= β</w:t>
      </w:r>
      <w:r w:rsidR="00421B30" w:rsidRPr="001A104E">
        <w:rPr>
          <w:rFonts w:ascii="Times New Roman" w:hAnsi="Times New Roman" w:cs="Times New Roman"/>
          <w:sz w:val="24"/>
          <w:szCs w:val="24"/>
        </w:rPr>
        <w:t xml:space="preserve"> </w:t>
      </w:r>
      <w:r w:rsidRPr="001A104E">
        <w:rPr>
          <w:rFonts w:ascii="Times New Roman" w:hAnsi="Times New Roman" w:cs="Times New Roman"/>
          <w:sz w:val="24"/>
          <w:szCs w:val="24"/>
        </w:rPr>
        <w:t>(</w:t>
      </w: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m</m:t>
            </m:r>
          </m:sub>
        </m:sSub>
      </m:oMath>
      <w:r w:rsidRPr="001A104E">
        <w:rPr>
          <w:rFonts w:ascii="Times New Roman" w:hAnsi="Times New Roman" w:cs="Times New Roman"/>
          <w:sz w:val="24"/>
          <w:szCs w:val="24"/>
        </w:rPr>
        <w:t xml:space="preserve"> – </w:t>
      </w: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f</m:t>
            </m:r>
          </m:sub>
        </m:sSub>
      </m:oMath>
      <w:r w:rsidRPr="001A104E">
        <w:rPr>
          <w:rFonts w:ascii="Times New Roman" w:hAnsi="Times New Roman" w:cs="Times New Roman"/>
          <w:sz w:val="24"/>
          <w:szCs w:val="24"/>
        </w:rPr>
        <w:t>)</w:t>
      </w:r>
    </w:p>
    <w:p w14:paraId="0912D1B0" w14:textId="57407290" w:rsidR="00C14D99" w:rsidRPr="001A104E" w:rsidRDefault="00C14D99" w:rsidP="001A104E">
      <w:pPr>
        <w:pStyle w:val="ListParagraph"/>
        <w:numPr>
          <w:ilvl w:val="0"/>
          <w:numId w:val="6"/>
        </w:numPr>
        <w:rPr>
          <w:rFonts w:ascii="Times New Roman" w:hAnsi="Times New Roman" w:cs="Times New Roman"/>
          <w:sz w:val="24"/>
          <w:szCs w:val="24"/>
        </w:rPr>
      </w:pPr>
      <w:r w:rsidRPr="001A104E">
        <w:rPr>
          <w:rFonts w:ascii="Times New Roman" w:hAnsi="Times New Roman" w:cs="Times New Roman"/>
          <w:sz w:val="24"/>
          <w:szCs w:val="24"/>
        </w:rPr>
        <w:t>Compensation for inadequate diversification =</w:t>
      </w:r>
      <w:r w:rsidR="00421B30" w:rsidRPr="001A104E">
        <w:rPr>
          <w:rFonts w:ascii="Times New Roman" w:hAnsi="Times New Roman" w:cs="Times New Roman"/>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m</m:t>
            </m:r>
          </m:sub>
        </m:sSub>
      </m:oMath>
      <w:r w:rsidR="00421B30" w:rsidRPr="001A104E">
        <w:rPr>
          <w:rFonts w:ascii="Times New Roman" w:hAnsi="Times New Roman" w:cs="Times New Roman"/>
          <w:sz w:val="24"/>
          <w:szCs w:val="24"/>
        </w:rPr>
        <w:t xml:space="preserve"> – </w:t>
      </w: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f</m:t>
            </m:r>
          </m:sub>
        </m:sSub>
      </m:oMath>
      <w:r w:rsidR="00421B30" w:rsidRPr="001A104E">
        <w:rPr>
          <w:rFonts w:ascii="Times New Roman" w:hAnsi="Times New Roman" w:cs="Times New Roman"/>
          <w:sz w:val="24"/>
          <w:szCs w:val="24"/>
        </w:rPr>
        <w:t>){(</w:t>
      </w:r>
      <m:oMath>
        <m:sSub>
          <m:sSubPr>
            <m:ctrlPr>
              <w:rPr>
                <w:rFonts w:ascii="Cambria Math" w:hAnsi="Cambria Math" w:cs="Times New Roman"/>
                <w:i/>
                <w:sz w:val="24"/>
                <w:szCs w:val="24"/>
              </w:rPr>
            </m:ctrlPr>
          </m:sSubPr>
          <m:e>
            <m:r>
              <w:rPr>
                <w:rFonts w:ascii="Cambria Math" w:hAnsi="Cambria Math" w:cs="Times New Roman"/>
                <w:sz w:val="24"/>
                <w:szCs w:val="24"/>
              </w:rPr>
              <m:t>σ</m:t>
            </m:r>
          </m:e>
          <m:sub>
            <m:r>
              <w:rPr>
                <w:rFonts w:ascii="Cambria Math" w:hAnsi="Cambria Math" w:cs="Times New Roman"/>
                <w:sz w:val="24"/>
                <w:szCs w:val="24"/>
              </w:rPr>
              <m:t>t</m:t>
            </m:r>
          </m:sub>
        </m:sSub>
      </m:oMath>
      <w:r w:rsidRPr="001A104E">
        <w:rPr>
          <w:rFonts w:ascii="Times New Roman" w:hAnsi="Times New Roman" w:cs="Times New Roman"/>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σ</m:t>
            </m:r>
          </m:e>
          <m:sub>
            <m:r>
              <w:rPr>
                <w:rFonts w:ascii="Cambria Math" w:hAnsi="Cambria Math" w:cs="Times New Roman"/>
                <w:sz w:val="24"/>
                <w:szCs w:val="24"/>
              </w:rPr>
              <m:t>m</m:t>
            </m:r>
          </m:sub>
        </m:sSub>
      </m:oMath>
      <w:r w:rsidRPr="001A104E">
        <w:rPr>
          <w:rFonts w:ascii="Times New Roman" w:hAnsi="Times New Roman" w:cs="Times New Roman"/>
          <w:sz w:val="24"/>
          <w:szCs w:val="24"/>
        </w:rPr>
        <w:t>)-β}</w:t>
      </w:r>
    </w:p>
    <w:p w14:paraId="51620BD2" w14:textId="37D1337E" w:rsidR="000E1834" w:rsidRPr="00AE6162" w:rsidRDefault="00C14D99" w:rsidP="00C14D99">
      <w:pPr>
        <w:pStyle w:val="ListParagraph"/>
        <w:numPr>
          <w:ilvl w:val="0"/>
          <w:numId w:val="6"/>
        </w:numPr>
        <w:rPr>
          <w:rFonts w:ascii="Times New Roman" w:hAnsi="Times New Roman" w:cs="Times New Roman"/>
          <w:sz w:val="24"/>
          <w:szCs w:val="24"/>
        </w:rPr>
      </w:pPr>
      <w:r w:rsidRPr="001A104E">
        <w:rPr>
          <w:rFonts w:ascii="Times New Roman" w:hAnsi="Times New Roman" w:cs="Times New Roman"/>
          <w:sz w:val="24"/>
          <w:szCs w:val="24"/>
        </w:rPr>
        <w:t>Net superior returns due to selectivity =</w:t>
      </w:r>
      <w:r w:rsidR="00421B30" w:rsidRPr="001A104E">
        <w:rPr>
          <w:rFonts w:ascii="Times New Roman" w:hAnsi="Times New Roman" w:cs="Times New Roman"/>
          <w:sz w:val="24"/>
          <w:szCs w:val="24"/>
        </w:rPr>
        <w:t xml:space="preserve"> </w:t>
      </w:r>
      <w:r w:rsidRPr="001A104E">
        <w:rPr>
          <w:rFonts w:ascii="Times New Roman" w:hAnsi="Times New Roman" w:cs="Times New Roman"/>
          <w:sz w:val="24"/>
          <w:szCs w:val="24"/>
        </w:rPr>
        <w:t>(</w:t>
      </w: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t</m:t>
            </m:r>
          </m:sub>
        </m:sSub>
      </m:oMath>
      <w:r w:rsidRPr="001A104E">
        <w:rPr>
          <w:rFonts w:ascii="Times New Roman" w:hAnsi="Times New Roman" w:cs="Times New Roman"/>
          <w:sz w:val="24"/>
          <w:szCs w:val="24"/>
        </w:rPr>
        <w:t xml:space="preserve"> – </w:t>
      </w: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f</m:t>
            </m:r>
          </m:sub>
        </m:sSub>
      </m:oMath>
      <w:r w:rsidRPr="001A104E">
        <w:rPr>
          <w:rFonts w:ascii="Times New Roman" w:hAnsi="Times New Roman" w:cs="Times New Roman"/>
          <w:sz w:val="24"/>
          <w:szCs w:val="24"/>
        </w:rPr>
        <w:t>)-{</w:t>
      </w:r>
      <w:r w:rsidR="00421B30" w:rsidRPr="001A104E">
        <w:rPr>
          <w:rFonts w:ascii="Cambria Math" w:hAnsi="Cambria Math" w:cs="Times New Roman"/>
          <w:i/>
          <w:sz w:val="24"/>
          <w:szCs w:val="24"/>
        </w:rPr>
        <w:t xml:space="preserve"> </w:t>
      </w:r>
      <m:oMath>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σ</m:t>
            </m:r>
          </m:e>
          <m:sub>
            <m:r>
              <w:rPr>
                <w:rFonts w:ascii="Cambria Math" w:hAnsi="Cambria Math" w:cs="Times New Roman"/>
                <w:sz w:val="24"/>
                <w:szCs w:val="24"/>
              </w:rPr>
              <m:t>t</m:t>
            </m:r>
          </m:sub>
        </m:sSub>
      </m:oMath>
      <w:r w:rsidR="00421B30" w:rsidRPr="001A104E">
        <w:rPr>
          <w:rFonts w:ascii="Times New Roman" w:hAnsi="Times New Roman" w:cs="Times New Roman"/>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σ</m:t>
            </m:r>
          </m:e>
          <m:sub>
            <m:r>
              <w:rPr>
                <w:rFonts w:ascii="Cambria Math" w:hAnsi="Cambria Math" w:cs="Times New Roman"/>
                <w:sz w:val="24"/>
                <w:szCs w:val="24"/>
              </w:rPr>
              <m:t>m</m:t>
            </m:r>
          </m:sub>
        </m:sSub>
      </m:oMath>
      <w:r w:rsidR="00421B30" w:rsidRPr="001A104E">
        <w:rPr>
          <w:rFonts w:ascii="Times New Roman" w:hAnsi="Times New Roman" w:cs="Times New Roman"/>
          <w:sz w:val="24"/>
          <w:szCs w:val="24"/>
        </w:rPr>
        <w:t>) (</w:t>
      </w: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m</m:t>
            </m:r>
          </m:sub>
        </m:sSub>
      </m:oMath>
      <w:r w:rsidR="00421B30" w:rsidRPr="001A104E">
        <w:rPr>
          <w:rFonts w:ascii="Times New Roman" w:hAnsi="Times New Roman" w:cs="Times New Roman"/>
          <w:sz w:val="24"/>
          <w:szCs w:val="24"/>
        </w:rPr>
        <w:t xml:space="preserve"> – </w:t>
      </w: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f</m:t>
            </m:r>
          </m:sub>
        </m:sSub>
      </m:oMath>
      <w:r w:rsidR="00421B30" w:rsidRPr="001A104E">
        <w:rPr>
          <w:rFonts w:ascii="Times New Roman" w:hAnsi="Times New Roman" w:cs="Times New Roman"/>
          <w:sz w:val="24"/>
          <w:szCs w:val="24"/>
        </w:rPr>
        <w:t>)</w:t>
      </w:r>
    </w:p>
    <w:p w14:paraId="01C940C5" w14:textId="69447CD9" w:rsidR="00C14D99" w:rsidRDefault="00C14D99" w:rsidP="00A54CC1">
      <w:pPr>
        <w:spacing w:line="360" w:lineRule="auto"/>
        <w:rPr>
          <w:rFonts w:ascii="Times New Roman" w:hAnsi="Times New Roman" w:cs="Times New Roman"/>
          <w:sz w:val="24"/>
          <w:szCs w:val="24"/>
        </w:rPr>
      </w:pPr>
      <w:r w:rsidRPr="00325F90">
        <w:rPr>
          <w:rFonts w:ascii="Times New Roman" w:hAnsi="Times New Roman" w:cs="Times New Roman"/>
          <w:sz w:val="24"/>
          <w:szCs w:val="24"/>
        </w:rPr>
        <w:t>Performance Analysis of Mutual Funds, the risk-return relation models given by Sharpe (1966), Treynor (1965) and Jensen (1968) have been applied.</w:t>
      </w:r>
    </w:p>
    <w:p w14:paraId="579A8E25" w14:textId="3BBE5094" w:rsidR="00FC514C" w:rsidRPr="00FC514C" w:rsidRDefault="00C14D99" w:rsidP="00A54CC1">
      <w:pPr>
        <w:spacing w:line="360" w:lineRule="auto"/>
        <w:jc w:val="both"/>
        <w:rPr>
          <w:rFonts w:ascii="Times New Roman" w:hAnsi="Times New Roman" w:cs="Times New Roman"/>
          <w:bCs/>
          <w:sz w:val="24"/>
          <w:szCs w:val="24"/>
        </w:rPr>
      </w:pPr>
      <w:r w:rsidRPr="00325F90">
        <w:rPr>
          <w:rFonts w:ascii="Times New Roman" w:hAnsi="Times New Roman" w:cs="Times New Roman"/>
          <w:b/>
          <w:bCs/>
          <w:sz w:val="24"/>
          <w:szCs w:val="24"/>
        </w:rPr>
        <w:t xml:space="preserve">Sharpe's Ratio: </w:t>
      </w:r>
      <w:r w:rsidR="002A3549" w:rsidRPr="002A3549">
        <w:rPr>
          <w:rFonts w:ascii="Times New Roman" w:hAnsi="Times New Roman" w:cs="Times New Roman"/>
          <w:bCs/>
          <w:sz w:val="24"/>
          <w:szCs w:val="24"/>
        </w:rPr>
        <w:t>A popular metric in finance for assessing an investment or portfolio's risk-adjusted performance is the Sharpe Ratio. William F. Sharpe, a Nobel winner, created it to assist investors comprehend how much more return they are getting for taking on more risk than they would from a risk-free investment.</w:t>
      </w:r>
    </w:p>
    <w:p w14:paraId="135DB6BE" w14:textId="641C562F" w:rsidR="00F81238" w:rsidRPr="00EF52F0" w:rsidRDefault="00C14D99" w:rsidP="00C46716">
      <w:pPr>
        <w:spacing w:after="0" w:line="360" w:lineRule="auto"/>
        <w:ind w:firstLine="720"/>
        <w:rPr>
          <w:rFonts w:ascii="Times New Roman" w:hAnsi="Times New Roman" w:cs="Times New Roman"/>
          <w:b/>
          <w:bCs/>
        </w:rPr>
      </w:pPr>
      <w:r w:rsidRPr="002973B3">
        <w:rPr>
          <w:rFonts w:ascii="Times New Roman" w:hAnsi="Times New Roman" w:cs="Times New Roman"/>
          <w:b/>
          <w:bCs/>
        </w:rPr>
        <w:t>Formula:</w:t>
      </w:r>
    </w:p>
    <w:p w14:paraId="45C80891" w14:textId="4835A36D" w:rsidR="00F81238" w:rsidRDefault="00F81238" w:rsidP="00C46716">
      <w:pPr>
        <w:spacing w:after="0" w:line="360" w:lineRule="auto"/>
        <w:ind w:left="2880"/>
        <w:rPr>
          <w:rFonts w:ascii="Times New Roman" w:eastAsiaTheme="minorEastAsia" w:hAnsi="Times New Roman" w:cs="Times New Roman"/>
          <w:sz w:val="24"/>
          <w:szCs w:val="24"/>
        </w:rPr>
      </w:pPr>
      <w:r w:rsidRPr="00397BD6">
        <w:rPr>
          <w:rFonts w:ascii="Times New Roman" w:hAnsi="Times New Roman" w:cs="Times New Roman"/>
          <w:sz w:val="24"/>
          <w:szCs w:val="24"/>
        </w:rPr>
        <w:t xml:space="preserve">Sharpe Ratio </w:t>
      </w:r>
      <w:r w:rsidRPr="00EF52F0">
        <w:rPr>
          <w:rFonts w:ascii="Times New Roman" w:hAnsi="Times New Roman" w:cs="Times New Roman"/>
          <w:sz w:val="32"/>
          <w:szCs w:val="32"/>
        </w:rPr>
        <w:t xml:space="preserve">= </w:t>
      </w:r>
      <m:oMath>
        <m:f>
          <m:fPr>
            <m:ctrlPr>
              <w:rPr>
                <w:rFonts w:ascii="Cambria Math" w:hAnsi="Cambria Math" w:cs="Times New Roman"/>
                <w:i/>
                <w:sz w:val="32"/>
                <w:szCs w:val="32"/>
              </w:rPr>
            </m:ctrlPr>
          </m:fPr>
          <m:num>
            <m:sSub>
              <m:sSubPr>
                <m:ctrlPr>
                  <w:rPr>
                    <w:rFonts w:ascii="Cambria Math" w:hAnsi="Cambria Math" w:cs="Times New Roman"/>
                    <w:i/>
                    <w:sz w:val="32"/>
                    <w:szCs w:val="32"/>
                  </w:rPr>
                </m:ctrlPr>
              </m:sSubPr>
              <m:e>
                <m:r>
                  <w:rPr>
                    <w:rFonts w:ascii="Cambria Math" w:hAnsi="Cambria Math" w:cs="Times New Roman"/>
                    <w:sz w:val="32"/>
                    <w:szCs w:val="32"/>
                  </w:rPr>
                  <m:t>R</m:t>
                </m:r>
              </m:e>
              <m:sub>
                <m:r>
                  <w:rPr>
                    <w:rFonts w:ascii="Cambria Math" w:hAnsi="Cambria Math" w:cs="Times New Roman"/>
                    <w:sz w:val="32"/>
                    <w:szCs w:val="32"/>
                  </w:rPr>
                  <m:t>p-</m:t>
                </m:r>
                <m:sSub>
                  <m:sSubPr>
                    <m:ctrlPr>
                      <w:rPr>
                        <w:rFonts w:ascii="Cambria Math" w:hAnsi="Cambria Math" w:cs="Times New Roman"/>
                        <w:i/>
                        <w:sz w:val="32"/>
                        <w:szCs w:val="32"/>
                      </w:rPr>
                    </m:ctrlPr>
                  </m:sSubPr>
                  <m:e>
                    <m:r>
                      <w:rPr>
                        <w:rFonts w:ascii="Cambria Math" w:hAnsi="Cambria Math" w:cs="Times New Roman"/>
                        <w:sz w:val="32"/>
                        <w:szCs w:val="32"/>
                      </w:rPr>
                      <m:t>R</m:t>
                    </m:r>
                  </m:e>
                  <m:sub>
                    <m:r>
                      <w:rPr>
                        <w:rFonts w:ascii="Cambria Math" w:hAnsi="Cambria Math" w:cs="Times New Roman"/>
                        <w:sz w:val="32"/>
                        <w:szCs w:val="32"/>
                      </w:rPr>
                      <m:t>f</m:t>
                    </m:r>
                  </m:sub>
                </m:sSub>
              </m:sub>
            </m:sSub>
          </m:num>
          <m:den>
            <m:sSub>
              <m:sSubPr>
                <m:ctrlPr>
                  <w:rPr>
                    <w:rFonts w:ascii="Cambria Math" w:hAnsi="Cambria Math" w:cs="Times New Roman"/>
                    <w:i/>
                    <w:sz w:val="32"/>
                    <w:szCs w:val="32"/>
                  </w:rPr>
                </m:ctrlPr>
              </m:sSubPr>
              <m:e>
                <m:r>
                  <w:rPr>
                    <w:rFonts w:ascii="Cambria Math" w:hAnsi="Cambria Math" w:cs="Times New Roman"/>
                    <w:sz w:val="32"/>
                    <w:szCs w:val="32"/>
                  </w:rPr>
                  <m:t>σ</m:t>
                </m:r>
              </m:e>
              <m:sub>
                <m:r>
                  <w:rPr>
                    <w:rFonts w:ascii="Cambria Math" w:hAnsi="Cambria Math" w:cs="Times New Roman"/>
                    <w:sz w:val="32"/>
                    <w:szCs w:val="32"/>
                  </w:rPr>
                  <m:t>p</m:t>
                </m:r>
              </m:sub>
            </m:sSub>
          </m:den>
        </m:f>
      </m:oMath>
      <w:r>
        <w:rPr>
          <w:rFonts w:ascii="Times New Roman" w:eastAsiaTheme="minorEastAsia" w:hAnsi="Times New Roman" w:cs="Times New Roman"/>
          <w:sz w:val="28"/>
          <w:szCs w:val="28"/>
        </w:rPr>
        <w:t xml:space="preserve"> </w:t>
      </w:r>
      <w:r>
        <w:rPr>
          <w:rFonts w:ascii="Times New Roman" w:eastAsiaTheme="minorEastAsia" w:hAnsi="Times New Roman" w:cs="Times New Roman"/>
          <w:sz w:val="24"/>
          <w:szCs w:val="24"/>
        </w:rPr>
        <w:t>……………………………………. (</w:t>
      </w:r>
      <w:r w:rsidR="0037198A" w:rsidRPr="0037198A">
        <w:rPr>
          <w:rFonts w:ascii="Times New Roman" w:eastAsiaTheme="minorEastAsia" w:hAnsi="Times New Roman" w:cs="Times New Roman"/>
          <w:sz w:val="24"/>
          <w:szCs w:val="24"/>
        </w:rPr>
        <w:t>vi</w:t>
      </w:r>
      <w:r>
        <w:rPr>
          <w:rFonts w:ascii="Times New Roman" w:eastAsiaTheme="minorEastAsia" w:hAnsi="Times New Roman" w:cs="Times New Roman"/>
          <w:sz w:val="24"/>
          <w:szCs w:val="24"/>
        </w:rPr>
        <w:t>)</w:t>
      </w:r>
    </w:p>
    <w:p w14:paraId="46A3331E" w14:textId="77777777" w:rsidR="00F81238" w:rsidRDefault="00F81238" w:rsidP="00C46716">
      <w:pPr>
        <w:spacing w:after="0" w:line="360" w:lineRule="auto"/>
        <w:rPr>
          <w:rFonts w:ascii="Times New Roman" w:eastAsiaTheme="minorEastAsia" w:hAnsi="Times New Roman" w:cs="Times New Roman"/>
          <w:sz w:val="24"/>
          <w:szCs w:val="24"/>
        </w:rPr>
      </w:pPr>
      <w:proofErr w:type="gramStart"/>
      <w:r>
        <w:rPr>
          <w:rFonts w:ascii="Times New Roman" w:eastAsiaTheme="minorEastAsia" w:hAnsi="Times New Roman" w:cs="Times New Roman"/>
          <w:sz w:val="24"/>
          <w:szCs w:val="24"/>
        </w:rPr>
        <w:t>Where</w:t>
      </w:r>
      <w:proofErr w:type="gramEnd"/>
      <w:r>
        <w:rPr>
          <w:rFonts w:ascii="Times New Roman" w:eastAsiaTheme="minorEastAsia" w:hAnsi="Times New Roman" w:cs="Times New Roman"/>
          <w:sz w:val="24"/>
          <w:szCs w:val="24"/>
        </w:rPr>
        <w:t xml:space="preserve">, </w:t>
      </w:r>
    </w:p>
    <w:p w14:paraId="013878AA" w14:textId="07C2F5D1" w:rsidR="00F81238" w:rsidRDefault="00F81238" w:rsidP="00F81238">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p</m:t>
            </m:r>
          </m:sub>
        </m:sSub>
      </m:oMath>
      <w:r>
        <w:rPr>
          <w:rFonts w:ascii="Times New Roman" w:eastAsiaTheme="minorEastAsia" w:hAnsi="Times New Roman" w:cs="Times New Roman"/>
          <w:sz w:val="24"/>
          <w:szCs w:val="24"/>
        </w:rPr>
        <w:t>= Expected portfolio return</w:t>
      </w:r>
    </w:p>
    <w:p w14:paraId="555B289F" w14:textId="6F1812C9" w:rsidR="00F81238" w:rsidRDefault="00F81238" w:rsidP="00F81238">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f</m:t>
            </m:r>
          </m:sub>
        </m:sSub>
      </m:oMath>
      <w:r>
        <w:rPr>
          <w:rFonts w:ascii="Times New Roman" w:eastAsiaTheme="minorEastAsia" w:hAnsi="Times New Roman" w:cs="Times New Roman"/>
          <w:sz w:val="24"/>
          <w:szCs w:val="24"/>
        </w:rPr>
        <w:t xml:space="preserve"> = Risk free rate (</w:t>
      </w:r>
      <w:r w:rsidR="00EF52F0">
        <w:rPr>
          <w:rFonts w:ascii="Times New Roman" w:eastAsiaTheme="minorEastAsia" w:hAnsi="Times New Roman" w:cs="Times New Roman"/>
          <w:sz w:val="24"/>
          <w:szCs w:val="24"/>
        </w:rPr>
        <w:t>u</w:t>
      </w:r>
      <w:r>
        <w:rPr>
          <w:rFonts w:ascii="Times New Roman" w:eastAsiaTheme="minorEastAsia" w:hAnsi="Times New Roman" w:cs="Times New Roman"/>
          <w:sz w:val="24"/>
          <w:szCs w:val="24"/>
        </w:rPr>
        <w:t>sually the return on government bonds)</w:t>
      </w:r>
    </w:p>
    <w:p w14:paraId="5F24E708" w14:textId="7B4DC743" w:rsidR="000E1834" w:rsidRPr="00720766" w:rsidRDefault="00F81238" w:rsidP="00720766">
      <w:pPr>
        <w:rPr>
          <w:rFonts w:ascii="Times New Roman" w:hAnsi="Times New Roman" w:cs="Times New Roman"/>
          <w:sz w:val="24"/>
          <w:szCs w:val="24"/>
        </w:rPr>
      </w:pPr>
      <w:r>
        <w:rPr>
          <w:rFonts w:ascii="Times New Roman" w:eastAsiaTheme="minorEastAsia" w:hAnsi="Times New Roman" w:cs="Times New Roman"/>
          <w:sz w:val="24"/>
          <w:szCs w:val="24"/>
        </w:rPr>
        <w:tab/>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σ</m:t>
            </m:r>
          </m:e>
          <m:sub>
            <m:r>
              <w:rPr>
                <w:rFonts w:ascii="Cambria Math" w:eastAsiaTheme="minorEastAsia" w:hAnsi="Cambria Math" w:cs="Times New Roman"/>
                <w:sz w:val="24"/>
                <w:szCs w:val="24"/>
              </w:rPr>
              <m:t xml:space="preserve">p </m:t>
            </m:r>
          </m:sub>
        </m:sSub>
      </m:oMath>
      <w:r>
        <w:rPr>
          <w:rFonts w:ascii="Times New Roman" w:eastAsiaTheme="minorEastAsia" w:hAnsi="Times New Roman" w:cs="Times New Roman"/>
          <w:sz w:val="24"/>
          <w:szCs w:val="24"/>
        </w:rPr>
        <w:t xml:space="preserve"> = Standard deviation of portfolio returns (a measure of risk </w:t>
      </w:r>
      <w:r w:rsidR="00EF52F0">
        <w:rPr>
          <w:rFonts w:ascii="Times New Roman" w:eastAsiaTheme="minorEastAsia" w:hAnsi="Times New Roman" w:cs="Times New Roman"/>
          <w:sz w:val="24"/>
          <w:szCs w:val="24"/>
        </w:rPr>
        <w:t>or volatility)</w:t>
      </w:r>
      <w:r>
        <w:rPr>
          <w:rFonts w:ascii="Times New Roman" w:eastAsiaTheme="minorEastAsia" w:hAnsi="Times New Roman" w:cs="Times New Roman"/>
          <w:sz w:val="24"/>
          <w:szCs w:val="24"/>
        </w:rPr>
        <w:t xml:space="preserve"> </w:t>
      </w:r>
    </w:p>
    <w:p w14:paraId="16FFF5AF" w14:textId="77777777" w:rsidR="00981B38" w:rsidRDefault="00981B38" w:rsidP="00A54CC1">
      <w:pPr>
        <w:spacing w:line="360" w:lineRule="auto"/>
        <w:rPr>
          <w:rFonts w:ascii="Times New Roman" w:hAnsi="Times New Roman" w:cs="Times New Roman"/>
          <w:b/>
          <w:bCs/>
          <w:sz w:val="24"/>
          <w:szCs w:val="24"/>
        </w:rPr>
      </w:pPr>
    </w:p>
    <w:p w14:paraId="128C6B23" w14:textId="77777777" w:rsidR="00981B38" w:rsidRDefault="00981B38" w:rsidP="00A54CC1">
      <w:pPr>
        <w:spacing w:line="360" w:lineRule="auto"/>
        <w:rPr>
          <w:rFonts w:ascii="Times New Roman" w:hAnsi="Times New Roman" w:cs="Times New Roman"/>
          <w:b/>
          <w:bCs/>
          <w:sz w:val="24"/>
          <w:szCs w:val="24"/>
        </w:rPr>
      </w:pPr>
    </w:p>
    <w:p w14:paraId="4A6DFD51" w14:textId="7480F6E3" w:rsidR="00C14D99" w:rsidRPr="00325F90" w:rsidRDefault="00C14D99" w:rsidP="00A54CC1">
      <w:pPr>
        <w:spacing w:line="360" w:lineRule="auto"/>
        <w:rPr>
          <w:rFonts w:ascii="Times New Roman" w:hAnsi="Times New Roman" w:cs="Times New Roman"/>
          <w:b/>
          <w:bCs/>
          <w:sz w:val="24"/>
          <w:szCs w:val="24"/>
        </w:rPr>
      </w:pPr>
      <w:r w:rsidRPr="00325F90">
        <w:rPr>
          <w:rFonts w:ascii="Times New Roman" w:hAnsi="Times New Roman" w:cs="Times New Roman"/>
          <w:b/>
          <w:bCs/>
          <w:sz w:val="24"/>
          <w:szCs w:val="24"/>
        </w:rPr>
        <w:lastRenderedPageBreak/>
        <w:t>Interpretation:</w:t>
      </w:r>
    </w:p>
    <w:p w14:paraId="230C5BD9" w14:textId="77777777" w:rsidR="002A3549" w:rsidRPr="002A3549" w:rsidRDefault="002A3549" w:rsidP="00A54CC1">
      <w:pPr>
        <w:spacing w:line="360" w:lineRule="auto"/>
        <w:ind w:left="720"/>
        <w:jc w:val="both"/>
        <w:rPr>
          <w:rFonts w:ascii="Times New Roman" w:hAnsi="Times New Roman" w:cs="Times New Roman"/>
          <w:b/>
          <w:bCs/>
          <w:sz w:val="24"/>
          <w:szCs w:val="24"/>
        </w:rPr>
      </w:pPr>
      <w:r w:rsidRPr="002A3549">
        <w:rPr>
          <w:rFonts w:ascii="Times New Roman" w:hAnsi="Times New Roman" w:cs="Times New Roman"/>
          <w:b/>
          <w:bCs/>
          <w:sz w:val="24"/>
          <w:szCs w:val="24"/>
        </w:rPr>
        <w:t xml:space="preserve">• A higher Sharpe Ratio: </w:t>
      </w:r>
      <w:r w:rsidRPr="002A3549">
        <w:rPr>
          <w:rFonts w:ascii="Times New Roman" w:hAnsi="Times New Roman" w:cs="Times New Roman"/>
          <w:sz w:val="24"/>
          <w:szCs w:val="24"/>
        </w:rPr>
        <w:t>Denotes superior returns adjusted for risk. The investment yields a higher return for each unit of risk accepted.</w:t>
      </w:r>
    </w:p>
    <w:p w14:paraId="387DCB31" w14:textId="0F261882" w:rsidR="00C14D99" w:rsidRDefault="002A3549" w:rsidP="00A54CC1">
      <w:pPr>
        <w:spacing w:line="360" w:lineRule="auto"/>
        <w:ind w:left="720"/>
        <w:jc w:val="both"/>
        <w:rPr>
          <w:rFonts w:ascii="Times New Roman" w:hAnsi="Times New Roman" w:cs="Times New Roman"/>
          <w:b/>
          <w:bCs/>
          <w:sz w:val="24"/>
          <w:szCs w:val="24"/>
        </w:rPr>
      </w:pPr>
      <w:r w:rsidRPr="002A3549">
        <w:rPr>
          <w:rFonts w:ascii="Times New Roman" w:hAnsi="Times New Roman" w:cs="Times New Roman"/>
          <w:b/>
          <w:bCs/>
          <w:sz w:val="24"/>
          <w:szCs w:val="24"/>
        </w:rPr>
        <w:t>• A lower Sharpe Ratio</w:t>
      </w:r>
      <w:r>
        <w:rPr>
          <w:rFonts w:ascii="Times New Roman" w:hAnsi="Times New Roman" w:cs="Times New Roman"/>
          <w:b/>
          <w:bCs/>
          <w:sz w:val="24"/>
          <w:szCs w:val="24"/>
        </w:rPr>
        <w:t>:</w:t>
      </w:r>
      <w:r w:rsidRPr="002A3549">
        <w:rPr>
          <w:rFonts w:ascii="Times New Roman" w:hAnsi="Times New Roman" w:cs="Times New Roman"/>
          <w:b/>
          <w:bCs/>
          <w:sz w:val="24"/>
          <w:szCs w:val="24"/>
        </w:rPr>
        <w:t xml:space="preserve"> </w:t>
      </w:r>
      <w:r w:rsidRPr="002A3549">
        <w:rPr>
          <w:rFonts w:ascii="Times New Roman" w:hAnsi="Times New Roman" w:cs="Times New Roman"/>
          <w:sz w:val="24"/>
          <w:szCs w:val="24"/>
        </w:rPr>
        <w:t>suggests that the expected rewards would not outweigh the degree of risk. For a given amount of return, an investor may be taking on too much risk if their Sharpe Ratio is low.</w:t>
      </w:r>
    </w:p>
    <w:p w14:paraId="6C44478A" w14:textId="4523B348" w:rsidR="00C14D99" w:rsidRDefault="00C14D99" w:rsidP="00A54CC1">
      <w:pPr>
        <w:spacing w:line="360" w:lineRule="auto"/>
        <w:jc w:val="both"/>
        <w:rPr>
          <w:rFonts w:ascii="Times New Roman" w:hAnsi="Times New Roman" w:cs="Times New Roman"/>
          <w:sz w:val="24"/>
          <w:szCs w:val="24"/>
        </w:rPr>
      </w:pPr>
      <w:r w:rsidRPr="00325F90">
        <w:rPr>
          <w:rFonts w:ascii="Times New Roman" w:hAnsi="Times New Roman" w:cs="Times New Roman"/>
          <w:b/>
          <w:bCs/>
          <w:sz w:val="24"/>
          <w:szCs w:val="24"/>
        </w:rPr>
        <w:t>Treynor Ratio</w:t>
      </w:r>
      <w:r w:rsidRPr="00325F90">
        <w:rPr>
          <w:rFonts w:ascii="Times New Roman" w:hAnsi="Times New Roman" w:cs="Times New Roman"/>
          <w:sz w:val="24"/>
          <w:szCs w:val="24"/>
        </w:rPr>
        <w:t>:</w:t>
      </w:r>
      <w:r>
        <w:rPr>
          <w:rFonts w:ascii="Times New Roman" w:hAnsi="Times New Roman" w:cs="Times New Roman"/>
          <w:sz w:val="24"/>
          <w:szCs w:val="24"/>
        </w:rPr>
        <w:t xml:space="preserve"> </w:t>
      </w:r>
      <w:r w:rsidRPr="00325F90">
        <w:rPr>
          <w:rFonts w:ascii="Times New Roman" w:hAnsi="Times New Roman" w:cs="Times New Roman"/>
          <w:sz w:val="24"/>
          <w:szCs w:val="24"/>
        </w:rPr>
        <w:t>it is another risk-adjusted performance measure that evaluates the return generated by a portfolio or investment, relative to its systematic risk (also known as market risk or beta). It was developed by Jack Treynor, and like the Sharpe Ratio, it helps assess how well a portfolio compensates an investor for the risk taken.</w:t>
      </w:r>
    </w:p>
    <w:p w14:paraId="78F3CAF7" w14:textId="77777777" w:rsidR="00EF52F0" w:rsidRPr="00BB1A45" w:rsidRDefault="00EC0FC8" w:rsidP="0047504C">
      <w:pPr>
        <w:spacing w:after="0" w:line="360" w:lineRule="auto"/>
        <w:ind w:firstLine="720"/>
        <w:rPr>
          <w:rFonts w:ascii="Times New Roman" w:hAnsi="Times New Roman" w:cs="Times New Roman"/>
          <w:b/>
          <w:bCs/>
          <w:sz w:val="24"/>
          <w:szCs w:val="24"/>
        </w:rPr>
      </w:pPr>
      <w:r w:rsidRPr="00BB1A45">
        <w:rPr>
          <w:rFonts w:ascii="Times New Roman" w:hAnsi="Times New Roman" w:cs="Times New Roman"/>
          <w:b/>
          <w:bCs/>
          <w:sz w:val="24"/>
          <w:szCs w:val="24"/>
        </w:rPr>
        <w:t>Formula:</w:t>
      </w:r>
      <w:r w:rsidRPr="00BB1A45">
        <w:rPr>
          <w:rFonts w:ascii="Times New Roman" w:hAnsi="Times New Roman" w:cs="Times New Roman"/>
          <w:noProof/>
          <w:sz w:val="24"/>
          <w:szCs w:val="24"/>
        </w:rPr>
        <w:t xml:space="preserve"> </w:t>
      </w:r>
    </w:p>
    <w:p w14:paraId="0DC2C6C5" w14:textId="019B76F1" w:rsidR="00EF52F0" w:rsidRDefault="00EF52F0" w:rsidP="0047504C">
      <w:pPr>
        <w:spacing w:after="0" w:line="360" w:lineRule="auto"/>
        <w:ind w:left="1440" w:firstLine="720"/>
        <w:rPr>
          <w:b/>
          <w:bCs/>
        </w:rPr>
      </w:pPr>
      <w:r w:rsidRPr="00BB1A45">
        <w:rPr>
          <w:rFonts w:ascii="Times New Roman" w:hAnsi="Times New Roman" w:cs="Times New Roman"/>
          <w:sz w:val="24"/>
          <w:szCs w:val="24"/>
        </w:rPr>
        <w:t xml:space="preserve">Treynor’s Ratio </w:t>
      </w:r>
      <w:r w:rsidRPr="00EF52F0">
        <w:rPr>
          <w:rFonts w:ascii="Times New Roman" w:hAnsi="Times New Roman" w:cs="Times New Roman"/>
          <w:sz w:val="32"/>
          <w:szCs w:val="32"/>
        </w:rPr>
        <w:t xml:space="preserve">= </w:t>
      </w:r>
      <m:oMath>
        <m:f>
          <m:fPr>
            <m:ctrlPr>
              <w:rPr>
                <w:rFonts w:ascii="Cambria Math" w:hAnsi="Cambria Math" w:cs="Times New Roman"/>
                <w:i/>
                <w:sz w:val="32"/>
                <w:szCs w:val="32"/>
              </w:rPr>
            </m:ctrlPr>
          </m:fPr>
          <m:num>
            <m:sSub>
              <m:sSubPr>
                <m:ctrlPr>
                  <w:rPr>
                    <w:rFonts w:ascii="Cambria Math" w:hAnsi="Cambria Math" w:cs="Times New Roman"/>
                    <w:i/>
                    <w:sz w:val="32"/>
                    <w:szCs w:val="32"/>
                  </w:rPr>
                </m:ctrlPr>
              </m:sSubPr>
              <m:e>
                <m:r>
                  <w:rPr>
                    <w:rFonts w:ascii="Cambria Math" w:hAnsi="Cambria Math" w:cs="Times New Roman"/>
                    <w:sz w:val="32"/>
                    <w:szCs w:val="32"/>
                  </w:rPr>
                  <m:t>R</m:t>
                </m:r>
              </m:e>
              <m:sub>
                <m:r>
                  <w:rPr>
                    <w:rFonts w:ascii="Cambria Math" w:hAnsi="Cambria Math" w:cs="Times New Roman"/>
                    <w:sz w:val="32"/>
                    <w:szCs w:val="32"/>
                  </w:rPr>
                  <m:t>p-</m:t>
                </m:r>
                <m:sSub>
                  <m:sSubPr>
                    <m:ctrlPr>
                      <w:rPr>
                        <w:rFonts w:ascii="Cambria Math" w:hAnsi="Cambria Math" w:cs="Times New Roman"/>
                        <w:i/>
                        <w:sz w:val="32"/>
                        <w:szCs w:val="32"/>
                      </w:rPr>
                    </m:ctrlPr>
                  </m:sSubPr>
                  <m:e>
                    <m:r>
                      <w:rPr>
                        <w:rFonts w:ascii="Cambria Math" w:hAnsi="Cambria Math" w:cs="Times New Roman"/>
                        <w:sz w:val="32"/>
                        <w:szCs w:val="32"/>
                      </w:rPr>
                      <m:t>R</m:t>
                    </m:r>
                  </m:e>
                  <m:sub>
                    <m:r>
                      <w:rPr>
                        <w:rFonts w:ascii="Cambria Math" w:hAnsi="Cambria Math" w:cs="Times New Roman"/>
                        <w:sz w:val="32"/>
                        <w:szCs w:val="32"/>
                      </w:rPr>
                      <m:t>f</m:t>
                    </m:r>
                  </m:sub>
                </m:sSub>
              </m:sub>
            </m:sSub>
          </m:num>
          <m:den>
            <m:sSub>
              <m:sSubPr>
                <m:ctrlPr>
                  <w:rPr>
                    <w:rFonts w:ascii="Cambria Math" w:hAnsi="Cambria Math" w:cs="Times New Roman"/>
                    <w:i/>
                    <w:sz w:val="32"/>
                    <w:szCs w:val="32"/>
                  </w:rPr>
                </m:ctrlPr>
              </m:sSubPr>
              <m:e>
                <m:r>
                  <w:rPr>
                    <w:rFonts w:ascii="Cambria Math" w:hAnsi="Cambria Math" w:cs="Times New Roman"/>
                    <w:sz w:val="32"/>
                    <w:szCs w:val="32"/>
                  </w:rPr>
                  <m:t>β</m:t>
                </m:r>
              </m:e>
              <m:sub>
                <m:r>
                  <w:rPr>
                    <w:rFonts w:ascii="Cambria Math" w:hAnsi="Cambria Math" w:cs="Times New Roman"/>
                    <w:sz w:val="32"/>
                    <w:szCs w:val="32"/>
                  </w:rPr>
                  <m:t>p</m:t>
                </m:r>
              </m:sub>
            </m:sSub>
          </m:den>
        </m:f>
      </m:oMath>
      <w:r>
        <w:rPr>
          <w:rFonts w:ascii="Times New Roman" w:eastAsiaTheme="minorEastAsia" w:hAnsi="Times New Roman" w:cs="Times New Roman"/>
          <w:sz w:val="28"/>
          <w:szCs w:val="28"/>
        </w:rPr>
        <w:t xml:space="preserve"> </w:t>
      </w:r>
      <w:r>
        <w:rPr>
          <w:rFonts w:ascii="Times New Roman" w:eastAsiaTheme="minorEastAsia" w:hAnsi="Times New Roman" w:cs="Times New Roman"/>
          <w:sz w:val="24"/>
          <w:szCs w:val="24"/>
        </w:rPr>
        <w:t>……………………………………… (</w:t>
      </w:r>
      <w:r w:rsidR="0037198A" w:rsidRPr="0037198A">
        <w:rPr>
          <w:rFonts w:ascii="Times New Roman" w:eastAsiaTheme="minorEastAsia" w:hAnsi="Times New Roman" w:cs="Times New Roman"/>
          <w:sz w:val="24"/>
          <w:szCs w:val="24"/>
        </w:rPr>
        <w:t>vii</w:t>
      </w:r>
      <w:r>
        <w:rPr>
          <w:rFonts w:ascii="Times New Roman" w:eastAsiaTheme="minorEastAsia" w:hAnsi="Times New Roman" w:cs="Times New Roman"/>
          <w:sz w:val="24"/>
          <w:szCs w:val="24"/>
        </w:rPr>
        <w:t>)</w:t>
      </w:r>
    </w:p>
    <w:p w14:paraId="55B76D94" w14:textId="77777777" w:rsidR="00EF52F0" w:rsidRDefault="00EF52F0" w:rsidP="00EF52F0">
      <w:pPr>
        <w:rPr>
          <w:rFonts w:ascii="Times New Roman" w:eastAsiaTheme="minorEastAsia" w:hAnsi="Times New Roman" w:cs="Times New Roman"/>
          <w:sz w:val="24"/>
          <w:szCs w:val="24"/>
        </w:rPr>
      </w:pPr>
      <w:proofErr w:type="gramStart"/>
      <w:r>
        <w:rPr>
          <w:rFonts w:ascii="Times New Roman" w:eastAsiaTheme="minorEastAsia" w:hAnsi="Times New Roman" w:cs="Times New Roman"/>
          <w:sz w:val="24"/>
          <w:szCs w:val="24"/>
        </w:rPr>
        <w:t>Where</w:t>
      </w:r>
      <w:proofErr w:type="gramEnd"/>
      <w:r>
        <w:rPr>
          <w:rFonts w:ascii="Times New Roman" w:eastAsiaTheme="minorEastAsia" w:hAnsi="Times New Roman" w:cs="Times New Roman"/>
          <w:sz w:val="24"/>
          <w:szCs w:val="24"/>
        </w:rPr>
        <w:t xml:space="preserve">, </w:t>
      </w:r>
    </w:p>
    <w:p w14:paraId="78F3AFF6" w14:textId="77777777" w:rsidR="00EF52F0" w:rsidRDefault="00EF52F0" w:rsidP="00EF52F0">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p</m:t>
            </m:r>
          </m:sub>
        </m:sSub>
      </m:oMath>
      <w:r>
        <w:rPr>
          <w:rFonts w:ascii="Times New Roman" w:eastAsiaTheme="minorEastAsia" w:hAnsi="Times New Roman" w:cs="Times New Roman"/>
          <w:sz w:val="24"/>
          <w:szCs w:val="24"/>
        </w:rPr>
        <w:t>= Expected portfolio return</w:t>
      </w:r>
    </w:p>
    <w:p w14:paraId="37B27178" w14:textId="77777777" w:rsidR="00EF52F0" w:rsidRDefault="00EF52F0" w:rsidP="00EF52F0">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f</m:t>
            </m:r>
          </m:sub>
        </m:sSub>
      </m:oMath>
      <w:r>
        <w:rPr>
          <w:rFonts w:ascii="Times New Roman" w:eastAsiaTheme="minorEastAsia" w:hAnsi="Times New Roman" w:cs="Times New Roman"/>
          <w:sz w:val="24"/>
          <w:szCs w:val="24"/>
        </w:rPr>
        <w:t xml:space="preserve"> = Risk free rate (usually the return on government bonds)</w:t>
      </w:r>
    </w:p>
    <w:p w14:paraId="6421BCB6" w14:textId="77777777" w:rsidR="00EF52F0" w:rsidRDefault="00EF52F0" w:rsidP="00EF52F0">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β</m:t>
            </m:r>
          </m:e>
          <m:sub>
            <m:r>
              <w:rPr>
                <w:rFonts w:ascii="Cambria Math" w:eastAsiaTheme="minorEastAsia" w:hAnsi="Cambria Math" w:cs="Times New Roman"/>
                <w:sz w:val="24"/>
                <w:szCs w:val="24"/>
              </w:rPr>
              <m:t xml:space="preserve">p </m:t>
            </m:r>
          </m:sub>
        </m:sSub>
      </m:oMath>
      <w:r>
        <w:rPr>
          <w:rFonts w:ascii="Times New Roman" w:eastAsiaTheme="minorEastAsia" w:hAnsi="Times New Roman" w:cs="Times New Roman"/>
          <w:sz w:val="24"/>
          <w:szCs w:val="24"/>
        </w:rPr>
        <w:t xml:space="preserve"> = Beta of the portfolio, which measures the portfolio’s sensitivity to market      </w:t>
      </w:r>
    </w:p>
    <w:p w14:paraId="07940FA9" w14:textId="50B27FF7" w:rsidR="0047504C" w:rsidRPr="00397BD6" w:rsidRDefault="00EF52F0" w:rsidP="00397BD6">
      <w:pPr>
        <w:rPr>
          <w:rFonts w:ascii="Times New Roman" w:hAnsi="Times New Roman" w:cs="Times New Roman"/>
          <w:sz w:val="24"/>
          <w:szCs w:val="24"/>
        </w:rPr>
      </w:pPr>
      <w:r>
        <w:rPr>
          <w:rFonts w:ascii="Times New Roman" w:eastAsiaTheme="minorEastAsia" w:hAnsi="Times New Roman" w:cs="Times New Roman"/>
          <w:sz w:val="24"/>
          <w:szCs w:val="24"/>
        </w:rPr>
        <w:t xml:space="preserve">                     movements (systematic risk)</w:t>
      </w:r>
    </w:p>
    <w:p w14:paraId="2519981B" w14:textId="3449A036" w:rsidR="0047504C" w:rsidRPr="0047504C" w:rsidRDefault="00C14D99" w:rsidP="0047504C">
      <w:pPr>
        <w:spacing w:line="360" w:lineRule="auto"/>
        <w:rPr>
          <w:rFonts w:ascii="Times New Roman" w:hAnsi="Times New Roman" w:cs="Times New Roman"/>
          <w:b/>
          <w:bCs/>
          <w:sz w:val="24"/>
          <w:szCs w:val="24"/>
        </w:rPr>
      </w:pPr>
      <w:r w:rsidRPr="00325F90">
        <w:rPr>
          <w:rFonts w:ascii="Times New Roman" w:hAnsi="Times New Roman" w:cs="Times New Roman"/>
          <w:b/>
          <w:bCs/>
          <w:sz w:val="24"/>
          <w:szCs w:val="24"/>
        </w:rPr>
        <w:t>Interpretation:</w:t>
      </w:r>
    </w:p>
    <w:p w14:paraId="0EF603F0" w14:textId="77777777" w:rsidR="00C14D99" w:rsidRPr="00325F90" w:rsidRDefault="00C14D99" w:rsidP="00A54CC1">
      <w:pPr>
        <w:numPr>
          <w:ilvl w:val="0"/>
          <w:numId w:val="3"/>
        </w:numPr>
        <w:spacing w:line="360" w:lineRule="auto"/>
        <w:jc w:val="both"/>
        <w:rPr>
          <w:rFonts w:ascii="Times New Roman" w:hAnsi="Times New Roman" w:cs="Times New Roman"/>
          <w:sz w:val="24"/>
          <w:szCs w:val="24"/>
        </w:rPr>
      </w:pPr>
      <w:r w:rsidRPr="00325F90">
        <w:rPr>
          <w:rFonts w:ascii="Times New Roman" w:hAnsi="Times New Roman" w:cs="Times New Roman"/>
          <w:b/>
          <w:bCs/>
          <w:sz w:val="24"/>
          <w:szCs w:val="24"/>
        </w:rPr>
        <w:t>Higher Treynor Ratio</w:t>
      </w:r>
      <w:r w:rsidRPr="00325F90">
        <w:rPr>
          <w:rFonts w:ascii="Times New Roman" w:hAnsi="Times New Roman" w:cs="Times New Roman"/>
          <w:sz w:val="24"/>
          <w:szCs w:val="24"/>
        </w:rPr>
        <w:t>: Indicates that the portfolio is generating more return per unit of market risk (beta). A higher ratio is better because it means the investment is efficiently compensating the investor for the risk exposure to the market.</w:t>
      </w:r>
    </w:p>
    <w:p w14:paraId="3D5083D6" w14:textId="52768611" w:rsidR="00C14D99" w:rsidRPr="00FC514C" w:rsidRDefault="00C14D99" w:rsidP="00A54CC1">
      <w:pPr>
        <w:numPr>
          <w:ilvl w:val="0"/>
          <w:numId w:val="3"/>
        </w:numPr>
        <w:spacing w:line="360" w:lineRule="auto"/>
        <w:jc w:val="both"/>
        <w:rPr>
          <w:rFonts w:ascii="Times New Roman" w:hAnsi="Times New Roman" w:cs="Times New Roman"/>
        </w:rPr>
      </w:pPr>
      <w:r w:rsidRPr="00325F90">
        <w:rPr>
          <w:rFonts w:ascii="Times New Roman" w:hAnsi="Times New Roman" w:cs="Times New Roman"/>
          <w:b/>
          <w:bCs/>
          <w:sz w:val="24"/>
          <w:szCs w:val="24"/>
        </w:rPr>
        <w:t>Lower Treynor Ratio</w:t>
      </w:r>
      <w:r w:rsidRPr="00325F90">
        <w:rPr>
          <w:rFonts w:ascii="Times New Roman" w:hAnsi="Times New Roman" w:cs="Times New Roman"/>
          <w:sz w:val="24"/>
          <w:szCs w:val="24"/>
        </w:rPr>
        <w:t>: Suggests that the return per unit of market risk is lower, meaning the investment may not be providing sufficient returns for the amount of risk</w:t>
      </w:r>
      <w:r w:rsidRPr="00DA00A6">
        <w:rPr>
          <w:rFonts w:ascii="Times New Roman" w:hAnsi="Times New Roman" w:cs="Times New Roman"/>
        </w:rPr>
        <w:t xml:space="preserve"> taken.</w:t>
      </w:r>
    </w:p>
    <w:p w14:paraId="4A400469" w14:textId="25C006BC" w:rsidR="002A3549" w:rsidRDefault="00C14D99" w:rsidP="007720DB">
      <w:pPr>
        <w:spacing w:line="360" w:lineRule="auto"/>
        <w:jc w:val="both"/>
        <w:rPr>
          <w:rFonts w:ascii="Times New Roman" w:hAnsi="Times New Roman" w:cs="Times New Roman"/>
          <w:sz w:val="24"/>
          <w:szCs w:val="24"/>
        </w:rPr>
      </w:pPr>
      <w:r w:rsidRPr="00325F90">
        <w:rPr>
          <w:rFonts w:ascii="Times New Roman" w:hAnsi="Times New Roman" w:cs="Times New Roman"/>
          <w:b/>
          <w:bCs/>
          <w:sz w:val="24"/>
          <w:szCs w:val="24"/>
        </w:rPr>
        <w:t>Jensen’s Measure</w:t>
      </w:r>
      <w:r w:rsidRPr="00325F90">
        <w:rPr>
          <w:rFonts w:ascii="Times New Roman" w:hAnsi="Times New Roman" w:cs="Times New Roman"/>
          <w:sz w:val="24"/>
          <w:szCs w:val="24"/>
        </w:rPr>
        <w:t xml:space="preserve">: </w:t>
      </w:r>
      <w:r w:rsidR="002A3549" w:rsidRPr="002A3549">
        <w:rPr>
          <w:rFonts w:ascii="Times New Roman" w:hAnsi="Times New Roman" w:cs="Times New Roman"/>
          <w:sz w:val="24"/>
          <w:szCs w:val="24"/>
        </w:rPr>
        <w:t xml:space="preserve">Also referred to as Jensen's Alpha, this performance evaluation indicator calculates the excess return that an investment or portfolio produces over its anticipated return using the Capital Asset Pricing Model (CAPM). It was created in 1968 by Michael Jensen and is </w:t>
      </w:r>
      <w:r w:rsidR="002A3549" w:rsidRPr="002A3549">
        <w:rPr>
          <w:rFonts w:ascii="Times New Roman" w:hAnsi="Times New Roman" w:cs="Times New Roman"/>
          <w:sz w:val="24"/>
          <w:szCs w:val="24"/>
        </w:rPr>
        <w:lastRenderedPageBreak/>
        <w:t>a crucial measure of how well a portfolio manager fared in comparison to market expectations while taking risk into consideration.</w:t>
      </w:r>
    </w:p>
    <w:p w14:paraId="144BFAF1" w14:textId="0C40252A" w:rsidR="00C14D99" w:rsidRPr="00234F58" w:rsidRDefault="00FC514C" w:rsidP="00234F58">
      <w:pPr>
        <w:ind w:firstLine="720"/>
        <w:rPr>
          <w:rFonts w:ascii="Times New Roman" w:hAnsi="Times New Roman" w:cs="Times New Roman"/>
          <w:b/>
          <w:bCs/>
        </w:rPr>
      </w:pPr>
      <w:r w:rsidRPr="00234F58">
        <w:rPr>
          <w:rFonts w:ascii="Times New Roman" w:hAnsi="Times New Roman" w:cs="Times New Roman"/>
          <w:b/>
          <w:bCs/>
        </w:rPr>
        <w:t>Formula:</w:t>
      </w:r>
    </w:p>
    <w:p w14:paraId="24A5AA67" w14:textId="64B6595F" w:rsidR="00FC514C" w:rsidRPr="005F6503" w:rsidRDefault="00EF52F0" w:rsidP="005F6503">
      <w:pPr>
        <w:ind w:left="2160" w:firstLine="720"/>
        <w:rPr>
          <w:rFonts w:ascii="Times New Roman" w:eastAsiaTheme="minorEastAsia" w:hAnsi="Times New Roman" w:cs="Times New Roman"/>
          <w:sz w:val="24"/>
          <w:szCs w:val="24"/>
        </w:rPr>
      </w:pPr>
      <w:r w:rsidRPr="005F6503">
        <w:rPr>
          <w:rFonts w:ascii="Times New Roman" w:hAnsi="Times New Roman" w:cs="Times New Roman"/>
          <w:sz w:val="32"/>
          <w:szCs w:val="32"/>
        </w:rPr>
        <w:t xml:space="preserve">α = </w:t>
      </w:r>
      <m:oMath>
        <m:sSub>
          <m:sSubPr>
            <m:ctrlPr>
              <w:rPr>
                <w:rFonts w:ascii="Cambria Math" w:hAnsi="Cambria Math" w:cs="Times New Roman"/>
                <w:i/>
                <w:sz w:val="32"/>
                <w:szCs w:val="32"/>
              </w:rPr>
            </m:ctrlPr>
          </m:sSubPr>
          <m:e>
            <m:r>
              <w:rPr>
                <w:rFonts w:ascii="Cambria Math" w:hAnsi="Cambria Math" w:cs="Times New Roman"/>
                <w:sz w:val="32"/>
                <w:szCs w:val="32"/>
              </w:rPr>
              <m:t>R</m:t>
            </m:r>
          </m:e>
          <m:sub>
            <m:r>
              <w:rPr>
                <w:rFonts w:ascii="Cambria Math" w:hAnsi="Cambria Math" w:cs="Times New Roman"/>
                <w:sz w:val="32"/>
                <w:szCs w:val="32"/>
              </w:rPr>
              <m:t>p</m:t>
            </m:r>
          </m:sub>
        </m:sSub>
      </m:oMath>
      <w:r w:rsidR="005F6503" w:rsidRPr="005F6503">
        <w:rPr>
          <w:rFonts w:ascii="Times New Roman" w:eastAsiaTheme="minorEastAsia" w:hAnsi="Times New Roman" w:cs="Times New Roman"/>
          <w:sz w:val="32"/>
          <w:szCs w:val="32"/>
        </w:rPr>
        <w:t>- [</w:t>
      </w:r>
      <m:oMath>
        <m:sSub>
          <m:sSubPr>
            <m:ctrlPr>
              <w:rPr>
                <w:rFonts w:ascii="Cambria Math" w:eastAsiaTheme="minorEastAsia" w:hAnsi="Cambria Math" w:cs="Times New Roman"/>
                <w:i/>
                <w:sz w:val="32"/>
                <w:szCs w:val="32"/>
              </w:rPr>
            </m:ctrlPr>
          </m:sSubPr>
          <m:e>
            <m:r>
              <w:rPr>
                <w:rFonts w:ascii="Cambria Math" w:eastAsiaTheme="minorEastAsia" w:hAnsi="Cambria Math" w:cs="Times New Roman"/>
                <w:sz w:val="32"/>
                <w:szCs w:val="32"/>
              </w:rPr>
              <m:t>R</m:t>
            </m:r>
          </m:e>
          <m:sub>
            <m:r>
              <w:rPr>
                <w:rFonts w:ascii="Cambria Math" w:eastAsiaTheme="minorEastAsia" w:hAnsi="Cambria Math" w:cs="Times New Roman"/>
                <w:sz w:val="32"/>
                <w:szCs w:val="32"/>
              </w:rPr>
              <m:t xml:space="preserve">f </m:t>
            </m:r>
          </m:sub>
        </m:sSub>
      </m:oMath>
      <w:r w:rsidR="005F6503" w:rsidRPr="005F6503">
        <w:rPr>
          <w:rFonts w:ascii="Times New Roman" w:eastAsiaTheme="minorEastAsia" w:hAnsi="Times New Roman" w:cs="Times New Roman"/>
          <w:sz w:val="32"/>
          <w:szCs w:val="32"/>
        </w:rPr>
        <w:t>+</w:t>
      </w:r>
      <m:oMath>
        <m:sSub>
          <m:sSubPr>
            <m:ctrlPr>
              <w:rPr>
                <w:rFonts w:ascii="Cambria Math" w:eastAsiaTheme="minorEastAsia" w:hAnsi="Cambria Math" w:cs="Times New Roman"/>
                <w:i/>
                <w:sz w:val="32"/>
                <w:szCs w:val="32"/>
              </w:rPr>
            </m:ctrlPr>
          </m:sSubPr>
          <m:e>
            <m:r>
              <w:rPr>
                <w:rFonts w:ascii="Cambria Math" w:eastAsiaTheme="minorEastAsia" w:hAnsi="Cambria Math" w:cs="Times New Roman"/>
                <w:sz w:val="32"/>
                <w:szCs w:val="32"/>
              </w:rPr>
              <m:t>β</m:t>
            </m:r>
          </m:e>
          <m:sub>
            <m:r>
              <w:rPr>
                <w:rFonts w:ascii="Cambria Math" w:eastAsiaTheme="minorEastAsia" w:hAnsi="Cambria Math" w:cs="Times New Roman"/>
                <w:sz w:val="32"/>
                <w:szCs w:val="32"/>
              </w:rPr>
              <m:t xml:space="preserve">p </m:t>
            </m:r>
          </m:sub>
        </m:sSub>
      </m:oMath>
      <w:r w:rsidR="005F6503" w:rsidRPr="005F6503">
        <w:rPr>
          <w:rFonts w:ascii="Times New Roman" w:eastAsiaTheme="minorEastAsia" w:hAnsi="Times New Roman" w:cs="Times New Roman"/>
          <w:sz w:val="32"/>
          <w:szCs w:val="32"/>
        </w:rPr>
        <w:t>(</w:t>
      </w:r>
      <m:oMath>
        <m:sSub>
          <m:sSubPr>
            <m:ctrlPr>
              <w:rPr>
                <w:rFonts w:ascii="Cambria Math" w:eastAsiaTheme="minorEastAsia" w:hAnsi="Cambria Math" w:cs="Times New Roman"/>
                <w:i/>
                <w:sz w:val="32"/>
                <w:szCs w:val="32"/>
              </w:rPr>
            </m:ctrlPr>
          </m:sSubPr>
          <m:e>
            <m:r>
              <w:rPr>
                <w:rFonts w:ascii="Cambria Math" w:eastAsiaTheme="minorEastAsia" w:hAnsi="Cambria Math" w:cs="Times New Roman"/>
                <w:sz w:val="32"/>
                <w:szCs w:val="32"/>
              </w:rPr>
              <m:t>R</m:t>
            </m:r>
          </m:e>
          <m:sub>
            <m:r>
              <w:rPr>
                <w:rFonts w:ascii="Cambria Math" w:eastAsiaTheme="minorEastAsia" w:hAnsi="Cambria Math" w:cs="Times New Roman"/>
                <w:sz w:val="32"/>
                <w:szCs w:val="32"/>
              </w:rPr>
              <m:t>m</m:t>
            </m:r>
          </m:sub>
        </m:sSub>
      </m:oMath>
      <w:r w:rsidR="005F6503" w:rsidRPr="005F6503">
        <w:rPr>
          <w:rFonts w:ascii="Times New Roman" w:eastAsiaTheme="minorEastAsia" w:hAnsi="Times New Roman" w:cs="Times New Roman"/>
          <w:sz w:val="32"/>
          <w:szCs w:val="32"/>
        </w:rPr>
        <w:t>-</w:t>
      </w:r>
      <m:oMath>
        <m:sSub>
          <m:sSubPr>
            <m:ctrlPr>
              <w:rPr>
                <w:rFonts w:ascii="Cambria Math" w:eastAsiaTheme="minorEastAsia" w:hAnsi="Cambria Math" w:cs="Times New Roman"/>
                <w:i/>
                <w:sz w:val="32"/>
                <w:szCs w:val="32"/>
              </w:rPr>
            </m:ctrlPr>
          </m:sSubPr>
          <m:e>
            <m:r>
              <w:rPr>
                <w:rFonts w:ascii="Cambria Math" w:eastAsiaTheme="minorEastAsia" w:hAnsi="Cambria Math" w:cs="Times New Roman"/>
                <w:sz w:val="32"/>
                <w:szCs w:val="32"/>
              </w:rPr>
              <m:t>R</m:t>
            </m:r>
          </m:e>
          <m:sub>
            <m:r>
              <w:rPr>
                <w:rFonts w:ascii="Cambria Math" w:eastAsiaTheme="minorEastAsia" w:hAnsi="Cambria Math" w:cs="Times New Roman"/>
                <w:sz w:val="32"/>
                <w:szCs w:val="32"/>
              </w:rPr>
              <m:t>f</m:t>
            </m:r>
          </m:sub>
        </m:sSub>
      </m:oMath>
      <w:r w:rsidR="005F6503" w:rsidRPr="005F6503">
        <w:rPr>
          <w:rFonts w:ascii="Times New Roman" w:eastAsiaTheme="minorEastAsia" w:hAnsi="Times New Roman" w:cs="Times New Roman"/>
          <w:sz w:val="32"/>
          <w:szCs w:val="32"/>
        </w:rPr>
        <w:t>)]</w:t>
      </w:r>
      <w:r w:rsidR="005F6503">
        <w:rPr>
          <w:rFonts w:ascii="Times New Roman" w:eastAsiaTheme="minorEastAsia" w:hAnsi="Times New Roman" w:cs="Times New Roman"/>
          <w:sz w:val="32"/>
          <w:szCs w:val="32"/>
        </w:rPr>
        <w:t xml:space="preserve"> </w:t>
      </w:r>
      <w:r w:rsidR="005F6503">
        <w:rPr>
          <w:rFonts w:ascii="Times New Roman" w:eastAsiaTheme="minorEastAsia" w:hAnsi="Times New Roman" w:cs="Times New Roman"/>
          <w:sz w:val="24"/>
          <w:szCs w:val="24"/>
        </w:rPr>
        <w:t>……………………….</w:t>
      </w:r>
      <w:r w:rsidR="00234F58">
        <w:rPr>
          <w:rFonts w:ascii="Times New Roman" w:eastAsiaTheme="minorEastAsia" w:hAnsi="Times New Roman" w:cs="Times New Roman"/>
          <w:sz w:val="24"/>
          <w:szCs w:val="24"/>
        </w:rPr>
        <w:t xml:space="preserve"> </w:t>
      </w:r>
      <w:r w:rsidR="00234F58" w:rsidRPr="00234F58">
        <w:rPr>
          <w:rFonts w:ascii="Times New Roman" w:eastAsiaTheme="minorEastAsia" w:hAnsi="Times New Roman" w:cs="Times New Roman"/>
          <w:sz w:val="24"/>
          <w:szCs w:val="24"/>
        </w:rPr>
        <w:t>(</w:t>
      </w:r>
      <w:r w:rsidR="0037198A" w:rsidRPr="0037198A">
        <w:rPr>
          <w:rFonts w:ascii="Times New Roman" w:eastAsiaTheme="minorEastAsia" w:hAnsi="Times New Roman" w:cs="Times New Roman"/>
          <w:sz w:val="24"/>
          <w:szCs w:val="24"/>
        </w:rPr>
        <w:t>viii</w:t>
      </w:r>
      <w:r w:rsidR="00234F58" w:rsidRPr="00234F58">
        <w:rPr>
          <w:rFonts w:ascii="Times New Roman" w:eastAsiaTheme="minorEastAsia" w:hAnsi="Times New Roman" w:cs="Times New Roman"/>
          <w:sz w:val="24"/>
          <w:szCs w:val="24"/>
        </w:rPr>
        <w:t>)</w:t>
      </w:r>
    </w:p>
    <w:p w14:paraId="464D4865" w14:textId="38DF6082" w:rsidR="005F6503" w:rsidRDefault="005F6503" w:rsidP="005F6503">
      <w:pPr>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Where</w:t>
      </w:r>
      <w:proofErr w:type="gramEnd"/>
      <w:r>
        <w:rPr>
          <w:rFonts w:ascii="Times New Roman" w:hAnsi="Times New Roman" w:cs="Times New Roman"/>
          <w:sz w:val="24"/>
          <w:szCs w:val="24"/>
        </w:rPr>
        <w:t xml:space="preserve">, </w:t>
      </w:r>
    </w:p>
    <w:p w14:paraId="666083A8" w14:textId="1FA7C19D" w:rsidR="005F6503" w:rsidRDefault="005F6503" w:rsidP="005F6503">
      <w:pPr>
        <w:jc w:val="both"/>
        <w:rPr>
          <w:rFonts w:ascii="Times New Roman" w:hAnsi="Times New Roman" w:cs="Times New Roman"/>
          <w:sz w:val="24"/>
          <w:szCs w:val="24"/>
        </w:rPr>
      </w:pPr>
      <w:r>
        <w:rPr>
          <w:rFonts w:ascii="Times New Roman" w:hAnsi="Times New Roman" w:cs="Times New Roman"/>
          <w:sz w:val="24"/>
          <w:szCs w:val="24"/>
        </w:rPr>
        <w:tab/>
      </w:r>
      <w:r w:rsidRPr="005F6503">
        <w:rPr>
          <w:rFonts w:ascii="Times New Roman" w:hAnsi="Times New Roman" w:cs="Times New Roman"/>
          <w:sz w:val="24"/>
          <w:szCs w:val="24"/>
        </w:rPr>
        <w:t>α =</w:t>
      </w:r>
      <w:r>
        <w:rPr>
          <w:rFonts w:ascii="Times New Roman" w:hAnsi="Times New Roman" w:cs="Times New Roman"/>
          <w:sz w:val="24"/>
          <w:szCs w:val="24"/>
        </w:rPr>
        <w:t xml:space="preserve"> Jensen’s Alpha (the value -added by the portfolio manager)</w:t>
      </w:r>
    </w:p>
    <w:p w14:paraId="719AD6C5" w14:textId="42035705" w:rsidR="005F6503" w:rsidRDefault="005F6503" w:rsidP="005F6503">
      <w:pPr>
        <w:jc w:val="both"/>
        <w:rPr>
          <w:rFonts w:ascii="Times New Roman" w:eastAsiaTheme="minorEastAsia"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p</m:t>
            </m:r>
          </m:sub>
        </m:sSub>
      </m:oMath>
      <w:r>
        <w:rPr>
          <w:rFonts w:ascii="Times New Roman" w:eastAsiaTheme="minorEastAsia" w:hAnsi="Times New Roman" w:cs="Times New Roman"/>
          <w:sz w:val="24"/>
          <w:szCs w:val="24"/>
        </w:rPr>
        <w:t xml:space="preserve">= Actual portfolio return </w:t>
      </w:r>
    </w:p>
    <w:p w14:paraId="2A1C91E4" w14:textId="0135222E" w:rsidR="005F6503" w:rsidRDefault="005F6503" w:rsidP="005F6503">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f</m:t>
            </m:r>
          </m:sub>
        </m:sSub>
      </m:oMath>
      <w:r>
        <w:rPr>
          <w:rFonts w:ascii="Times New Roman" w:eastAsiaTheme="minorEastAsia" w:hAnsi="Times New Roman" w:cs="Times New Roman"/>
          <w:sz w:val="24"/>
          <w:szCs w:val="24"/>
        </w:rPr>
        <w:t>= Risk – free rate (e.g., government bond rate)</w:t>
      </w:r>
    </w:p>
    <w:p w14:paraId="63FB93F7" w14:textId="743D12E2" w:rsidR="005F6503" w:rsidRDefault="005F6503" w:rsidP="005F6503">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β</m:t>
            </m:r>
          </m:e>
          <m:sub>
            <m:r>
              <w:rPr>
                <w:rFonts w:ascii="Cambria Math" w:eastAsiaTheme="minorEastAsia" w:hAnsi="Cambria Math" w:cs="Times New Roman"/>
                <w:sz w:val="24"/>
                <w:szCs w:val="24"/>
              </w:rPr>
              <m:t>p</m:t>
            </m:r>
          </m:sub>
        </m:sSub>
      </m:oMath>
      <w:r>
        <w:rPr>
          <w:rFonts w:ascii="Times New Roman" w:eastAsiaTheme="minorEastAsia" w:hAnsi="Times New Roman" w:cs="Times New Roman"/>
          <w:sz w:val="24"/>
          <w:szCs w:val="24"/>
        </w:rPr>
        <w:t>= Beta of the portfolio (systematic risk)</w:t>
      </w:r>
    </w:p>
    <w:p w14:paraId="36959E00" w14:textId="0266531B" w:rsidR="005F6503" w:rsidRDefault="005F6503" w:rsidP="005F6503">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m</m:t>
            </m:r>
          </m:sub>
        </m:sSub>
      </m:oMath>
      <w:r>
        <w:rPr>
          <w:rFonts w:ascii="Times New Roman" w:eastAsiaTheme="minorEastAsia" w:hAnsi="Times New Roman" w:cs="Times New Roman"/>
          <w:sz w:val="24"/>
          <w:szCs w:val="24"/>
        </w:rPr>
        <w:t>= Market return (e.g., return of a benchmark index)</w:t>
      </w:r>
    </w:p>
    <w:p w14:paraId="44A3A8E1" w14:textId="77777777" w:rsidR="005F6503" w:rsidRPr="005F6503" w:rsidRDefault="005F6503" w:rsidP="005F6503">
      <w:pPr>
        <w:jc w:val="both"/>
        <w:rPr>
          <w:rFonts w:ascii="Times New Roman" w:hAnsi="Times New Roman" w:cs="Times New Roman"/>
          <w:sz w:val="24"/>
          <w:szCs w:val="24"/>
        </w:rPr>
      </w:pPr>
    </w:p>
    <w:p w14:paraId="1E323012" w14:textId="14589054" w:rsidR="00C14D99" w:rsidRPr="00325F90" w:rsidRDefault="00C14D99" w:rsidP="00A54CC1">
      <w:pPr>
        <w:spacing w:line="360" w:lineRule="auto"/>
        <w:rPr>
          <w:rFonts w:ascii="Times New Roman" w:hAnsi="Times New Roman" w:cs="Times New Roman"/>
          <w:b/>
          <w:bCs/>
          <w:sz w:val="24"/>
          <w:szCs w:val="24"/>
        </w:rPr>
      </w:pPr>
      <w:r w:rsidRPr="00325F90">
        <w:rPr>
          <w:rFonts w:ascii="Times New Roman" w:hAnsi="Times New Roman" w:cs="Times New Roman"/>
          <w:b/>
          <w:bCs/>
          <w:sz w:val="24"/>
          <w:szCs w:val="24"/>
        </w:rPr>
        <w:t>Interpretation:</w:t>
      </w:r>
    </w:p>
    <w:p w14:paraId="066AD2B9" w14:textId="1425758F" w:rsidR="00C14D99" w:rsidRPr="00325F90" w:rsidRDefault="00D54ABE" w:rsidP="00A54CC1">
      <w:pPr>
        <w:numPr>
          <w:ilvl w:val="0"/>
          <w:numId w:val="4"/>
        </w:numPr>
        <w:spacing w:line="360" w:lineRule="auto"/>
        <w:jc w:val="both"/>
        <w:rPr>
          <w:rFonts w:ascii="Times New Roman" w:hAnsi="Times New Roman" w:cs="Times New Roman"/>
          <w:sz w:val="24"/>
          <w:szCs w:val="24"/>
        </w:rPr>
      </w:pPr>
      <w:r>
        <w:rPr>
          <w:rFonts w:ascii="Times New Roman" w:hAnsi="Times New Roman" w:cs="Times New Roman"/>
          <w:b/>
          <w:bCs/>
          <w:sz w:val="24"/>
          <w:szCs w:val="24"/>
        </w:rPr>
        <w:t xml:space="preserve">Positive Alpha (α&gt;alpha &gt; </w:t>
      </w:r>
      <w:r w:rsidR="00C14D99" w:rsidRPr="00325F90">
        <w:rPr>
          <w:rFonts w:ascii="Times New Roman" w:hAnsi="Times New Roman" w:cs="Times New Roman"/>
          <w:b/>
          <w:bCs/>
          <w:sz w:val="24"/>
          <w:szCs w:val="24"/>
        </w:rPr>
        <w:t>α&gt;0)</w:t>
      </w:r>
      <w:r w:rsidR="00C14D99" w:rsidRPr="00325F90">
        <w:rPr>
          <w:rFonts w:ascii="Times New Roman" w:hAnsi="Times New Roman" w:cs="Times New Roman"/>
          <w:sz w:val="24"/>
          <w:szCs w:val="24"/>
        </w:rPr>
        <w:t>: Indicates that the portfolio has outperformed its expected return, given its level of market risk. This suggests that the portfolio manager has added value through skillful selection or timing.</w:t>
      </w:r>
    </w:p>
    <w:p w14:paraId="20C34579" w14:textId="20D7146A" w:rsidR="00C14D99" w:rsidRDefault="00C14D99" w:rsidP="00A54CC1">
      <w:pPr>
        <w:numPr>
          <w:ilvl w:val="0"/>
          <w:numId w:val="4"/>
        </w:numPr>
        <w:spacing w:line="360" w:lineRule="auto"/>
        <w:jc w:val="both"/>
        <w:rPr>
          <w:rFonts w:ascii="Times New Roman" w:hAnsi="Times New Roman" w:cs="Times New Roman"/>
          <w:sz w:val="24"/>
          <w:szCs w:val="24"/>
        </w:rPr>
      </w:pPr>
      <w:r w:rsidRPr="00325F90">
        <w:rPr>
          <w:rFonts w:ascii="Times New Roman" w:hAnsi="Times New Roman" w:cs="Times New Roman"/>
          <w:b/>
          <w:bCs/>
          <w:sz w:val="24"/>
          <w:szCs w:val="24"/>
        </w:rPr>
        <w:t>Negative Alpha (α&lt;alpha &lt; α&lt;0)</w:t>
      </w:r>
      <w:r w:rsidRPr="00325F90">
        <w:rPr>
          <w:rFonts w:ascii="Times New Roman" w:hAnsi="Times New Roman" w:cs="Times New Roman"/>
          <w:sz w:val="24"/>
          <w:szCs w:val="24"/>
        </w:rPr>
        <w:t>: Implies that the portfolio has underperformed compared to what CAPM would predict, meaning the manager has not been able to compensate for the level of risk taken.</w:t>
      </w:r>
    </w:p>
    <w:p w14:paraId="467DAF44" w14:textId="2D3E9EFA" w:rsidR="000E1834" w:rsidRPr="009F1BE1" w:rsidRDefault="00EF7606" w:rsidP="00EF7606">
      <w:pPr>
        <w:numPr>
          <w:ilvl w:val="0"/>
          <w:numId w:val="4"/>
        </w:numPr>
        <w:spacing w:line="360" w:lineRule="auto"/>
        <w:jc w:val="both"/>
        <w:rPr>
          <w:rFonts w:ascii="Times New Roman" w:hAnsi="Times New Roman" w:cs="Times New Roman"/>
          <w:sz w:val="24"/>
          <w:szCs w:val="24"/>
        </w:rPr>
      </w:pPr>
      <w:r w:rsidRPr="00325F90">
        <w:rPr>
          <w:rFonts w:ascii="Times New Roman" w:hAnsi="Times New Roman" w:cs="Times New Roman"/>
          <w:b/>
          <w:bCs/>
          <w:sz w:val="24"/>
          <w:szCs w:val="24"/>
        </w:rPr>
        <w:t>Alpha of Zero (α=alpha = α=0)</w:t>
      </w:r>
      <w:r w:rsidRPr="00325F90">
        <w:rPr>
          <w:rFonts w:ascii="Times New Roman" w:hAnsi="Times New Roman" w:cs="Times New Roman"/>
          <w:sz w:val="24"/>
          <w:szCs w:val="24"/>
        </w:rPr>
        <w:t>: Means the portfolio performed exactly as expected based on its risk, without adding or losing value relative to the market.</w:t>
      </w:r>
    </w:p>
    <w:p w14:paraId="183EB5AC" w14:textId="2A0EF17D" w:rsidR="00EF7606" w:rsidRPr="003F54DF" w:rsidRDefault="00EF7606" w:rsidP="00EF7606">
      <w:pPr>
        <w:rPr>
          <w:rFonts w:ascii="Times New Roman" w:hAnsi="Times New Roman" w:cs="Times New Roman"/>
          <w:b/>
          <w:bCs/>
          <w:sz w:val="28"/>
          <w:szCs w:val="28"/>
        </w:rPr>
      </w:pPr>
      <w:r w:rsidRPr="003F54DF">
        <w:rPr>
          <w:rFonts w:ascii="Times New Roman" w:hAnsi="Times New Roman" w:cs="Times New Roman"/>
          <w:b/>
          <w:bCs/>
          <w:sz w:val="28"/>
          <w:szCs w:val="28"/>
        </w:rPr>
        <w:t>Analysis and Interpretation</w:t>
      </w:r>
    </w:p>
    <w:p w14:paraId="38CC4A19" w14:textId="54AED8E5" w:rsidR="00EF7606" w:rsidRDefault="00EF7606" w:rsidP="00A54CC1">
      <w:pPr>
        <w:spacing w:line="360" w:lineRule="auto"/>
        <w:jc w:val="both"/>
        <w:rPr>
          <w:rFonts w:ascii="Times New Roman" w:hAnsi="Times New Roman" w:cs="Times New Roman"/>
          <w:sz w:val="24"/>
          <w:szCs w:val="24"/>
        </w:rPr>
      </w:pPr>
      <w:r w:rsidRPr="00325F90">
        <w:rPr>
          <w:rFonts w:ascii="Times New Roman" w:hAnsi="Times New Roman" w:cs="Times New Roman"/>
          <w:sz w:val="24"/>
          <w:szCs w:val="24"/>
        </w:rPr>
        <w:t>Empirical analysis is mainly divided into four parts. First section deals with the risk and return analysis and in second part discuss about the relationship between Total risk and coefficient of determination. In pa</w:t>
      </w:r>
      <w:r>
        <w:rPr>
          <w:rFonts w:ascii="Times New Roman" w:hAnsi="Times New Roman" w:cs="Times New Roman"/>
          <w:sz w:val="24"/>
          <w:szCs w:val="24"/>
        </w:rPr>
        <w:t>r</w:t>
      </w:r>
      <w:r w:rsidRPr="00325F90">
        <w:rPr>
          <w:rFonts w:ascii="Times New Roman" w:hAnsi="Times New Roman" w:cs="Times New Roman"/>
          <w:sz w:val="24"/>
          <w:szCs w:val="24"/>
        </w:rPr>
        <w:t xml:space="preserve">t </w:t>
      </w:r>
      <w:r w:rsidR="007C4E3C" w:rsidRPr="00325F90">
        <w:rPr>
          <w:rFonts w:ascii="Times New Roman" w:hAnsi="Times New Roman" w:cs="Times New Roman"/>
          <w:sz w:val="24"/>
          <w:szCs w:val="24"/>
        </w:rPr>
        <w:t>three</w:t>
      </w:r>
      <w:r w:rsidRPr="00325F90">
        <w:rPr>
          <w:rFonts w:ascii="Times New Roman" w:hAnsi="Times New Roman" w:cs="Times New Roman"/>
          <w:sz w:val="24"/>
          <w:szCs w:val="24"/>
        </w:rPr>
        <w:t xml:space="preserve"> showed the Result of Fama Decomposition Model and after all in last part showed Performance Analysis of Mutual Funds in Dhaka Stock exchange</w:t>
      </w:r>
      <w:r w:rsidR="0043690D">
        <w:rPr>
          <w:rFonts w:ascii="Times New Roman" w:hAnsi="Times New Roman" w:cs="Times New Roman"/>
          <w:sz w:val="24"/>
          <w:szCs w:val="24"/>
        </w:rPr>
        <w:t>.</w:t>
      </w:r>
    </w:p>
    <w:p w14:paraId="364C7BD6" w14:textId="77777777" w:rsidR="0043690D" w:rsidRDefault="0043690D" w:rsidP="00A54CC1">
      <w:pPr>
        <w:spacing w:line="360" w:lineRule="auto"/>
        <w:jc w:val="both"/>
        <w:rPr>
          <w:rFonts w:ascii="Times New Roman" w:hAnsi="Times New Roman" w:cs="Times New Roman"/>
          <w:sz w:val="24"/>
          <w:szCs w:val="24"/>
        </w:rPr>
      </w:pPr>
    </w:p>
    <w:p w14:paraId="2817C584" w14:textId="77777777" w:rsidR="00537479" w:rsidRPr="00325F90" w:rsidRDefault="00537479" w:rsidP="00A54CC1">
      <w:pPr>
        <w:spacing w:line="360" w:lineRule="auto"/>
        <w:jc w:val="both"/>
        <w:rPr>
          <w:rFonts w:ascii="Times New Roman" w:hAnsi="Times New Roman" w:cs="Times New Roman"/>
          <w:sz w:val="24"/>
          <w:szCs w:val="24"/>
        </w:rPr>
      </w:pPr>
    </w:p>
    <w:p w14:paraId="22FD443F" w14:textId="77777777" w:rsidR="00EF7606" w:rsidRPr="00773ED1" w:rsidRDefault="00EF7606" w:rsidP="00EF7606">
      <w:pPr>
        <w:ind w:left="1440" w:firstLine="720"/>
        <w:jc w:val="both"/>
        <w:rPr>
          <w:rFonts w:ascii="Times New Roman" w:hAnsi="Times New Roman" w:cs="Times New Roman"/>
          <w:b/>
          <w:bCs/>
        </w:rPr>
      </w:pPr>
      <w:r w:rsidRPr="00773ED1">
        <w:rPr>
          <w:rFonts w:ascii="Times New Roman" w:hAnsi="Times New Roman" w:cs="Times New Roman"/>
          <w:b/>
          <w:bCs/>
        </w:rPr>
        <w:lastRenderedPageBreak/>
        <w:t>Table 1: Risk and Return analysis of mutual funds</w:t>
      </w:r>
    </w:p>
    <w:tbl>
      <w:tblPr>
        <w:tblStyle w:val="TableGrid"/>
        <w:tblW w:w="9355" w:type="dxa"/>
        <w:tblInd w:w="-5" w:type="dxa"/>
        <w:tblLook w:val="04A0" w:firstRow="1" w:lastRow="0" w:firstColumn="1" w:lastColumn="0" w:noHBand="0" w:noVBand="1"/>
      </w:tblPr>
      <w:tblGrid>
        <w:gridCol w:w="1498"/>
        <w:gridCol w:w="1292"/>
        <w:gridCol w:w="920"/>
        <w:gridCol w:w="1032"/>
        <w:gridCol w:w="937"/>
        <w:gridCol w:w="1039"/>
        <w:gridCol w:w="759"/>
        <w:gridCol w:w="903"/>
        <w:gridCol w:w="975"/>
      </w:tblGrid>
      <w:tr w:rsidR="00EF7606" w14:paraId="0415237D" w14:textId="77777777" w:rsidTr="00A26A46">
        <w:trPr>
          <w:trHeight w:val="354"/>
        </w:trPr>
        <w:tc>
          <w:tcPr>
            <w:tcW w:w="1498" w:type="dxa"/>
            <w:vAlign w:val="center"/>
          </w:tcPr>
          <w:p w14:paraId="692FFC40" w14:textId="77777777" w:rsidR="00EF7606" w:rsidRPr="0030645E" w:rsidRDefault="00EF7606" w:rsidP="00A26A46">
            <w:pPr>
              <w:jc w:val="center"/>
              <w:rPr>
                <w:rFonts w:ascii="Times New Roman" w:hAnsi="Times New Roman" w:cs="Times New Roman"/>
              </w:rPr>
            </w:pPr>
            <w:r w:rsidRPr="0030645E">
              <w:rPr>
                <w:rFonts w:ascii="Times New Roman" w:hAnsi="Times New Roman" w:cs="Times New Roman"/>
                <w:b/>
                <w:bCs/>
                <w:color w:val="000000"/>
                <w:sz w:val="28"/>
                <w:szCs w:val="28"/>
              </w:rPr>
              <w:t>Name</w:t>
            </w:r>
          </w:p>
        </w:tc>
        <w:tc>
          <w:tcPr>
            <w:tcW w:w="1240" w:type="dxa"/>
            <w:vAlign w:val="center"/>
          </w:tcPr>
          <w:p w14:paraId="70ED1B82" w14:textId="77777777" w:rsidR="00EF7606" w:rsidRPr="0030645E" w:rsidRDefault="00EF7606" w:rsidP="00A26A46">
            <w:pPr>
              <w:jc w:val="center"/>
              <w:rPr>
                <w:rFonts w:ascii="Times New Roman" w:hAnsi="Times New Roman" w:cs="Times New Roman"/>
                <w:b/>
                <w:bCs/>
              </w:rPr>
            </w:pPr>
            <w:r w:rsidRPr="0030645E">
              <w:rPr>
                <w:rFonts w:ascii="Times New Roman" w:hAnsi="Times New Roman" w:cs="Times New Roman"/>
                <w:b/>
                <w:bCs/>
                <w:color w:val="000000"/>
              </w:rPr>
              <w:t>Annualized Return</w:t>
            </w:r>
          </w:p>
        </w:tc>
        <w:tc>
          <w:tcPr>
            <w:tcW w:w="930" w:type="dxa"/>
            <w:vAlign w:val="center"/>
          </w:tcPr>
          <w:p w14:paraId="53453885" w14:textId="77777777" w:rsidR="00EF7606" w:rsidRPr="0030645E" w:rsidRDefault="00EF7606" w:rsidP="00A26A46">
            <w:pPr>
              <w:jc w:val="center"/>
              <w:rPr>
                <w:rFonts w:ascii="Times New Roman" w:hAnsi="Times New Roman" w:cs="Times New Roman"/>
                <w:b/>
                <w:bCs/>
              </w:rPr>
            </w:pPr>
            <w:r w:rsidRPr="0030645E">
              <w:rPr>
                <w:rFonts w:ascii="Times New Roman" w:hAnsi="Times New Roman" w:cs="Times New Roman"/>
                <w:b/>
                <w:bCs/>
              </w:rPr>
              <w:t>Rank</w:t>
            </w:r>
          </w:p>
        </w:tc>
        <w:tc>
          <w:tcPr>
            <w:tcW w:w="1037" w:type="dxa"/>
            <w:vAlign w:val="center"/>
          </w:tcPr>
          <w:p w14:paraId="21962E8B" w14:textId="77777777" w:rsidR="00EF7606" w:rsidRPr="0030645E" w:rsidRDefault="00EF7606" w:rsidP="00A26A46">
            <w:pPr>
              <w:pStyle w:val="Default"/>
              <w:jc w:val="center"/>
              <w:rPr>
                <w:b/>
                <w:bCs/>
                <w:sz w:val="23"/>
                <w:szCs w:val="23"/>
              </w:rPr>
            </w:pPr>
            <w:r w:rsidRPr="0030645E">
              <w:rPr>
                <w:b/>
                <w:bCs/>
                <w:sz w:val="23"/>
                <w:szCs w:val="23"/>
              </w:rPr>
              <w:t>Above market return</w:t>
            </w:r>
          </w:p>
        </w:tc>
        <w:tc>
          <w:tcPr>
            <w:tcW w:w="937" w:type="dxa"/>
          </w:tcPr>
          <w:p w14:paraId="19845760" w14:textId="77777777" w:rsidR="00EF7606" w:rsidRPr="0030645E" w:rsidRDefault="00EF7606" w:rsidP="00A26A46">
            <w:pPr>
              <w:pStyle w:val="Default"/>
              <w:jc w:val="center"/>
              <w:rPr>
                <w:b/>
                <w:bCs/>
                <w:sz w:val="23"/>
                <w:szCs w:val="23"/>
              </w:rPr>
            </w:pPr>
            <w:r w:rsidRPr="0030645E">
              <w:rPr>
                <w:b/>
                <w:bCs/>
                <w:sz w:val="23"/>
                <w:szCs w:val="23"/>
              </w:rPr>
              <w:t>Below market return</w:t>
            </w:r>
          </w:p>
        </w:tc>
        <w:tc>
          <w:tcPr>
            <w:tcW w:w="1048" w:type="dxa"/>
            <w:vAlign w:val="center"/>
          </w:tcPr>
          <w:p w14:paraId="0518BF4B" w14:textId="77777777" w:rsidR="00EF7606" w:rsidRPr="0030645E" w:rsidRDefault="00EF7606" w:rsidP="00A26A46">
            <w:pPr>
              <w:jc w:val="center"/>
              <w:rPr>
                <w:rFonts w:ascii="Times New Roman" w:hAnsi="Times New Roman" w:cs="Times New Roman"/>
                <w:b/>
                <w:bCs/>
              </w:rPr>
            </w:pPr>
            <w:r w:rsidRPr="0030645E">
              <w:rPr>
                <w:rFonts w:ascii="Times New Roman" w:hAnsi="Times New Roman" w:cs="Times New Roman"/>
                <w:b/>
                <w:bCs/>
                <w:color w:val="000000"/>
              </w:rPr>
              <w:t>Total Risk (%)</w:t>
            </w:r>
          </w:p>
        </w:tc>
        <w:tc>
          <w:tcPr>
            <w:tcW w:w="760" w:type="dxa"/>
          </w:tcPr>
          <w:p w14:paraId="216F4351" w14:textId="77777777" w:rsidR="00EF7606" w:rsidRDefault="00EF7606" w:rsidP="00A26A46">
            <w:pPr>
              <w:jc w:val="center"/>
              <w:rPr>
                <w:rFonts w:ascii="Times New Roman" w:hAnsi="Times New Roman" w:cs="Times New Roman"/>
                <w:b/>
                <w:bCs/>
                <w:color w:val="000000"/>
              </w:rPr>
            </w:pPr>
          </w:p>
          <w:p w14:paraId="44762E34" w14:textId="77777777" w:rsidR="00EF7606" w:rsidRPr="0030645E" w:rsidRDefault="00EF7606" w:rsidP="00A26A46">
            <w:pPr>
              <w:jc w:val="center"/>
              <w:rPr>
                <w:rFonts w:ascii="Times New Roman" w:hAnsi="Times New Roman" w:cs="Times New Roman"/>
                <w:b/>
                <w:bCs/>
                <w:color w:val="000000"/>
              </w:rPr>
            </w:pPr>
            <w:r w:rsidRPr="0030645E">
              <w:rPr>
                <w:rFonts w:ascii="Times New Roman" w:hAnsi="Times New Roman" w:cs="Times New Roman"/>
                <w:b/>
                <w:bCs/>
                <w:color w:val="000000"/>
              </w:rPr>
              <w:t>Rank</w:t>
            </w:r>
          </w:p>
        </w:tc>
        <w:tc>
          <w:tcPr>
            <w:tcW w:w="917" w:type="dxa"/>
            <w:vAlign w:val="center"/>
          </w:tcPr>
          <w:p w14:paraId="04D74814" w14:textId="77777777" w:rsidR="00EF7606" w:rsidRPr="0030645E" w:rsidRDefault="00EF7606" w:rsidP="00A26A46">
            <w:pPr>
              <w:jc w:val="center"/>
              <w:rPr>
                <w:rFonts w:ascii="Times New Roman" w:hAnsi="Times New Roman" w:cs="Times New Roman"/>
                <w:b/>
                <w:bCs/>
              </w:rPr>
            </w:pPr>
            <w:r w:rsidRPr="0030645E">
              <w:rPr>
                <w:rFonts w:ascii="Times New Roman" w:hAnsi="Times New Roman" w:cs="Times New Roman"/>
                <w:b/>
                <w:bCs/>
                <w:color w:val="000000"/>
              </w:rPr>
              <w:t>Beta</w:t>
            </w:r>
          </w:p>
        </w:tc>
        <w:tc>
          <w:tcPr>
            <w:tcW w:w="988" w:type="dxa"/>
          </w:tcPr>
          <w:p w14:paraId="51F4C9CF" w14:textId="77777777" w:rsidR="00EF7606" w:rsidRDefault="00EF7606" w:rsidP="00A26A46">
            <w:pPr>
              <w:jc w:val="center"/>
              <w:rPr>
                <w:rFonts w:ascii="Times New Roman" w:hAnsi="Times New Roman" w:cs="Times New Roman"/>
                <w:b/>
                <w:bCs/>
                <w:color w:val="000000"/>
              </w:rPr>
            </w:pPr>
          </w:p>
          <w:p w14:paraId="36EED9EC" w14:textId="77777777" w:rsidR="00EF7606" w:rsidRPr="0030645E" w:rsidRDefault="00EF7606" w:rsidP="00A26A46">
            <w:pPr>
              <w:jc w:val="center"/>
              <w:rPr>
                <w:rFonts w:ascii="Times New Roman" w:hAnsi="Times New Roman" w:cs="Times New Roman"/>
                <w:b/>
                <w:bCs/>
                <w:color w:val="000000"/>
              </w:rPr>
            </w:pPr>
            <w:r w:rsidRPr="0030645E">
              <w:rPr>
                <w:rFonts w:ascii="Times New Roman" w:hAnsi="Times New Roman" w:cs="Times New Roman"/>
                <w:b/>
                <w:bCs/>
                <w:color w:val="000000"/>
              </w:rPr>
              <w:t>Rank</w:t>
            </w:r>
          </w:p>
          <w:p w14:paraId="042B16C5" w14:textId="77777777" w:rsidR="00EF7606" w:rsidRPr="0030645E" w:rsidRDefault="00EF7606" w:rsidP="00A26A46">
            <w:pPr>
              <w:jc w:val="center"/>
              <w:rPr>
                <w:rFonts w:ascii="Times New Roman" w:hAnsi="Times New Roman" w:cs="Times New Roman"/>
                <w:b/>
                <w:bCs/>
              </w:rPr>
            </w:pPr>
          </w:p>
        </w:tc>
      </w:tr>
      <w:tr w:rsidR="00EF7606" w14:paraId="33A6E27E" w14:textId="77777777" w:rsidTr="00A26A46">
        <w:trPr>
          <w:trHeight w:val="354"/>
        </w:trPr>
        <w:tc>
          <w:tcPr>
            <w:tcW w:w="1498" w:type="dxa"/>
            <w:vAlign w:val="center"/>
          </w:tcPr>
          <w:p w14:paraId="39FF346C" w14:textId="77777777" w:rsidR="00EF7606" w:rsidRDefault="00EF7606" w:rsidP="00A26A46">
            <w:pPr>
              <w:jc w:val="center"/>
            </w:pPr>
            <w:r>
              <w:rPr>
                <w:rFonts w:ascii="Calibri" w:hAnsi="Calibri" w:cs="Calibri"/>
                <w:b/>
                <w:bCs/>
                <w:color w:val="000000"/>
              </w:rPr>
              <w:t>1JANATAMF</w:t>
            </w:r>
          </w:p>
        </w:tc>
        <w:tc>
          <w:tcPr>
            <w:tcW w:w="1240" w:type="dxa"/>
            <w:vAlign w:val="center"/>
          </w:tcPr>
          <w:p w14:paraId="0E8AEE0D" w14:textId="77777777" w:rsidR="00EF7606" w:rsidRDefault="00EF7606" w:rsidP="00A26A46">
            <w:pPr>
              <w:jc w:val="center"/>
            </w:pPr>
            <w:r>
              <w:rPr>
                <w:color w:val="000000"/>
              </w:rPr>
              <w:t>-2.33%</w:t>
            </w:r>
          </w:p>
        </w:tc>
        <w:tc>
          <w:tcPr>
            <w:tcW w:w="930" w:type="dxa"/>
            <w:vAlign w:val="center"/>
          </w:tcPr>
          <w:p w14:paraId="02DB21E6" w14:textId="77777777" w:rsidR="00EF7606" w:rsidRDefault="00EF7606" w:rsidP="00A26A46">
            <w:pPr>
              <w:jc w:val="center"/>
            </w:pPr>
            <w:r>
              <w:rPr>
                <w:color w:val="000000"/>
              </w:rPr>
              <w:t>19</w:t>
            </w:r>
          </w:p>
        </w:tc>
        <w:tc>
          <w:tcPr>
            <w:tcW w:w="1037" w:type="dxa"/>
            <w:vAlign w:val="center"/>
          </w:tcPr>
          <w:p w14:paraId="2BB0185F" w14:textId="77777777" w:rsidR="00EF7606" w:rsidRPr="0000068E" w:rsidRDefault="00EF7606" w:rsidP="00A26A46">
            <w:pPr>
              <w:jc w:val="center"/>
            </w:pPr>
          </w:p>
        </w:tc>
        <w:tc>
          <w:tcPr>
            <w:tcW w:w="937" w:type="dxa"/>
          </w:tcPr>
          <w:p w14:paraId="1DA3C79D" w14:textId="77777777" w:rsidR="00EF7606" w:rsidRPr="0000068E" w:rsidRDefault="00EF7606" w:rsidP="00A26A46">
            <w:pPr>
              <w:jc w:val="center"/>
              <w:rPr>
                <w:color w:val="000000"/>
              </w:rPr>
            </w:pPr>
            <w:r w:rsidRPr="0000068E">
              <w:rPr>
                <w:rFonts w:ascii="Agency FB" w:hAnsi="Agency FB"/>
                <w:color w:val="000000"/>
              </w:rPr>
              <w:t>√</w:t>
            </w:r>
          </w:p>
        </w:tc>
        <w:tc>
          <w:tcPr>
            <w:tcW w:w="1048" w:type="dxa"/>
            <w:vAlign w:val="center"/>
          </w:tcPr>
          <w:p w14:paraId="2F2D8703" w14:textId="77777777" w:rsidR="00EF7606" w:rsidRPr="00FD0B6F" w:rsidRDefault="00EF7606" w:rsidP="00A26A46">
            <w:pPr>
              <w:jc w:val="both"/>
              <w:rPr>
                <w:rFonts w:ascii="Calibri" w:hAnsi="Calibri" w:cs="Calibri"/>
                <w:color w:val="000000"/>
              </w:rPr>
            </w:pPr>
            <w:r>
              <w:rPr>
                <w:color w:val="000000"/>
              </w:rPr>
              <w:t>8.04%</w:t>
            </w:r>
          </w:p>
        </w:tc>
        <w:tc>
          <w:tcPr>
            <w:tcW w:w="760" w:type="dxa"/>
            <w:vAlign w:val="center"/>
          </w:tcPr>
          <w:p w14:paraId="00A141AE" w14:textId="77777777" w:rsidR="00EF7606" w:rsidRDefault="00EF7606" w:rsidP="00A26A46">
            <w:pPr>
              <w:jc w:val="both"/>
              <w:rPr>
                <w:color w:val="000000"/>
              </w:rPr>
            </w:pPr>
            <w:r>
              <w:rPr>
                <w:color w:val="000000"/>
              </w:rPr>
              <w:t>8</w:t>
            </w:r>
          </w:p>
        </w:tc>
        <w:tc>
          <w:tcPr>
            <w:tcW w:w="917" w:type="dxa"/>
            <w:vAlign w:val="center"/>
          </w:tcPr>
          <w:p w14:paraId="45615D8B" w14:textId="77777777" w:rsidR="00EF7606" w:rsidRDefault="00EF7606" w:rsidP="00A26A46">
            <w:pPr>
              <w:jc w:val="both"/>
            </w:pPr>
            <w:r>
              <w:rPr>
                <w:color w:val="000000"/>
              </w:rPr>
              <w:t>0.84</w:t>
            </w:r>
          </w:p>
        </w:tc>
        <w:tc>
          <w:tcPr>
            <w:tcW w:w="988" w:type="dxa"/>
            <w:vAlign w:val="bottom"/>
          </w:tcPr>
          <w:p w14:paraId="434E7337" w14:textId="77777777" w:rsidR="00EF7606" w:rsidRPr="00FD0B6F" w:rsidRDefault="00EF7606" w:rsidP="00A26A46">
            <w:pPr>
              <w:jc w:val="both"/>
              <w:rPr>
                <w:rFonts w:ascii="Calibri" w:hAnsi="Calibri" w:cs="Calibri"/>
                <w:color w:val="000000"/>
              </w:rPr>
            </w:pPr>
            <w:r>
              <w:rPr>
                <w:rFonts w:ascii="Calibri" w:hAnsi="Calibri" w:cs="Calibri"/>
                <w:color w:val="000000"/>
              </w:rPr>
              <w:t>6</w:t>
            </w:r>
          </w:p>
        </w:tc>
      </w:tr>
      <w:tr w:rsidR="00EF7606" w14:paraId="4B635808" w14:textId="77777777" w:rsidTr="00A26A46">
        <w:trPr>
          <w:trHeight w:val="354"/>
        </w:trPr>
        <w:tc>
          <w:tcPr>
            <w:tcW w:w="1498" w:type="dxa"/>
            <w:vAlign w:val="center"/>
          </w:tcPr>
          <w:p w14:paraId="244BC9A0" w14:textId="77777777" w:rsidR="00EF7606" w:rsidRDefault="00EF7606" w:rsidP="00A26A46">
            <w:pPr>
              <w:jc w:val="center"/>
            </w:pPr>
            <w:r>
              <w:rPr>
                <w:b/>
                <w:bCs/>
                <w:color w:val="000000"/>
              </w:rPr>
              <w:t>1STPRIMFMF</w:t>
            </w:r>
          </w:p>
        </w:tc>
        <w:tc>
          <w:tcPr>
            <w:tcW w:w="1240" w:type="dxa"/>
            <w:vAlign w:val="center"/>
          </w:tcPr>
          <w:p w14:paraId="0A82CE67" w14:textId="77777777" w:rsidR="00EF7606" w:rsidRDefault="00EF7606" w:rsidP="00A26A46">
            <w:pPr>
              <w:jc w:val="center"/>
            </w:pPr>
            <w:r>
              <w:rPr>
                <w:color w:val="000000"/>
              </w:rPr>
              <w:t>18.13%</w:t>
            </w:r>
          </w:p>
        </w:tc>
        <w:tc>
          <w:tcPr>
            <w:tcW w:w="930" w:type="dxa"/>
            <w:vAlign w:val="center"/>
          </w:tcPr>
          <w:p w14:paraId="5734FFA3" w14:textId="77777777" w:rsidR="00EF7606" w:rsidRDefault="00EF7606" w:rsidP="00A26A46">
            <w:pPr>
              <w:jc w:val="center"/>
            </w:pPr>
            <w:r>
              <w:rPr>
                <w:color w:val="000000"/>
              </w:rPr>
              <w:t>1</w:t>
            </w:r>
          </w:p>
        </w:tc>
        <w:tc>
          <w:tcPr>
            <w:tcW w:w="1037" w:type="dxa"/>
            <w:vAlign w:val="center"/>
          </w:tcPr>
          <w:p w14:paraId="273FEF3A" w14:textId="77777777" w:rsidR="00EF7606" w:rsidRPr="0000068E" w:rsidRDefault="00EF7606" w:rsidP="00A26A46">
            <w:pPr>
              <w:jc w:val="center"/>
            </w:pPr>
            <w:r w:rsidRPr="0000068E">
              <w:rPr>
                <w:rFonts w:ascii="Agency FB" w:hAnsi="Agency FB"/>
                <w:color w:val="000000"/>
              </w:rPr>
              <w:t>√</w:t>
            </w:r>
            <w:r>
              <w:rPr>
                <w:rFonts w:ascii="Agency FB" w:hAnsi="Agency FB"/>
                <w:color w:val="000000"/>
              </w:rPr>
              <w:t xml:space="preserve"> </w:t>
            </w:r>
          </w:p>
        </w:tc>
        <w:tc>
          <w:tcPr>
            <w:tcW w:w="937" w:type="dxa"/>
          </w:tcPr>
          <w:p w14:paraId="5AC943D5" w14:textId="77777777" w:rsidR="00EF7606" w:rsidRPr="0000068E" w:rsidRDefault="00EF7606" w:rsidP="00A26A46">
            <w:pPr>
              <w:jc w:val="center"/>
              <w:rPr>
                <w:color w:val="000000"/>
              </w:rPr>
            </w:pPr>
          </w:p>
        </w:tc>
        <w:tc>
          <w:tcPr>
            <w:tcW w:w="1048" w:type="dxa"/>
            <w:vAlign w:val="center"/>
          </w:tcPr>
          <w:p w14:paraId="763C3252" w14:textId="77777777" w:rsidR="00EF7606" w:rsidRDefault="00EF7606" w:rsidP="00A26A46">
            <w:pPr>
              <w:jc w:val="both"/>
            </w:pPr>
            <w:r>
              <w:rPr>
                <w:color w:val="000000"/>
              </w:rPr>
              <w:t>15.02%</w:t>
            </w:r>
          </w:p>
        </w:tc>
        <w:tc>
          <w:tcPr>
            <w:tcW w:w="760" w:type="dxa"/>
            <w:vAlign w:val="center"/>
          </w:tcPr>
          <w:p w14:paraId="7E635BDC" w14:textId="77777777" w:rsidR="00EF7606" w:rsidRDefault="00EF7606" w:rsidP="00A26A46">
            <w:pPr>
              <w:jc w:val="both"/>
              <w:rPr>
                <w:color w:val="000000"/>
              </w:rPr>
            </w:pPr>
            <w:r>
              <w:rPr>
                <w:color w:val="000000"/>
              </w:rPr>
              <w:t>1</w:t>
            </w:r>
          </w:p>
        </w:tc>
        <w:tc>
          <w:tcPr>
            <w:tcW w:w="917" w:type="dxa"/>
            <w:vAlign w:val="center"/>
          </w:tcPr>
          <w:p w14:paraId="44C812AA" w14:textId="77777777" w:rsidR="00EF7606" w:rsidRDefault="00EF7606" w:rsidP="00A26A46">
            <w:pPr>
              <w:jc w:val="both"/>
            </w:pPr>
            <w:r>
              <w:rPr>
                <w:color w:val="000000"/>
              </w:rPr>
              <w:t>1.02</w:t>
            </w:r>
          </w:p>
        </w:tc>
        <w:tc>
          <w:tcPr>
            <w:tcW w:w="988" w:type="dxa"/>
            <w:vAlign w:val="bottom"/>
          </w:tcPr>
          <w:p w14:paraId="4A80D475" w14:textId="77777777" w:rsidR="00EF7606" w:rsidRDefault="00EF7606" w:rsidP="00A26A46">
            <w:pPr>
              <w:jc w:val="both"/>
            </w:pPr>
            <w:r>
              <w:rPr>
                <w:rFonts w:ascii="Calibri" w:hAnsi="Calibri" w:cs="Calibri"/>
                <w:color w:val="000000"/>
              </w:rPr>
              <w:t>1</w:t>
            </w:r>
          </w:p>
        </w:tc>
      </w:tr>
      <w:tr w:rsidR="00EF7606" w14:paraId="16221C00" w14:textId="77777777" w:rsidTr="00A26A46">
        <w:trPr>
          <w:trHeight w:val="341"/>
        </w:trPr>
        <w:tc>
          <w:tcPr>
            <w:tcW w:w="1498" w:type="dxa"/>
            <w:vAlign w:val="center"/>
          </w:tcPr>
          <w:p w14:paraId="3D350858" w14:textId="77777777" w:rsidR="00EF7606" w:rsidRDefault="00EF7606" w:rsidP="00A26A46">
            <w:pPr>
              <w:jc w:val="center"/>
            </w:pPr>
            <w:r>
              <w:rPr>
                <w:rFonts w:ascii="Calibri" w:hAnsi="Calibri" w:cs="Calibri"/>
                <w:b/>
                <w:bCs/>
                <w:color w:val="000000"/>
              </w:rPr>
              <w:t>ABB1STMF</w:t>
            </w:r>
          </w:p>
        </w:tc>
        <w:tc>
          <w:tcPr>
            <w:tcW w:w="1240" w:type="dxa"/>
            <w:vAlign w:val="center"/>
          </w:tcPr>
          <w:p w14:paraId="368DDEDA" w14:textId="77777777" w:rsidR="00EF7606" w:rsidRDefault="00EF7606" w:rsidP="00A26A46">
            <w:pPr>
              <w:jc w:val="center"/>
            </w:pPr>
            <w:r>
              <w:rPr>
                <w:color w:val="000000"/>
              </w:rPr>
              <w:t>-4.25%</w:t>
            </w:r>
          </w:p>
        </w:tc>
        <w:tc>
          <w:tcPr>
            <w:tcW w:w="930" w:type="dxa"/>
            <w:vAlign w:val="center"/>
          </w:tcPr>
          <w:p w14:paraId="7BAB2496" w14:textId="77777777" w:rsidR="00EF7606" w:rsidRDefault="00EF7606" w:rsidP="00A26A46">
            <w:pPr>
              <w:jc w:val="center"/>
            </w:pPr>
            <w:r>
              <w:rPr>
                <w:color w:val="000000"/>
              </w:rPr>
              <w:t>21</w:t>
            </w:r>
          </w:p>
        </w:tc>
        <w:tc>
          <w:tcPr>
            <w:tcW w:w="1037" w:type="dxa"/>
            <w:vAlign w:val="center"/>
          </w:tcPr>
          <w:p w14:paraId="6FA79510" w14:textId="77777777" w:rsidR="00EF7606" w:rsidRPr="0000068E" w:rsidRDefault="00EF7606" w:rsidP="00A26A46">
            <w:pPr>
              <w:jc w:val="center"/>
            </w:pPr>
          </w:p>
        </w:tc>
        <w:tc>
          <w:tcPr>
            <w:tcW w:w="937" w:type="dxa"/>
          </w:tcPr>
          <w:p w14:paraId="0B0E6959" w14:textId="77777777" w:rsidR="00EF7606" w:rsidRPr="0000068E" w:rsidRDefault="00EF7606" w:rsidP="00A26A46">
            <w:pPr>
              <w:jc w:val="center"/>
              <w:rPr>
                <w:color w:val="000000"/>
              </w:rPr>
            </w:pPr>
            <w:r w:rsidRPr="0000068E">
              <w:rPr>
                <w:rFonts w:ascii="Agency FB" w:hAnsi="Agency FB"/>
                <w:color w:val="000000"/>
              </w:rPr>
              <w:t>√</w:t>
            </w:r>
          </w:p>
        </w:tc>
        <w:tc>
          <w:tcPr>
            <w:tcW w:w="1048" w:type="dxa"/>
            <w:vAlign w:val="center"/>
          </w:tcPr>
          <w:p w14:paraId="42EC296A" w14:textId="77777777" w:rsidR="00EF7606" w:rsidRDefault="00EF7606" w:rsidP="00A26A46">
            <w:pPr>
              <w:jc w:val="both"/>
            </w:pPr>
            <w:r>
              <w:rPr>
                <w:color w:val="000000"/>
              </w:rPr>
              <w:t>7.34%</w:t>
            </w:r>
          </w:p>
        </w:tc>
        <w:tc>
          <w:tcPr>
            <w:tcW w:w="760" w:type="dxa"/>
            <w:vAlign w:val="center"/>
          </w:tcPr>
          <w:p w14:paraId="78FD962E" w14:textId="77777777" w:rsidR="00EF7606" w:rsidRDefault="00EF7606" w:rsidP="00A26A46">
            <w:pPr>
              <w:jc w:val="both"/>
              <w:rPr>
                <w:color w:val="000000"/>
              </w:rPr>
            </w:pPr>
            <w:r>
              <w:rPr>
                <w:color w:val="000000"/>
              </w:rPr>
              <w:t>15</w:t>
            </w:r>
          </w:p>
        </w:tc>
        <w:tc>
          <w:tcPr>
            <w:tcW w:w="917" w:type="dxa"/>
            <w:vAlign w:val="center"/>
          </w:tcPr>
          <w:p w14:paraId="33775846" w14:textId="77777777" w:rsidR="00EF7606" w:rsidRDefault="00EF7606" w:rsidP="00A26A46">
            <w:pPr>
              <w:jc w:val="both"/>
            </w:pPr>
            <w:r>
              <w:rPr>
                <w:color w:val="000000"/>
              </w:rPr>
              <w:t>0.83</w:t>
            </w:r>
          </w:p>
        </w:tc>
        <w:tc>
          <w:tcPr>
            <w:tcW w:w="988" w:type="dxa"/>
            <w:vAlign w:val="bottom"/>
          </w:tcPr>
          <w:p w14:paraId="04824F1F" w14:textId="77777777" w:rsidR="00EF7606" w:rsidRDefault="00EF7606" w:rsidP="00A26A46">
            <w:pPr>
              <w:jc w:val="both"/>
            </w:pPr>
            <w:r>
              <w:rPr>
                <w:rFonts w:ascii="Calibri" w:hAnsi="Calibri" w:cs="Calibri"/>
                <w:color w:val="000000"/>
              </w:rPr>
              <w:t>7</w:t>
            </w:r>
          </w:p>
        </w:tc>
      </w:tr>
      <w:tr w:rsidR="00EF7606" w14:paraId="0F7CF4B1" w14:textId="77777777" w:rsidTr="00A26A46">
        <w:trPr>
          <w:trHeight w:val="354"/>
        </w:trPr>
        <w:tc>
          <w:tcPr>
            <w:tcW w:w="1498" w:type="dxa"/>
            <w:vAlign w:val="center"/>
          </w:tcPr>
          <w:p w14:paraId="3598E745" w14:textId="77777777" w:rsidR="00EF7606" w:rsidRDefault="00EF7606" w:rsidP="00A26A46">
            <w:pPr>
              <w:jc w:val="center"/>
            </w:pPr>
            <w:r>
              <w:rPr>
                <w:rFonts w:ascii="Calibri" w:hAnsi="Calibri" w:cs="Calibri"/>
                <w:b/>
                <w:bCs/>
                <w:color w:val="000000"/>
              </w:rPr>
              <w:t>AIBL1STIMF</w:t>
            </w:r>
          </w:p>
        </w:tc>
        <w:tc>
          <w:tcPr>
            <w:tcW w:w="1240" w:type="dxa"/>
            <w:vAlign w:val="center"/>
          </w:tcPr>
          <w:p w14:paraId="45ED0F8B" w14:textId="77777777" w:rsidR="00EF7606" w:rsidRDefault="00EF7606" w:rsidP="00A26A46">
            <w:pPr>
              <w:jc w:val="center"/>
            </w:pPr>
            <w:r>
              <w:rPr>
                <w:color w:val="000000"/>
              </w:rPr>
              <w:t>5.31%</w:t>
            </w:r>
          </w:p>
        </w:tc>
        <w:tc>
          <w:tcPr>
            <w:tcW w:w="930" w:type="dxa"/>
            <w:vAlign w:val="center"/>
          </w:tcPr>
          <w:p w14:paraId="327A1A4B" w14:textId="77777777" w:rsidR="00EF7606" w:rsidRDefault="00EF7606" w:rsidP="00A26A46">
            <w:pPr>
              <w:jc w:val="center"/>
            </w:pPr>
            <w:r>
              <w:rPr>
                <w:color w:val="000000"/>
              </w:rPr>
              <w:t>6</w:t>
            </w:r>
          </w:p>
        </w:tc>
        <w:tc>
          <w:tcPr>
            <w:tcW w:w="1037" w:type="dxa"/>
            <w:vAlign w:val="center"/>
          </w:tcPr>
          <w:p w14:paraId="114F7E13" w14:textId="77777777" w:rsidR="00EF7606" w:rsidRPr="0000068E" w:rsidRDefault="00EF7606" w:rsidP="00A26A46">
            <w:pPr>
              <w:jc w:val="center"/>
            </w:pPr>
            <w:r w:rsidRPr="0000068E">
              <w:rPr>
                <w:rFonts w:ascii="Agency FB" w:hAnsi="Agency FB"/>
                <w:color w:val="000000"/>
              </w:rPr>
              <w:t>√</w:t>
            </w:r>
          </w:p>
        </w:tc>
        <w:tc>
          <w:tcPr>
            <w:tcW w:w="937" w:type="dxa"/>
          </w:tcPr>
          <w:p w14:paraId="31A455AD" w14:textId="77777777" w:rsidR="00EF7606" w:rsidRPr="0000068E" w:rsidRDefault="00EF7606" w:rsidP="00A26A46">
            <w:pPr>
              <w:jc w:val="center"/>
              <w:rPr>
                <w:color w:val="000000"/>
              </w:rPr>
            </w:pPr>
          </w:p>
        </w:tc>
        <w:tc>
          <w:tcPr>
            <w:tcW w:w="1048" w:type="dxa"/>
            <w:vAlign w:val="center"/>
          </w:tcPr>
          <w:p w14:paraId="08779F39" w14:textId="77777777" w:rsidR="00EF7606" w:rsidRDefault="00EF7606" w:rsidP="00A26A46">
            <w:pPr>
              <w:jc w:val="both"/>
            </w:pPr>
            <w:r>
              <w:rPr>
                <w:color w:val="000000"/>
              </w:rPr>
              <w:t>8.01%</w:t>
            </w:r>
          </w:p>
        </w:tc>
        <w:tc>
          <w:tcPr>
            <w:tcW w:w="760" w:type="dxa"/>
            <w:vAlign w:val="center"/>
          </w:tcPr>
          <w:p w14:paraId="70240B38" w14:textId="77777777" w:rsidR="00EF7606" w:rsidRDefault="00EF7606" w:rsidP="00A26A46">
            <w:pPr>
              <w:jc w:val="both"/>
              <w:rPr>
                <w:color w:val="000000"/>
              </w:rPr>
            </w:pPr>
            <w:r>
              <w:rPr>
                <w:color w:val="000000"/>
              </w:rPr>
              <w:t>9</w:t>
            </w:r>
          </w:p>
        </w:tc>
        <w:tc>
          <w:tcPr>
            <w:tcW w:w="917" w:type="dxa"/>
            <w:vAlign w:val="center"/>
          </w:tcPr>
          <w:p w14:paraId="31CF686B" w14:textId="77777777" w:rsidR="00EF7606" w:rsidRDefault="00EF7606" w:rsidP="00A26A46">
            <w:pPr>
              <w:jc w:val="both"/>
            </w:pPr>
            <w:r>
              <w:rPr>
                <w:color w:val="000000"/>
              </w:rPr>
              <w:t>0.31</w:t>
            </w:r>
          </w:p>
        </w:tc>
        <w:tc>
          <w:tcPr>
            <w:tcW w:w="988" w:type="dxa"/>
            <w:vAlign w:val="bottom"/>
          </w:tcPr>
          <w:p w14:paraId="7CE59B1F" w14:textId="77777777" w:rsidR="00EF7606" w:rsidRDefault="00EF7606" w:rsidP="00A26A46">
            <w:pPr>
              <w:jc w:val="both"/>
            </w:pPr>
            <w:r>
              <w:rPr>
                <w:rFonts w:ascii="Calibri" w:hAnsi="Calibri" w:cs="Calibri"/>
                <w:color w:val="000000"/>
              </w:rPr>
              <w:t>21</w:t>
            </w:r>
          </w:p>
        </w:tc>
      </w:tr>
      <w:tr w:rsidR="00EF7606" w14:paraId="47EA289D" w14:textId="77777777" w:rsidTr="00A26A46">
        <w:trPr>
          <w:trHeight w:val="354"/>
        </w:trPr>
        <w:tc>
          <w:tcPr>
            <w:tcW w:w="1498" w:type="dxa"/>
            <w:vAlign w:val="center"/>
          </w:tcPr>
          <w:p w14:paraId="47C3EAAA" w14:textId="77777777" w:rsidR="00EF7606" w:rsidRDefault="00EF7606" w:rsidP="00A26A46">
            <w:pPr>
              <w:jc w:val="center"/>
            </w:pPr>
            <w:r>
              <w:rPr>
                <w:b/>
                <w:bCs/>
                <w:color w:val="000000"/>
              </w:rPr>
              <w:t>DBH1STMF</w:t>
            </w:r>
          </w:p>
        </w:tc>
        <w:tc>
          <w:tcPr>
            <w:tcW w:w="1240" w:type="dxa"/>
            <w:vAlign w:val="center"/>
          </w:tcPr>
          <w:p w14:paraId="420E56B9" w14:textId="77777777" w:rsidR="00EF7606" w:rsidRDefault="00EF7606" w:rsidP="00A26A46">
            <w:pPr>
              <w:jc w:val="center"/>
            </w:pPr>
            <w:r>
              <w:rPr>
                <w:color w:val="000000"/>
              </w:rPr>
              <w:t>-0.47%</w:t>
            </w:r>
          </w:p>
        </w:tc>
        <w:tc>
          <w:tcPr>
            <w:tcW w:w="930" w:type="dxa"/>
            <w:vAlign w:val="center"/>
          </w:tcPr>
          <w:p w14:paraId="3B21BE51" w14:textId="77777777" w:rsidR="00EF7606" w:rsidRDefault="00EF7606" w:rsidP="00A26A46">
            <w:pPr>
              <w:jc w:val="center"/>
            </w:pPr>
            <w:r>
              <w:rPr>
                <w:color w:val="000000"/>
              </w:rPr>
              <w:t>14</w:t>
            </w:r>
          </w:p>
        </w:tc>
        <w:tc>
          <w:tcPr>
            <w:tcW w:w="1037" w:type="dxa"/>
            <w:vAlign w:val="center"/>
          </w:tcPr>
          <w:p w14:paraId="188EEB5E" w14:textId="77777777" w:rsidR="00EF7606" w:rsidRPr="0000068E" w:rsidRDefault="00EF7606" w:rsidP="00A26A46">
            <w:pPr>
              <w:jc w:val="center"/>
            </w:pPr>
          </w:p>
        </w:tc>
        <w:tc>
          <w:tcPr>
            <w:tcW w:w="937" w:type="dxa"/>
          </w:tcPr>
          <w:p w14:paraId="3DE822A1" w14:textId="77777777" w:rsidR="00EF7606" w:rsidRPr="0000068E" w:rsidRDefault="00EF7606" w:rsidP="00A26A46">
            <w:pPr>
              <w:jc w:val="center"/>
              <w:rPr>
                <w:color w:val="000000"/>
              </w:rPr>
            </w:pPr>
            <w:r w:rsidRPr="0000068E">
              <w:rPr>
                <w:rFonts w:ascii="Agency FB" w:hAnsi="Agency FB"/>
                <w:color w:val="000000"/>
              </w:rPr>
              <w:t>√</w:t>
            </w:r>
          </w:p>
        </w:tc>
        <w:tc>
          <w:tcPr>
            <w:tcW w:w="1048" w:type="dxa"/>
            <w:vAlign w:val="center"/>
          </w:tcPr>
          <w:p w14:paraId="0D855E25" w14:textId="77777777" w:rsidR="00EF7606" w:rsidRDefault="00EF7606" w:rsidP="00A26A46">
            <w:pPr>
              <w:jc w:val="both"/>
            </w:pPr>
            <w:r>
              <w:rPr>
                <w:color w:val="000000"/>
              </w:rPr>
              <w:t>6.28%</w:t>
            </w:r>
          </w:p>
        </w:tc>
        <w:tc>
          <w:tcPr>
            <w:tcW w:w="760" w:type="dxa"/>
            <w:vAlign w:val="center"/>
          </w:tcPr>
          <w:p w14:paraId="50797B3F" w14:textId="77777777" w:rsidR="00EF7606" w:rsidRDefault="00EF7606" w:rsidP="00A26A46">
            <w:pPr>
              <w:jc w:val="both"/>
              <w:rPr>
                <w:color w:val="000000"/>
              </w:rPr>
            </w:pPr>
            <w:r>
              <w:rPr>
                <w:color w:val="000000"/>
              </w:rPr>
              <w:t>20</w:t>
            </w:r>
          </w:p>
        </w:tc>
        <w:tc>
          <w:tcPr>
            <w:tcW w:w="917" w:type="dxa"/>
            <w:vAlign w:val="center"/>
          </w:tcPr>
          <w:p w14:paraId="5F79F681" w14:textId="77777777" w:rsidR="00EF7606" w:rsidRDefault="00EF7606" w:rsidP="00A26A46">
            <w:pPr>
              <w:jc w:val="both"/>
            </w:pPr>
            <w:r>
              <w:rPr>
                <w:color w:val="000000"/>
              </w:rPr>
              <w:t>0.52</w:t>
            </w:r>
          </w:p>
        </w:tc>
        <w:tc>
          <w:tcPr>
            <w:tcW w:w="988" w:type="dxa"/>
            <w:vAlign w:val="bottom"/>
          </w:tcPr>
          <w:p w14:paraId="64F28BCD" w14:textId="77777777" w:rsidR="00EF7606" w:rsidRDefault="00EF7606" w:rsidP="00A26A46">
            <w:pPr>
              <w:jc w:val="both"/>
            </w:pPr>
            <w:r>
              <w:rPr>
                <w:rFonts w:ascii="Calibri" w:hAnsi="Calibri" w:cs="Calibri"/>
                <w:color w:val="000000"/>
              </w:rPr>
              <w:t>19</w:t>
            </w:r>
          </w:p>
        </w:tc>
      </w:tr>
      <w:tr w:rsidR="00EF7606" w14:paraId="20F475A3" w14:textId="77777777" w:rsidTr="00A26A46">
        <w:trPr>
          <w:trHeight w:val="354"/>
        </w:trPr>
        <w:tc>
          <w:tcPr>
            <w:tcW w:w="1498" w:type="dxa"/>
            <w:vAlign w:val="center"/>
          </w:tcPr>
          <w:p w14:paraId="7D24F383" w14:textId="77777777" w:rsidR="00EF7606" w:rsidRDefault="00EF7606" w:rsidP="00A26A46">
            <w:pPr>
              <w:jc w:val="center"/>
            </w:pPr>
            <w:r>
              <w:rPr>
                <w:b/>
                <w:bCs/>
                <w:color w:val="000000"/>
              </w:rPr>
              <w:t>EBL1STMF</w:t>
            </w:r>
          </w:p>
        </w:tc>
        <w:tc>
          <w:tcPr>
            <w:tcW w:w="1240" w:type="dxa"/>
            <w:vAlign w:val="center"/>
          </w:tcPr>
          <w:p w14:paraId="0D9ED8B0" w14:textId="77777777" w:rsidR="00EF7606" w:rsidRDefault="00EF7606" w:rsidP="00A26A46">
            <w:pPr>
              <w:jc w:val="center"/>
            </w:pPr>
            <w:r>
              <w:rPr>
                <w:color w:val="000000"/>
              </w:rPr>
              <w:t>-0.23%</w:t>
            </w:r>
          </w:p>
        </w:tc>
        <w:tc>
          <w:tcPr>
            <w:tcW w:w="930" w:type="dxa"/>
            <w:vAlign w:val="center"/>
          </w:tcPr>
          <w:p w14:paraId="21EB813A" w14:textId="77777777" w:rsidR="00EF7606" w:rsidRDefault="00EF7606" w:rsidP="00A26A46">
            <w:pPr>
              <w:jc w:val="center"/>
            </w:pPr>
            <w:r>
              <w:rPr>
                <w:color w:val="000000"/>
              </w:rPr>
              <w:t>12</w:t>
            </w:r>
          </w:p>
        </w:tc>
        <w:tc>
          <w:tcPr>
            <w:tcW w:w="1037" w:type="dxa"/>
            <w:vAlign w:val="center"/>
          </w:tcPr>
          <w:p w14:paraId="62C944C4" w14:textId="77777777" w:rsidR="00EF7606" w:rsidRPr="0000068E" w:rsidRDefault="00EF7606" w:rsidP="00A26A46">
            <w:pPr>
              <w:jc w:val="center"/>
            </w:pPr>
          </w:p>
        </w:tc>
        <w:tc>
          <w:tcPr>
            <w:tcW w:w="937" w:type="dxa"/>
          </w:tcPr>
          <w:p w14:paraId="5E6003F8" w14:textId="77777777" w:rsidR="00EF7606" w:rsidRPr="0000068E" w:rsidRDefault="00EF7606" w:rsidP="00A26A46">
            <w:pPr>
              <w:jc w:val="center"/>
              <w:rPr>
                <w:color w:val="000000"/>
              </w:rPr>
            </w:pPr>
            <w:r w:rsidRPr="0000068E">
              <w:rPr>
                <w:rFonts w:ascii="Agency FB" w:hAnsi="Agency FB"/>
                <w:color w:val="000000"/>
              </w:rPr>
              <w:t>√</w:t>
            </w:r>
          </w:p>
        </w:tc>
        <w:tc>
          <w:tcPr>
            <w:tcW w:w="1048" w:type="dxa"/>
            <w:vAlign w:val="center"/>
          </w:tcPr>
          <w:p w14:paraId="24852919" w14:textId="77777777" w:rsidR="00EF7606" w:rsidRDefault="00EF7606" w:rsidP="00A26A46">
            <w:pPr>
              <w:jc w:val="both"/>
            </w:pPr>
            <w:r>
              <w:rPr>
                <w:color w:val="000000"/>
              </w:rPr>
              <w:t>8.92%</w:t>
            </w:r>
          </w:p>
        </w:tc>
        <w:tc>
          <w:tcPr>
            <w:tcW w:w="760" w:type="dxa"/>
            <w:vAlign w:val="center"/>
          </w:tcPr>
          <w:p w14:paraId="23865C0E" w14:textId="77777777" w:rsidR="00EF7606" w:rsidRDefault="00EF7606" w:rsidP="00A26A46">
            <w:pPr>
              <w:jc w:val="both"/>
              <w:rPr>
                <w:color w:val="000000"/>
              </w:rPr>
            </w:pPr>
            <w:r>
              <w:rPr>
                <w:color w:val="000000"/>
              </w:rPr>
              <w:t>3</w:t>
            </w:r>
          </w:p>
        </w:tc>
        <w:tc>
          <w:tcPr>
            <w:tcW w:w="917" w:type="dxa"/>
            <w:vAlign w:val="center"/>
          </w:tcPr>
          <w:p w14:paraId="748652DC" w14:textId="77777777" w:rsidR="00EF7606" w:rsidRDefault="00EF7606" w:rsidP="00A26A46">
            <w:pPr>
              <w:jc w:val="both"/>
            </w:pPr>
            <w:r>
              <w:rPr>
                <w:color w:val="000000"/>
              </w:rPr>
              <w:t>0.97</w:t>
            </w:r>
          </w:p>
        </w:tc>
        <w:tc>
          <w:tcPr>
            <w:tcW w:w="988" w:type="dxa"/>
            <w:vAlign w:val="bottom"/>
          </w:tcPr>
          <w:p w14:paraId="6025B097" w14:textId="77777777" w:rsidR="00EF7606" w:rsidRDefault="00EF7606" w:rsidP="00A26A46">
            <w:pPr>
              <w:jc w:val="both"/>
            </w:pPr>
            <w:r>
              <w:rPr>
                <w:rFonts w:ascii="Calibri" w:hAnsi="Calibri" w:cs="Calibri"/>
                <w:color w:val="000000"/>
              </w:rPr>
              <w:t>3</w:t>
            </w:r>
          </w:p>
        </w:tc>
      </w:tr>
      <w:tr w:rsidR="00EF7606" w14:paraId="31AF9AAC" w14:textId="77777777" w:rsidTr="00A26A46">
        <w:trPr>
          <w:trHeight w:val="354"/>
        </w:trPr>
        <w:tc>
          <w:tcPr>
            <w:tcW w:w="1498" w:type="dxa"/>
            <w:vAlign w:val="center"/>
          </w:tcPr>
          <w:p w14:paraId="5D51AD74" w14:textId="77777777" w:rsidR="00EF7606" w:rsidRDefault="00EF7606" w:rsidP="00A26A46">
            <w:pPr>
              <w:jc w:val="center"/>
            </w:pPr>
            <w:r>
              <w:rPr>
                <w:b/>
                <w:bCs/>
                <w:color w:val="000000"/>
              </w:rPr>
              <w:t>EBLNRBMF</w:t>
            </w:r>
          </w:p>
        </w:tc>
        <w:tc>
          <w:tcPr>
            <w:tcW w:w="1240" w:type="dxa"/>
            <w:vAlign w:val="center"/>
          </w:tcPr>
          <w:p w14:paraId="217820AC" w14:textId="77777777" w:rsidR="00EF7606" w:rsidRDefault="00EF7606" w:rsidP="00A26A46">
            <w:pPr>
              <w:jc w:val="center"/>
            </w:pPr>
            <w:r>
              <w:rPr>
                <w:color w:val="000000"/>
              </w:rPr>
              <w:t>-0.88%</w:t>
            </w:r>
          </w:p>
        </w:tc>
        <w:tc>
          <w:tcPr>
            <w:tcW w:w="930" w:type="dxa"/>
            <w:vAlign w:val="center"/>
          </w:tcPr>
          <w:p w14:paraId="188A1EAF" w14:textId="77777777" w:rsidR="00EF7606" w:rsidRDefault="00EF7606" w:rsidP="00A26A46">
            <w:pPr>
              <w:jc w:val="center"/>
            </w:pPr>
            <w:r>
              <w:rPr>
                <w:color w:val="000000"/>
              </w:rPr>
              <w:t>15</w:t>
            </w:r>
          </w:p>
        </w:tc>
        <w:tc>
          <w:tcPr>
            <w:tcW w:w="1037" w:type="dxa"/>
            <w:vAlign w:val="center"/>
          </w:tcPr>
          <w:p w14:paraId="05C7DBE5" w14:textId="77777777" w:rsidR="00EF7606" w:rsidRPr="0000068E" w:rsidRDefault="00EF7606" w:rsidP="00A26A46">
            <w:pPr>
              <w:jc w:val="center"/>
            </w:pPr>
          </w:p>
        </w:tc>
        <w:tc>
          <w:tcPr>
            <w:tcW w:w="937" w:type="dxa"/>
          </w:tcPr>
          <w:p w14:paraId="5F4B9C22" w14:textId="77777777" w:rsidR="00EF7606" w:rsidRPr="0000068E" w:rsidRDefault="00EF7606" w:rsidP="00A26A46">
            <w:pPr>
              <w:jc w:val="center"/>
              <w:rPr>
                <w:color w:val="000000"/>
              </w:rPr>
            </w:pPr>
            <w:r w:rsidRPr="0000068E">
              <w:rPr>
                <w:rFonts w:ascii="Agency FB" w:hAnsi="Agency FB"/>
                <w:color w:val="000000"/>
              </w:rPr>
              <w:t>√</w:t>
            </w:r>
          </w:p>
        </w:tc>
        <w:tc>
          <w:tcPr>
            <w:tcW w:w="1048" w:type="dxa"/>
            <w:vAlign w:val="center"/>
          </w:tcPr>
          <w:p w14:paraId="72B1AA2D" w14:textId="77777777" w:rsidR="00EF7606" w:rsidRDefault="00EF7606" w:rsidP="00A26A46">
            <w:pPr>
              <w:jc w:val="both"/>
            </w:pPr>
            <w:r>
              <w:rPr>
                <w:color w:val="000000"/>
              </w:rPr>
              <w:t>8.84%</w:t>
            </w:r>
          </w:p>
        </w:tc>
        <w:tc>
          <w:tcPr>
            <w:tcW w:w="760" w:type="dxa"/>
            <w:vAlign w:val="center"/>
          </w:tcPr>
          <w:p w14:paraId="24DA7AC8" w14:textId="77777777" w:rsidR="00EF7606" w:rsidRDefault="00EF7606" w:rsidP="00A26A46">
            <w:pPr>
              <w:jc w:val="both"/>
              <w:rPr>
                <w:color w:val="000000"/>
              </w:rPr>
            </w:pPr>
            <w:r>
              <w:rPr>
                <w:color w:val="000000"/>
              </w:rPr>
              <w:t>4</w:t>
            </w:r>
          </w:p>
        </w:tc>
        <w:tc>
          <w:tcPr>
            <w:tcW w:w="917" w:type="dxa"/>
            <w:vAlign w:val="center"/>
          </w:tcPr>
          <w:p w14:paraId="6CA51D00" w14:textId="77777777" w:rsidR="00EF7606" w:rsidRDefault="00EF7606" w:rsidP="00A26A46">
            <w:pPr>
              <w:jc w:val="both"/>
            </w:pPr>
            <w:r>
              <w:rPr>
                <w:color w:val="000000"/>
              </w:rPr>
              <w:t>0.98</w:t>
            </w:r>
          </w:p>
        </w:tc>
        <w:tc>
          <w:tcPr>
            <w:tcW w:w="988" w:type="dxa"/>
            <w:vAlign w:val="bottom"/>
          </w:tcPr>
          <w:p w14:paraId="15567ABE" w14:textId="77777777" w:rsidR="00EF7606" w:rsidRDefault="00EF7606" w:rsidP="00A26A46">
            <w:pPr>
              <w:jc w:val="both"/>
            </w:pPr>
            <w:r>
              <w:rPr>
                <w:rFonts w:ascii="Calibri" w:hAnsi="Calibri" w:cs="Calibri"/>
                <w:color w:val="000000"/>
              </w:rPr>
              <w:t>2</w:t>
            </w:r>
          </w:p>
        </w:tc>
      </w:tr>
      <w:tr w:rsidR="00EF7606" w14:paraId="021C67A7" w14:textId="77777777" w:rsidTr="00A26A46">
        <w:trPr>
          <w:trHeight w:val="354"/>
        </w:trPr>
        <w:tc>
          <w:tcPr>
            <w:tcW w:w="1498" w:type="dxa"/>
            <w:vAlign w:val="center"/>
          </w:tcPr>
          <w:p w14:paraId="38CD958C" w14:textId="77777777" w:rsidR="00EF7606" w:rsidRDefault="00EF7606" w:rsidP="00A26A46">
            <w:pPr>
              <w:jc w:val="center"/>
            </w:pPr>
            <w:r>
              <w:rPr>
                <w:b/>
                <w:bCs/>
                <w:color w:val="000000"/>
              </w:rPr>
              <w:t>GRAMEENS2</w:t>
            </w:r>
          </w:p>
        </w:tc>
        <w:tc>
          <w:tcPr>
            <w:tcW w:w="1240" w:type="dxa"/>
            <w:vAlign w:val="center"/>
          </w:tcPr>
          <w:p w14:paraId="41EEE643" w14:textId="77777777" w:rsidR="00EF7606" w:rsidRDefault="00EF7606" w:rsidP="00A26A46">
            <w:pPr>
              <w:jc w:val="center"/>
            </w:pPr>
            <w:r>
              <w:rPr>
                <w:color w:val="000000"/>
              </w:rPr>
              <w:t>1.93%</w:t>
            </w:r>
          </w:p>
        </w:tc>
        <w:tc>
          <w:tcPr>
            <w:tcW w:w="930" w:type="dxa"/>
            <w:vAlign w:val="center"/>
          </w:tcPr>
          <w:p w14:paraId="05048058" w14:textId="77777777" w:rsidR="00EF7606" w:rsidRDefault="00EF7606" w:rsidP="00A26A46">
            <w:pPr>
              <w:jc w:val="center"/>
            </w:pPr>
            <w:r>
              <w:rPr>
                <w:color w:val="000000"/>
              </w:rPr>
              <w:t>10</w:t>
            </w:r>
          </w:p>
        </w:tc>
        <w:tc>
          <w:tcPr>
            <w:tcW w:w="1037" w:type="dxa"/>
            <w:vAlign w:val="center"/>
          </w:tcPr>
          <w:p w14:paraId="18BC67F1" w14:textId="77777777" w:rsidR="00EF7606" w:rsidRPr="0000068E" w:rsidRDefault="00EF7606" w:rsidP="00A26A46">
            <w:pPr>
              <w:jc w:val="center"/>
            </w:pPr>
          </w:p>
        </w:tc>
        <w:tc>
          <w:tcPr>
            <w:tcW w:w="937" w:type="dxa"/>
          </w:tcPr>
          <w:p w14:paraId="0EEC5654" w14:textId="77777777" w:rsidR="00EF7606" w:rsidRPr="0000068E" w:rsidRDefault="00EF7606" w:rsidP="00A26A46">
            <w:pPr>
              <w:jc w:val="center"/>
              <w:rPr>
                <w:color w:val="000000"/>
              </w:rPr>
            </w:pPr>
            <w:r w:rsidRPr="0000068E">
              <w:rPr>
                <w:rFonts w:ascii="Agency FB" w:hAnsi="Agency FB"/>
                <w:color w:val="000000"/>
              </w:rPr>
              <w:t>√</w:t>
            </w:r>
          </w:p>
        </w:tc>
        <w:tc>
          <w:tcPr>
            <w:tcW w:w="1048" w:type="dxa"/>
            <w:vAlign w:val="center"/>
          </w:tcPr>
          <w:p w14:paraId="1BB89CD3" w14:textId="77777777" w:rsidR="00EF7606" w:rsidRDefault="00EF7606" w:rsidP="00A26A46">
            <w:pPr>
              <w:jc w:val="both"/>
            </w:pPr>
            <w:r>
              <w:rPr>
                <w:color w:val="000000"/>
              </w:rPr>
              <w:t>5.98%</w:t>
            </w:r>
          </w:p>
        </w:tc>
        <w:tc>
          <w:tcPr>
            <w:tcW w:w="760" w:type="dxa"/>
            <w:vAlign w:val="center"/>
          </w:tcPr>
          <w:p w14:paraId="146508FF" w14:textId="77777777" w:rsidR="00EF7606" w:rsidRDefault="00EF7606" w:rsidP="00A26A46">
            <w:pPr>
              <w:jc w:val="both"/>
              <w:rPr>
                <w:color w:val="000000"/>
              </w:rPr>
            </w:pPr>
            <w:r>
              <w:rPr>
                <w:color w:val="000000"/>
              </w:rPr>
              <w:t>21</w:t>
            </w:r>
          </w:p>
        </w:tc>
        <w:tc>
          <w:tcPr>
            <w:tcW w:w="917" w:type="dxa"/>
            <w:vAlign w:val="center"/>
          </w:tcPr>
          <w:p w14:paraId="0316D6E9" w14:textId="77777777" w:rsidR="00EF7606" w:rsidRDefault="00EF7606" w:rsidP="00A26A46">
            <w:pPr>
              <w:jc w:val="both"/>
            </w:pPr>
            <w:r>
              <w:rPr>
                <w:color w:val="000000"/>
              </w:rPr>
              <w:t>0.79</w:t>
            </w:r>
          </w:p>
        </w:tc>
        <w:tc>
          <w:tcPr>
            <w:tcW w:w="988" w:type="dxa"/>
            <w:vAlign w:val="bottom"/>
          </w:tcPr>
          <w:p w14:paraId="1E3F6BEF" w14:textId="77777777" w:rsidR="00EF7606" w:rsidRDefault="00EF7606" w:rsidP="00A26A46">
            <w:pPr>
              <w:jc w:val="both"/>
            </w:pPr>
            <w:r>
              <w:rPr>
                <w:rFonts w:ascii="Calibri" w:hAnsi="Calibri" w:cs="Calibri"/>
                <w:color w:val="000000"/>
              </w:rPr>
              <w:t>9</w:t>
            </w:r>
          </w:p>
        </w:tc>
      </w:tr>
      <w:tr w:rsidR="00EF7606" w14:paraId="6555CADD" w14:textId="77777777" w:rsidTr="00A26A46">
        <w:trPr>
          <w:trHeight w:val="354"/>
        </w:trPr>
        <w:tc>
          <w:tcPr>
            <w:tcW w:w="1498" w:type="dxa"/>
            <w:vAlign w:val="center"/>
          </w:tcPr>
          <w:p w14:paraId="16C12226" w14:textId="77777777" w:rsidR="00EF7606" w:rsidRDefault="00EF7606" w:rsidP="00A26A46">
            <w:pPr>
              <w:jc w:val="center"/>
            </w:pPr>
            <w:r>
              <w:rPr>
                <w:b/>
                <w:bCs/>
                <w:color w:val="000000"/>
              </w:rPr>
              <w:t>GREENDELMF</w:t>
            </w:r>
          </w:p>
        </w:tc>
        <w:tc>
          <w:tcPr>
            <w:tcW w:w="1240" w:type="dxa"/>
            <w:vAlign w:val="center"/>
          </w:tcPr>
          <w:p w14:paraId="0A47D34B" w14:textId="77777777" w:rsidR="00EF7606" w:rsidRDefault="00EF7606" w:rsidP="00A26A46">
            <w:pPr>
              <w:jc w:val="center"/>
            </w:pPr>
            <w:r>
              <w:rPr>
                <w:color w:val="000000"/>
              </w:rPr>
              <w:t>-0.24%</w:t>
            </w:r>
          </w:p>
        </w:tc>
        <w:tc>
          <w:tcPr>
            <w:tcW w:w="930" w:type="dxa"/>
            <w:vAlign w:val="center"/>
          </w:tcPr>
          <w:p w14:paraId="0081934E" w14:textId="77777777" w:rsidR="00EF7606" w:rsidRDefault="00EF7606" w:rsidP="00A26A46">
            <w:pPr>
              <w:jc w:val="center"/>
            </w:pPr>
            <w:r>
              <w:rPr>
                <w:color w:val="000000"/>
              </w:rPr>
              <w:t>13</w:t>
            </w:r>
          </w:p>
        </w:tc>
        <w:tc>
          <w:tcPr>
            <w:tcW w:w="1037" w:type="dxa"/>
            <w:vAlign w:val="center"/>
          </w:tcPr>
          <w:p w14:paraId="05FCCD83" w14:textId="77777777" w:rsidR="00EF7606" w:rsidRPr="0000068E" w:rsidRDefault="00EF7606" w:rsidP="00A26A46">
            <w:pPr>
              <w:jc w:val="center"/>
            </w:pPr>
          </w:p>
        </w:tc>
        <w:tc>
          <w:tcPr>
            <w:tcW w:w="937" w:type="dxa"/>
          </w:tcPr>
          <w:p w14:paraId="4E64DA94" w14:textId="77777777" w:rsidR="00EF7606" w:rsidRPr="0000068E" w:rsidRDefault="00EF7606" w:rsidP="00A26A46">
            <w:pPr>
              <w:jc w:val="center"/>
              <w:rPr>
                <w:color w:val="000000"/>
              </w:rPr>
            </w:pPr>
            <w:r w:rsidRPr="0000068E">
              <w:rPr>
                <w:rFonts w:ascii="Agency FB" w:hAnsi="Agency FB"/>
                <w:color w:val="000000"/>
              </w:rPr>
              <w:t>√</w:t>
            </w:r>
          </w:p>
        </w:tc>
        <w:tc>
          <w:tcPr>
            <w:tcW w:w="1048" w:type="dxa"/>
            <w:vAlign w:val="center"/>
          </w:tcPr>
          <w:p w14:paraId="0E2249C0" w14:textId="77777777" w:rsidR="00EF7606" w:rsidRDefault="00EF7606" w:rsidP="00A26A46">
            <w:pPr>
              <w:jc w:val="both"/>
            </w:pPr>
            <w:r>
              <w:rPr>
                <w:color w:val="000000"/>
              </w:rPr>
              <w:t>7.25%</w:t>
            </w:r>
          </w:p>
        </w:tc>
        <w:tc>
          <w:tcPr>
            <w:tcW w:w="760" w:type="dxa"/>
            <w:vAlign w:val="center"/>
          </w:tcPr>
          <w:p w14:paraId="54740724" w14:textId="77777777" w:rsidR="00EF7606" w:rsidRDefault="00EF7606" w:rsidP="00A26A46">
            <w:pPr>
              <w:jc w:val="both"/>
              <w:rPr>
                <w:color w:val="000000"/>
              </w:rPr>
            </w:pPr>
            <w:r>
              <w:rPr>
                <w:color w:val="000000"/>
              </w:rPr>
              <w:t>17</w:t>
            </w:r>
          </w:p>
        </w:tc>
        <w:tc>
          <w:tcPr>
            <w:tcW w:w="917" w:type="dxa"/>
            <w:vAlign w:val="center"/>
          </w:tcPr>
          <w:p w14:paraId="0242D95B" w14:textId="77777777" w:rsidR="00EF7606" w:rsidRDefault="00EF7606" w:rsidP="00A26A46">
            <w:pPr>
              <w:jc w:val="both"/>
            </w:pPr>
            <w:r>
              <w:rPr>
                <w:color w:val="000000"/>
              </w:rPr>
              <w:t>0.57</w:t>
            </w:r>
          </w:p>
        </w:tc>
        <w:tc>
          <w:tcPr>
            <w:tcW w:w="988" w:type="dxa"/>
            <w:vAlign w:val="bottom"/>
          </w:tcPr>
          <w:p w14:paraId="59993367" w14:textId="77777777" w:rsidR="00EF7606" w:rsidRDefault="00EF7606" w:rsidP="00A26A46">
            <w:pPr>
              <w:jc w:val="both"/>
            </w:pPr>
            <w:r>
              <w:rPr>
                <w:rFonts w:ascii="Calibri" w:hAnsi="Calibri" w:cs="Calibri"/>
                <w:color w:val="000000"/>
              </w:rPr>
              <w:t>17</w:t>
            </w:r>
          </w:p>
        </w:tc>
      </w:tr>
      <w:tr w:rsidR="00EF7606" w14:paraId="74548C79" w14:textId="77777777" w:rsidTr="00A26A46">
        <w:trPr>
          <w:trHeight w:val="354"/>
        </w:trPr>
        <w:tc>
          <w:tcPr>
            <w:tcW w:w="1498" w:type="dxa"/>
            <w:vAlign w:val="center"/>
          </w:tcPr>
          <w:p w14:paraId="275465F7" w14:textId="77777777" w:rsidR="00EF7606" w:rsidRDefault="00EF7606" w:rsidP="00A26A46">
            <w:pPr>
              <w:jc w:val="center"/>
            </w:pPr>
            <w:r>
              <w:rPr>
                <w:b/>
                <w:bCs/>
                <w:color w:val="000000"/>
              </w:rPr>
              <w:t>ICB3RDNRB</w:t>
            </w:r>
          </w:p>
        </w:tc>
        <w:tc>
          <w:tcPr>
            <w:tcW w:w="1240" w:type="dxa"/>
            <w:vAlign w:val="center"/>
          </w:tcPr>
          <w:p w14:paraId="6BD87ADC" w14:textId="77777777" w:rsidR="00EF7606" w:rsidRDefault="00EF7606" w:rsidP="00A26A46">
            <w:pPr>
              <w:jc w:val="center"/>
            </w:pPr>
            <w:r>
              <w:rPr>
                <w:color w:val="000000"/>
              </w:rPr>
              <w:t>2.49%</w:t>
            </w:r>
          </w:p>
        </w:tc>
        <w:tc>
          <w:tcPr>
            <w:tcW w:w="930" w:type="dxa"/>
            <w:vAlign w:val="center"/>
          </w:tcPr>
          <w:p w14:paraId="6AEE4AB9" w14:textId="77777777" w:rsidR="00EF7606" w:rsidRDefault="00EF7606" w:rsidP="00A26A46">
            <w:pPr>
              <w:jc w:val="center"/>
            </w:pPr>
            <w:r>
              <w:rPr>
                <w:color w:val="000000"/>
              </w:rPr>
              <w:t>9</w:t>
            </w:r>
          </w:p>
        </w:tc>
        <w:tc>
          <w:tcPr>
            <w:tcW w:w="1037" w:type="dxa"/>
            <w:vAlign w:val="center"/>
          </w:tcPr>
          <w:p w14:paraId="52B57E56" w14:textId="77777777" w:rsidR="00EF7606" w:rsidRPr="0000068E" w:rsidRDefault="00EF7606" w:rsidP="00A26A46">
            <w:pPr>
              <w:jc w:val="center"/>
            </w:pPr>
          </w:p>
        </w:tc>
        <w:tc>
          <w:tcPr>
            <w:tcW w:w="937" w:type="dxa"/>
          </w:tcPr>
          <w:p w14:paraId="17BC8F13" w14:textId="77777777" w:rsidR="00EF7606" w:rsidRPr="0000068E" w:rsidRDefault="00EF7606" w:rsidP="00A26A46">
            <w:pPr>
              <w:jc w:val="center"/>
              <w:rPr>
                <w:color w:val="000000"/>
              </w:rPr>
            </w:pPr>
            <w:r w:rsidRPr="0000068E">
              <w:rPr>
                <w:rFonts w:ascii="Agency FB" w:hAnsi="Agency FB"/>
                <w:color w:val="000000"/>
              </w:rPr>
              <w:t>√</w:t>
            </w:r>
          </w:p>
        </w:tc>
        <w:tc>
          <w:tcPr>
            <w:tcW w:w="1048" w:type="dxa"/>
            <w:vAlign w:val="center"/>
          </w:tcPr>
          <w:p w14:paraId="37C9799C" w14:textId="77777777" w:rsidR="00EF7606" w:rsidRDefault="00EF7606" w:rsidP="00A26A46">
            <w:pPr>
              <w:jc w:val="both"/>
            </w:pPr>
            <w:r>
              <w:rPr>
                <w:color w:val="000000"/>
              </w:rPr>
              <w:t>6.95%</w:t>
            </w:r>
          </w:p>
        </w:tc>
        <w:tc>
          <w:tcPr>
            <w:tcW w:w="760" w:type="dxa"/>
            <w:vAlign w:val="center"/>
          </w:tcPr>
          <w:p w14:paraId="474B27DE" w14:textId="77777777" w:rsidR="00EF7606" w:rsidRDefault="00EF7606" w:rsidP="00A26A46">
            <w:pPr>
              <w:jc w:val="both"/>
              <w:rPr>
                <w:color w:val="000000"/>
              </w:rPr>
            </w:pPr>
            <w:r>
              <w:rPr>
                <w:color w:val="000000"/>
              </w:rPr>
              <w:t>18</w:t>
            </w:r>
          </w:p>
        </w:tc>
        <w:tc>
          <w:tcPr>
            <w:tcW w:w="917" w:type="dxa"/>
            <w:vAlign w:val="center"/>
          </w:tcPr>
          <w:p w14:paraId="29455374" w14:textId="77777777" w:rsidR="00EF7606" w:rsidRDefault="00EF7606" w:rsidP="00A26A46">
            <w:pPr>
              <w:jc w:val="both"/>
            </w:pPr>
            <w:r>
              <w:rPr>
                <w:color w:val="000000"/>
              </w:rPr>
              <w:t>0.76</w:t>
            </w:r>
          </w:p>
        </w:tc>
        <w:tc>
          <w:tcPr>
            <w:tcW w:w="988" w:type="dxa"/>
            <w:vAlign w:val="bottom"/>
          </w:tcPr>
          <w:p w14:paraId="639F60E1" w14:textId="77777777" w:rsidR="00EF7606" w:rsidRDefault="00EF7606" w:rsidP="00A26A46">
            <w:pPr>
              <w:jc w:val="both"/>
            </w:pPr>
            <w:r>
              <w:rPr>
                <w:rFonts w:ascii="Calibri" w:hAnsi="Calibri" w:cs="Calibri"/>
                <w:color w:val="000000"/>
              </w:rPr>
              <w:t>12</w:t>
            </w:r>
          </w:p>
        </w:tc>
      </w:tr>
      <w:tr w:rsidR="00EF7606" w14:paraId="0856F36B" w14:textId="77777777" w:rsidTr="00A26A46">
        <w:trPr>
          <w:trHeight w:val="354"/>
        </w:trPr>
        <w:tc>
          <w:tcPr>
            <w:tcW w:w="1498" w:type="dxa"/>
            <w:vAlign w:val="center"/>
          </w:tcPr>
          <w:p w14:paraId="6A9DFE02" w14:textId="77777777" w:rsidR="00EF7606" w:rsidRDefault="00EF7606" w:rsidP="00A26A46">
            <w:pPr>
              <w:jc w:val="center"/>
            </w:pPr>
            <w:r>
              <w:rPr>
                <w:b/>
                <w:bCs/>
                <w:color w:val="000000"/>
              </w:rPr>
              <w:t>ICBAMCL2ND</w:t>
            </w:r>
          </w:p>
        </w:tc>
        <w:tc>
          <w:tcPr>
            <w:tcW w:w="1240" w:type="dxa"/>
            <w:vAlign w:val="center"/>
          </w:tcPr>
          <w:p w14:paraId="4A267CE6" w14:textId="77777777" w:rsidR="00EF7606" w:rsidRDefault="00EF7606" w:rsidP="00A26A46">
            <w:pPr>
              <w:jc w:val="center"/>
            </w:pPr>
            <w:r>
              <w:rPr>
                <w:color w:val="000000"/>
              </w:rPr>
              <w:t>5.51%</w:t>
            </w:r>
          </w:p>
        </w:tc>
        <w:tc>
          <w:tcPr>
            <w:tcW w:w="930" w:type="dxa"/>
            <w:vAlign w:val="center"/>
          </w:tcPr>
          <w:p w14:paraId="41926C28" w14:textId="77777777" w:rsidR="00EF7606" w:rsidRDefault="00EF7606" w:rsidP="00A26A46">
            <w:pPr>
              <w:jc w:val="center"/>
            </w:pPr>
            <w:r>
              <w:rPr>
                <w:color w:val="000000"/>
              </w:rPr>
              <w:t>5</w:t>
            </w:r>
          </w:p>
        </w:tc>
        <w:tc>
          <w:tcPr>
            <w:tcW w:w="1037" w:type="dxa"/>
            <w:vAlign w:val="center"/>
          </w:tcPr>
          <w:p w14:paraId="294C03E3" w14:textId="77777777" w:rsidR="00EF7606" w:rsidRPr="0000068E" w:rsidRDefault="00EF7606" w:rsidP="00A26A46">
            <w:pPr>
              <w:jc w:val="center"/>
            </w:pPr>
            <w:r w:rsidRPr="0000068E">
              <w:rPr>
                <w:rFonts w:ascii="Agency FB" w:hAnsi="Agency FB"/>
                <w:color w:val="000000"/>
              </w:rPr>
              <w:t>√</w:t>
            </w:r>
          </w:p>
        </w:tc>
        <w:tc>
          <w:tcPr>
            <w:tcW w:w="937" w:type="dxa"/>
          </w:tcPr>
          <w:p w14:paraId="643DEEA2" w14:textId="77777777" w:rsidR="00EF7606" w:rsidRPr="0000068E" w:rsidRDefault="00EF7606" w:rsidP="00A26A46">
            <w:pPr>
              <w:jc w:val="center"/>
              <w:rPr>
                <w:color w:val="000000"/>
              </w:rPr>
            </w:pPr>
          </w:p>
        </w:tc>
        <w:tc>
          <w:tcPr>
            <w:tcW w:w="1048" w:type="dxa"/>
            <w:vAlign w:val="center"/>
          </w:tcPr>
          <w:p w14:paraId="36F8AE85" w14:textId="77777777" w:rsidR="00EF7606" w:rsidRDefault="00EF7606" w:rsidP="00A26A46">
            <w:pPr>
              <w:jc w:val="both"/>
            </w:pPr>
            <w:r>
              <w:rPr>
                <w:color w:val="000000"/>
              </w:rPr>
              <w:t>8.66%</w:t>
            </w:r>
          </w:p>
        </w:tc>
        <w:tc>
          <w:tcPr>
            <w:tcW w:w="760" w:type="dxa"/>
            <w:vAlign w:val="center"/>
          </w:tcPr>
          <w:p w14:paraId="7D4BECD8" w14:textId="77777777" w:rsidR="00EF7606" w:rsidRDefault="00EF7606" w:rsidP="00A26A46">
            <w:pPr>
              <w:jc w:val="both"/>
              <w:rPr>
                <w:color w:val="000000"/>
              </w:rPr>
            </w:pPr>
            <w:r>
              <w:rPr>
                <w:color w:val="000000"/>
              </w:rPr>
              <w:t>5</w:t>
            </w:r>
          </w:p>
        </w:tc>
        <w:tc>
          <w:tcPr>
            <w:tcW w:w="917" w:type="dxa"/>
            <w:vAlign w:val="center"/>
          </w:tcPr>
          <w:p w14:paraId="64CA1413" w14:textId="77777777" w:rsidR="00EF7606" w:rsidRDefault="00EF7606" w:rsidP="00A26A46">
            <w:pPr>
              <w:jc w:val="both"/>
            </w:pPr>
            <w:r>
              <w:rPr>
                <w:color w:val="000000"/>
              </w:rPr>
              <w:t>0.89</w:t>
            </w:r>
          </w:p>
        </w:tc>
        <w:tc>
          <w:tcPr>
            <w:tcW w:w="988" w:type="dxa"/>
            <w:vAlign w:val="bottom"/>
          </w:tcPr>
          <w:p w14:paraId="3771159D" w14:textId="77777777" w:rsidR="00EF7606" w:rsidRDefault="00EF7606" w:rsidP="00A26A46">
            <w:pPr>
              <w:jc w:val="both"/>
            </w:pPr>
            <w:r>
              <w:rPr>
                <w:rFonts w:ascii="Calibri" w:hAnsi="Calibri" w:cs="Calibri"/>
                <w:color w:val="000000"/>
              </w:rPr>
              <w:t>4</w:t>
            </w:r>
          </w:p>
        </w:tc>
      </w:tr>
      <w:tr w:rsidR="00EF7606" w14:paraId="0E64959B" w14:textId="77777777" w:rsidTr="00A26A46">
        <w:trPr>
          <w:trHeight w:val="354"/>
        </w:trPr>
        <w:tc>
          <w:tcPr>
            <w:tcW w:w="1498" w:type="dxa"/>
            <w:vAlign w:val="center"/>
          </w:tcPr>
          <w:p w14:paraId="0AC4F903" w14:textId="77777777" w:rsidR="00EF7606" w:rsidRDefault="00EF7606" w:rsidP="00A26A46">
            <w:pPr>
              <w:jc w:val="center"/>
            </w:pPr>
            <w:r>
              <w:rPr>
                <w:b/>
                <w:bCs/>
                <w:color w:val="000000"/>
              </w:rPr>
              <w:t>ICBEPMF1S1</w:t>
            </w:r>
          </w:p>
        </w:tc>
        <w:tc>
          <w:tcPr>
            <w:tcW w:w="1240" w:type="dxa"/>
            <w:vAlign w:val="center"/>
          </w:tcPr>
          <w:p w14:paraId="419190DA" w14:textId="77777777" w:rsidR="00EF7606" w:rsidRDefault="00EF7606" w:rsidP="00A26A46">
            <w:pPr>
              <w:jc w:val="center"/>
            </w:pPr>
            <w:r>
              <w:rPr>
                <w:color w:val="000000"/>
              </w:rPr>
              <w:t>3.42%</w:t>
            </w:r>
          </w:p>
        </w:tc>
        <w:tc>
          <w:tcPr>
            <w:tcW w:w="930" w:type="dxa"/>
            <w:vAlign w:val="center"/>
          </w:tcPr>
          <w:p w14:paraId="086ECDD8" w14:textId="77777777" w:rsidR="00EF7606" w:rsidRDefault="00EF7606" w:rsidP="00A26A46">
            <w:pPr>
              <w:jc w:val="center"/>
            </w:pPr>
            <w:r>
              <w:rPr>
                <w:color w:val="000000"/>
              </w:rPr>
              <w:t>7</w:t>
            </w:r>
          </w:p>
        </w:tc>
        <w:tc>
          <w:tcPr>
            <w:tcW w:w="1037" w:type="dxa"/>
            <w:vAlign w:val="center"/>
          </w:tcPr>
          <w:p w14:paraId="1DDB985C" w14:textId="77777777" w:rsidR="00EF7606" w:rsidRPr="0000068E" w:rsidRDefault="00EF7606" w:rsidP="00A26A46">
            <w:pPr>
              <w:jc w:val="center"/>
            </w:pPr>
            <w:r w:rsidRPr="0000068E">
              <w:rPr>
                <w:rFonts w:ascii="Agency FB" w:hAnsi="Agency FB"/>
                <w:color w:val="000000"/>
              </w:rPr>
              <w:t>√</w:t>
            </w:r>
          </w:p>
        </w:tc>
        <w:tc>
          <w:tcPr>
            <w:tcW w:w="937" w:type="dxa"/>
          </w:tcPr>
          <w:p w14:paraId="0C70C071" w14:textId="77777777" w:rsidR="00EF7606" w:rsidRPr="0000068E" w:rsidRDefault="00EF7606" w:rsidP="00A26A46">
            <w:pPr>
              <w:jc w:val="center"/>
              <w:rPr>
                <w:color w:val="000000"/>
              </w:rPr>
            </w:pPr>
          </w:p>
        </w:tc>
        <w:tc>
          <w:tcPr>
            <w:tcW w:w="1048" w:type="dxa"/>
            <w:vAlign w:val="center"/>
          </w:tcPr>
          <w:p w14:paraId="5C93594F" w14:textId="77777777" w:rsidR="00EF7606" w:rsidRDefault="00EF7606" w:rsidP="00A26A46">
            <w:pPr>
              <w:jc w:val="both"/>
            </w:pPr>
            <w:r>
              <w:rPr>
                <w:color w:val="000000"/>
              </w:rPr>
              <w:t>8.10%</w:t>
            </w:r>
          </w:p>
        </w:tc>
        <w:tc>
          <w:tcPr>
            <w:tcW w:w="760" w:type="dxa"/>
            <w:vAlign w:val="center"/>
          </w:tcPr>
          <w:p w14:paraId="1BD616A0" w14:textId="77777777" w:rsidR="00EF7606" w:rsidRDefault="00EF7606" w:rsidP="00A26A46">
            <w:pPr>
              <w:jc w:val="both"/>
              <w:rPr>
                <w:color w:val="000000"/>
              </w:rPr>
            </w:pPr>
            <w:r>
              <w:rPr>
                <w:color w:val="000000"/>
              </w:rPr>
              <w:t>6</w:t>
            </w:r>
          </w:p>
        </w:tc>
        <w:tc>
          <w:tcPr>
            <w:tcW w:w="917" w:type="dxa"/>
            <w:vAlign w:val="center"/>
          </w:tcPr>
          <w:p w14:paraId="7F2EB351" w14:textId="77777777" w:rsidR="00EF7606" w:rsidRDefault="00EF7606" w:rsidP="00A26A46">
            <w:pPr>
              <w:jc w:val="both"/>
            </w:pPr>
            <w:r>
              <w:rPr>
                <w:color w:val="000000"/>
              </w:rPr>
              <w:t>0.55</w:t>
            </w:r>
          </w:p>
        </w:tc>
        <w:tc>
          <w:tcPr>
            <w:tcW w:w="988" w:type="dxa"/>
            <w:vAlign w:val="bottom"/>
          </w:tcPr>
          <w:p w14:paraId="3DA2174C" w14:textId="77777777" w:rsidR="00EF7606" w:rsidRDefault="00EF7606" w:rsidP="00A26A46">
            <w:pPr>
              <w:jc w:val="both"/>
            </w:pPr>
            <w:r>
              <w:rPr>
                <w:rFonts w:ascii="Calibri" w:hAnsi="Calibri" w:cs="Calibri"/>
                <w:color w:val="000000"/>
              </w:rPr>
              <w:t>18</w:t>
            </w:r>
          </w:p>
        </w:tc>
      </w:tr>
      <w:tr w:rsidR="00EF7606" w14:paraId="2843C4C6" w14:textId="77777777" w:rsidTr="00A26A46">
        <w:trPr>
          <w:trHeight w:val="354"/>
        </w:trPr>
        <w:tc>
          <w:tcPr>
            <w:tcW w:w="1498" w:type="dxa"/>
            <w:vAlign w:val="center"/>
          </w:tcPr>
          <w:p w14:paraId="43CC0A5D" w14:textId="77777777" w:rsidR="00EF7606" w:rsidRDefault="00EF7606" w:rsidP="00A26A46">
            <w:pPr>
              <w:jc w:val="center"/>
            </w:pPr>
            <w:r>
              <w:rPr>
                <w:b/>
                <w:bCs/>
                <w:color w:val="000000"/>
              </w:rPr>
              <w:t>IFIC1STMF</w:t>
            </w:r>
          </w:p>
        </w:tc>
        <w:tc>
          <w:tcPr>
            <w:tcW w:w="1240" w:type="dxa"/>
            <w:vAlign w:val="center"/>
          </w:tcPr>
          <w:p w14:paraId="05B66E53" w14:textId="77777777" w:rsidR="00EF7606" w:rsidRDefault="00EF7606" w:rsidP="00A26A46">
            <w:pPr>
              <w:jc w:val="center"/>
            </w:pPr>
            <w:r>
              <w:rPr>
                <w:color w:val="000000"/>
              </w:rPr>
              <w:t>-2.26%</w:t>
            </w:r>
          </w:p>
        </w:tc>
        <w:tc>
          <w:tcPr>
            <w:tcW w:w="930" w:type="dxa"/>
            <w:vAlign w:val="center"/>
          </w:tcPr>
          <w:p w14:paraId="42B32624" w14:textId="77777777" w:rsidR="00EF7606" w:rsidRDefault="00EF7606" w:rsidP="00A26A46">
            <w:pPr>
              <w:jc w:val="center"/>
            </w:pPr>
            <w:r>
              <w:rPr>
                <w:color w:val="000000"/>
              </w:rPr>
              <w:t>18</w:t>
            </w:r>
          </w:p>
        </w:tc>
        <w:tc>
          <w:tcPr>
            <w:tcW w:w="1037" w:type="dxa"/>
            <w:vAlign w:val="center"/>
          </w:tcPr>
          <w:p w14:paraId="6DCB118F" w14:textId="77777777" w:rsidR="00EF7606" w:rsidRPr="0000068E" w:rsidRDefault="00EF7606" w:rsidP="00A26A46">
            <w:pPr>
              <w:jc w:val="center"/>
            </w:pPr>
          </w:p>
        </w:tc>
        <w:tc>
          <w:tcPr>
            <w:tcW w:w="937" w:type="dxa"/>
          </w:tcPr>
          <w:p w14:paraId="226D9D07" w14:textId="77777777" w:rsidR="00EF7606" w:rsidRPr="0000068E" w:rsidRDefault="00EF7606" w:rsidP="00A26A46">
            <w:pPr>
              <w:jc w:val="center"/>
              <w:rPr>
                <w:color w:val="000000"/>
              </w:rPr>
            </w:pPr>
            <w:r w:rsidRPr="0000068E">
              <w:rPr>
                <w:rFonts w:ascii="Agency FB" w:hAnsi="Agency FB"/>
                <w:color w:val="000000"/>
              </w:rPr>
              <w:t>√</w:t>
            </w:r>
          </w:p>
        </w:tc>
        <w:tc>
          <w:tcPr>
            <w:tcW w:w="1048" w:type="dxa"/>
            <w:vAlign w:val="center"/>
          </w:tcPr>
          <w:p w14:paraId="622DD59B" w14:textId="77777777" w:rsidR="00EF7606" w:rsidRDefault="00EF7606" w:rsidP="00A26A46">
            <w:pPr>
              <w:jc w:val="both"/>
            </w:pPr>
            <w:r>
              <w:rPr>
                <w:color w:val="000000"/>
              </w:rPr>
              <w:t>7.58%</w:t>
            </w:r>
          </w:p>
        </w:tc>
        <w:tc>
          <w:tcPr>
            <w:tcW w:w="760" w:type="dxa"/>
            <w:vAlign w:val="center"/>
          </w:tcPr>
          <w:p w14:paraId="136880C4" w14:textId="77777777" w:rsidR="00EF7606" w:rsidRDefault="00EF7606" w:rsidP="00A26A46">
            <w:pPr>
              <w:jc w:val="both"/>
              <w:rPr>
                <w:color w:val="000000"/>
              </w:rPr>
            </w:pPr>
            <w:r>
              <w:rPr>
                <w:color w:val="000000"/>
              </w:rPr>
              <w:t>14</w:t>
            </w:r>
          </w:p>
        </w:tc>
        <w:tc>
          <w:tcPr>
            <w:tcW w:w="917" w:type="dxa"/>
            <w:vAlign w:val="center"/>
          </w:tcPr>
          <w:p w14:paraId="2B20906F" w14:textId="77777777" w:rsidR="00EF7606" w:rsidRDefault="00EF7606" w:rsidP="00A26A46">
            <w:pPr>
              <w:jc w:val="both"/>
            </w:pPr>
            <w:r>
              <w:rPr>
                <w:color w:val="000000"/>
              </w:rPr>
              <w:t>0.77</w:t>
            </w:r>
          </w:p>
        </w:tc>
        <w:tc>
          <w:tcPr>
            <w:tcW w:w="988" w:type="dxa"/>
            <w:vAlign w:val="bottom"/>
          </w:tcPr>
          <w:p w14:paraId="1B51B2C4" w14:textId="77777777" w:rsidR="00EF7606" w:rsidRDefault="00EF7606" w:rsidP="00A26A46">
            <w:pPr>
              <w:jc w:val="both"/>
            </w:pPr>
            <w:r>
              <w:rPr>
                <w:rFonts w:ascii="Calibri" w:hAnsi="Calibri" w:cs="Calibri"/>
                <w:color w:val="000000"/>
              </w:rPr>
              <w:t>11</w:t>
            </w:r>
          </w:p>
        </w:tc>
      </w:tr>
      <w:tr w:rsidR="00EF7606" w14:paraId="1F8144BD" w14:textId="77777777" w:rsidTr="00A26A46">
        <w:trPr>
          <w:trHeight w:val="354"/>
        </w:trPr>
        <w:tc>
          <w:tcPr>
            <w:tcW w:w="1498" w:type="dxa"/>
            <w:vAlign w:val="center"/>
          </w:tcPr>
          <w:p w14:paraId="4AE0A2EA" w14:textId="77777777" w:rsidR="00EF7606" w:rsidRDefault="00EF7606" w:rsidP="00A26A46">
            <w:pPr>
              <w:jc w:val="center"/>
            </w:pPr>
            <w:r>
              <w:rPr>
                <w:b/>
                <w:bCs/>
                <w:color w:val="000000"/>
              </w:rPr>
              <w:t>IFILISLMF1</w:t>
            </w:r>
          </w:p>
        </w:tc>
        <w:tc>
          <w:tcPr>
            <w:tcW w:w="1240" w:type="dxa"/>
            <w:vAlign w:val="center"/>
          </w:tcPr>
          <w:p w14:paraId="26D6D3AF" w14:textId="77777777" w:rsidR="00EF7606" w:rsidRDefault="00EF7606" w:rsidP="00A26A46">
            <w:pPr>
              <w:jc w:val="center"/>
            </w:pPr>
            <w:r>
              <w:rPr>
                <w:color w:val="000000"/>
              </w:rPr>
              <w:t>0.07%</w:t>
            </w:r>
          </w:p>
        </w:tc>
        <w:tc>
          <w:tcPr>
            <w:tcW w:w="930" w:type="dxa"/>
            <w:vAlign w:val="center"/>
          </w:tcPr>
          <w:p w14:paraId="1A83B0E6" w14:textId="77777777" w:rsidR="00EF7606" w:rsidRDefault="00EF7606" w:rsidP="00A26A46">
            <w:pPr>
              <w:jc w:val="center"/>
            </w:pPr>
            <w:r>
              <w:rPr>
                <w:color w:val="000000"/>
              </w:rPr>
              <w:t>11</w:t>
            </w:r>
          </w:p>
        </w:tc>
        <w:tc>
          <w:tcPr>
            <w:tcW w:w="1037" w:type="dxa"/>
            <w:vAlign w:val="center"/>
          </w:tcPr>
          <w:p w14:paraId="4926369B" w14:textId="77777777" w:rsidR="00EF7606" w:rsidRPr="0000068E" w:rsidRDefault="00EF7606" w:rsidP="00A26A46">
            <w:pPr>
              <w:jc w:val="center"/>
            </w:pPr>
          </w:p>
        </w:tc>
        <w:tc>
          <w:tcPr>
            <w:tcW w:w="937" w:type="dxa"/>
          </w:tcPr>
          <w:p w14:paraId="5A09A3FC" w14:textId="77777777" w:rsidR="00EF7606" w:rsidRPr="0000068E" w:rsidRDefault="00EF7606" w:rsidP="00A26A46">
            <w:pPr>
              <w:jc w:val="center"/>
              <w:rPr>
                <w:color w:val="000000"/>
              </w:rPr>
            </w:pPr>
            <w:r w:rsidRPr="0000068E">
              <w:rPr>
                <w:rFonts w:ascii="Agency FB" w:hAnsi="Agency FB"/>
                <w:color w:val="000000"/>
              </w:rPr>
              <w:t>√</w:t>
            </w:r>
          </w:p>
        </w:tc>
        <w:tc>
          <w:tcPr>
            <w:tcW w:w="1048" w:type="dxa"/>
            <w:vAlign w:val="center"/>
          </w:tcPr>
          <w:p w14:paraId="3EE4E5EB" w14:textId="77777777" w:rsidR="00EF7606" w:rsidRDefault="00EF7606" w:rsidP="00A26A46">
            <w:pPr>
              <w:jc w:val="both"/>
            </w:pPr>
            <w:r>
              <w:rPr>
                <w:color w:val="000000"/>
              </w:rPr>
              <w:t>6.30%</w:t>
            </w:r>
          </w:p>
        </w:tc>
        <w:tc>
          <w:tcPr>
            <w:tcW w:w="760" w:type="dxa"/>
            <w:vAlign w:val="center"/>
          </w:tcPr>
          <w:p w14:paraId="6E554D5F" w14:textId="77777777" w:rsidR="00EF7606" w:rsidRDefault="00EF7606" w:rsidP="00A26A46">
            <w:pPr>
              <w:jc w:val="both"/>
              <w:rPr>
                <w:color w:val="000000"/>
              </w:rPr>
            </w:pPr>
            <w:r>
              <w:rPr>
                <w:color w:val="000000"/>
              </w:rPr>
              <w:t>19</w:t>
            </w:r>
          </w:p>
        </w:tc>
        <w:tc>
          <w:tcPr>
            <w:tcW w:w="917" w:type="dxa"/>
            <w:vAlign w:val="center"/>
          </w:tcPr>
          <w:p w14:paraId="59863005" w14:textId="77777777" w:rsidR="00EF7606" w:rsidRDefault="00EF7606" w:rsidP="00A26A46">
            <w:pPr>
              <w:jc w:val="both"/>
            </w:pPr>
            <w:r>
              <w:rPr>
                <w:color w:val="000000"/>
              </w:rPr>
              <w:t>0.66</w:t>
            </w:r>
          </w:p>
        </w:tc>
        <w:tc>
          <w:tcPr>
            <w:tcW w:w="988" w:type="dxa"/>
            <w:vAlign w:val="bottom"/>
          </w:tcPr>
          <w:p w14:paraId="0BED090F" w14:textId="77777777" w:rsidR="00EF7606" w:rsidRDefault="00EF7606" w:rsidP="00A26A46">
            <w:pPr>
              <w:jc w:val="both"/>
            </w:pPr>
            <w:r>
              <w:rPr>
                <w:rFonts w:ascii="Calibri" w:hAnsi="Calibri" w:cs="Calibri"/>
                <w:color w:val="000000"/>
              </w:rPr>
              <w:t>16</w:t>
            </w:r>
          </w:p>
        </w:tc>
      </w:tr>
      <w:tr w:rsidR="00EF7606" w14:paraId="4B606530" w14:textId="77777777" w:rsidTr="00A26A46">
        <w:trPr>
          <w:trHeight w:val="354"/>
        </w:trPr>
        <w:tc>
          <w:tcPr>
            <w:tcW w:w="1498" w:type="dxa"/>
            <w:vAlign w:val="center"/>
          </w:tcPr>
          <w:p w14:paraId="3D36DAA8" w14:textId="77777777" w:rsidR="00EF7606" w:rsidRDefault="00EF7606" w:rsidP="00A26A46">
            <w:pPr>
              <w:jc w:val="center"/>
            </w:pPr>
            <w:r>
              <w:rPr>
                <w:b/>
                <w:bCs/>
                <w:color w:val="000000"/>
              </w:rPr>
              <w:t>MBL1STMF</w:t>
            </w:r>
          </w:p>
        </w:tc>
        <w:tc>
          <w:tcPr>
            <w:tcW w:w="1240" w:type="dxa"/>
            <w:vAlign w:val="center"/>
          </w:tcPr>
          <w:p w14:paraId="7C6F2A42" w14:textId="77777777" w:rsidR="00EF7606" w:rsidRDefault="00EF7606" w:rsidP="00A26A46">
            <w:pPr>
              <w:jc w:val="center"/>
            </w:pPr>
            <w:r>
              <w:rPr>
                <w:color w:val="000000"/>
              </w:rPr>
              <w:t>2.74%</w:t>
            </w:r>
          </w:p>
        </w:tc>
        <w:tc>
          <w:tcPr>
            <w:tcW w:w="930" w:type="dxa"/>
            <w:vAlign w:val="center"/>
          </w:tcPr>
          <w:p w14:paraId="4FB50DE7" w14:textId="77777777" w:rsidR="00EF7606" w:rsidRDefault="00EF7606" w:rsidP="00A26A46">
            <w:pPr>
              <w:jc w:val="center"/>
            </w:pPr>
            <w:r>
              <w:rPr>
                <w:color w:val="000000"/>
              </w:rPr>
              <w:t>8</w:t>
            </w:r>
          </w:p>
        </w:tc>
        <w:tc>
          <w:tcPr>
            <w:tcW w:w="1037" w:type="dxa"/>
            <w:vAlign w:val="center"/>
          </w:tcPr>
          <w:p w14:paraId="6FE32E5B" w14:textId="77777777" w:rsidR="00EF7606" w:rsidRPr="0000068E" w:rsidRDefault="00EF7606" w:rsidP="00A26A46">
            <w:pPr>
              <w:jc w:val="center"/>
            </w:pPr>
          </w:p>
        </w:tc>
        <w:tc>
          <w:tcPr>
            <w:tcW w:w="937" w:type="dxa"/>
          </w:tcPr>
          <w:p w14:paraId="79765849" w14:textId="77777777" w:rsidR="00EF7606" w:rsidRPr="0000068E" w:rsidRDefault="00EF7606" w:rsidP="00A26A46">
            <w:pPr>
              <w:jc w:val="center"/>
              <w:rPr>
                <w:color w:val="000000"/>
              </w:rPr>
            </w:pPr>
            <w:r w:rsidRPr="0000068E">
              <w:rPr>
                <w:rFonts w:ascii="Agency FB" w:hAnsi="Agency FB"/>
                <w:color w:val="000000"/>
              </w:rPr>
              <w:t>√</w:t>
            </w:r>
          </w:p>
        </w:tc>
        <w:tc>
          <w:tcPr>
            <w:tcW w:w="1048" w:type="dxa"/>
            <w:vAlign w:val="center"/>
          </w:tcPr>
          <w:p w14:paraId="4C25D2D8" w14:textId="77777777" w:rsidR="00EF7606" w:rsidRDefault="00EF7606" w:rsidP="00A26A46">
            <w:pPr>
              <w:jc w:val="both"/>
            </w:pPr>
            <w:r>
              <w:rPr>
                <w:color w:val="000000"/>
              </w:rPr>
              <w:t>8.10%</w:t>
            </w:r>
          </w:p>
        </w:tc>
        <w:tc>
          <w:tcPr>
            <w:tcW w:w="760" w:type="dxa"/>
            <w:vAlign w:val="center"/>
          </w:tcPr>
          <w:p w14:paraId="621678B7" w14:textId="77777777" w:rsidR="00EF7606" w:rsidRDefault="00EF7606" w:rsidP="00A26A46">
            <w:pPr>
              <w:jc w:val="both"/>
              <w:rPr>
                <w:color w:val="000000"/>
              </w:rPr>
            </w:pPr>
            <w:r>
              <w:rPr>
                <w:color w:val="000000"/>
              </w:rPr>
              <w:t>7</w:t>
            </w:r>
          </w:p>
        </w:tc>
        <w:tc>
          <w:tcPr>
            <w:tcW w:w="917" w:type="dxa"/>
            <w:vAlign w:val="center"/>
          </w:tcPr>
          <w:p w14:paraId="1321F2EE" w14:textId="77777777" w:rsidR="00EF7606" w:rsidRDefault="00EF7606" w:rsidP="00A26A46">
            <w:pPr>
              <w:jc w:val="both"/>
            </w:pPr>
            <w:r>
              <w:rPr>
                <w:color w:val="000000"/>
              </w:rPr>
              <w:t>0.66</w:t>
            </w:r>
          </w:p>
        </w:tc>
        <w:tc>
          <w:tcPr>
            <w:tcW w:w="988" w:type="dxa"/>
            <w:vAlign w:val="bottom"/>
          </w:tcPr>
          <w:p w14:paraId="18713DE6" w14:textId="77777777" w:rsidR="00EF7606" w:rsidRDefault="00EF7606" w:rsidP="00A26A46">
            <w:pPr>
              <w:jc w:val="both"/>
            </w:pPr>
            <w:r>
              <w:rPr>
                <w:rFonts w:ascii="Calibri" w:hAnsi="Calibri" w:cs="Calibri"/>
                <w:color w:val="000000"/>
              </w:rPr>
              <w:t>15</w:t>
            </w:r>
          </w:p>
        </w:tc>
      </w:tr>
      <w:tr w:rsidR="00EF7606" w14:paraId="52DE626A" w14:textId="77777777" w:rsidTr="00A26A46">
        <w:trPr>
          <w:trHeight w:val="354"/>
        </w:trPr>
        <w:tc>
          <w:tcPr>
            <w:tcW w:w="1498" w:type="dxa"/>
            <w:vAlign w:val="center"/>
          </w:tcPr>
          <w:p w14:paraId="4C16CAF6" w14:textId="77777777" w:rsidR="00EF7606" w:rsidRDefault="00EF7606" w:rsidP="00A26A46">
            <w:pPr>
              <w:jc w:val="center"/>
            </w:pPr>
            <w:r>
              <w:rPr>
                <w:b/>
                <w:bCs/>
                <w:color w:val="000000"/>
              </w:rPr>
              <w:t>PF1STMF</w:t>
            </w:r>
          </w:p>
        </w:tc>
        <w:tc>
          <w:tcPr>
            <w:tcW w:w="1240" w:type="dxa"/>
            <w:vAlign w:val="center"/>
          </w:tcPr>
          <w:p w14:paraId="2175281E" w14:textId="77777777" w:rsidR="00EF7606" w:rsidRDefault="00EF7606" w:rsidP="00A26A46">
            <w:pPr>
              <w:jc w:val="center"/>
            </w:pPr>
            <w:r>
              <w:rPr>
                <w:color w:val="000000"/>
              </w:rPr>
              <w:t>9.97%</w:t>
            </w:r>
          </w:p>
        </w:tc>
        <w:tc>
          <w:tcPr>
            <w:tcW w:w="930" w:type="dxa"/>
            <w:vAlign w:val="center"/>
          </w:tcPr>
          <w:p w14:paraId="2690DE31" w14:textId="77777777" w:rsidR="00EF7606" w:rsidRDefault="00EF7606" w:rsidP="00A26A46">
            <w:pPr>
              <w:jc w:val="center"/>
            </w:pPr>
            <w:r>
              <w:rPr>
                <w:color w:val="000000"/>
              </w:rPr>
              <w:t>3</w:t>
            </w:r>
          </w:p>
        </w:tc>
        <w:tc>
          <w:tcPr>
            <w:tcW w:w="1037" w:type="dxa"/>
            <w:vAlign w:val="center"/>
          </w:tcPr>
          <w:p w14:paraId="1EA8C8BB" w14:textId="77777777" w:rsidR="00EF7606" w:rsidRPr="0000068E" w:rsidRDefault="00EF7606" w:rsidP="00A26A46">
            <w:pPr>
              <w:jc w:val="center"/>
            </w:pPr>
            <w:r w:rsidRPr="0000068E">
              <w:rPr>
                <w:rFonts w:ascii="Agency FB" w:hAnsi="Agency FB"/>
                <w:color w:val="000000"/>
              </w:rPr>
              <w:t>√</w:t>
            </w:r>
          </w:p>
        </w:tc>
        <w:tc>
          <w:tcPr>
            <w:tcW w:w="937" w:type="dxa"/>
          </w:tcPr>
          <w:p w14:paraId="4C2979FC" w14:textId="77777777" w:rsidR="00EF7606" w:rsidRPr="0000068E" w:rsidRDefault="00EF7606" w:rsidP="00A26A46">
            <w:pPr>
              <w:jc w:val="center"/>
              <w:rPr>
                <w:color w:val="000000"/>
              </w:rPr>
            </w:pPr>
          </w:p>
        </w:tc>
        <w:tc>
          <w:tcPr>
            <w:tcW w:w="1048" w:type="dxa"/>
            <w:vAlign w:val="center"/>
          </w:tcPr>
          <w:p w14:paraId="6E39A065" w14:textId="77777777" w:rsidR="00EF7606" w:rsidRDefault="00EF7606" w:rsidP="00A26A46">
            <w:pPr>
              <w:jc w:val="both"/>
            </w:pPr>
            <w:r>
              <w:rPr>
                <w:color w:val="000000"/>
              </w:rPr>
              <w:t>10.61%</w:t>
            </w:r>
          </w:p>
        </w:tc>
        <w:tc>
          <w:tcPr>
            <w:tcW w:w="760" w:type="dxa"/>
            <w:vAlign w:val="center"/>
          </w:tcPr>
          <w:p w14:paraId="33CB3974" w14:textId="77777777" w:rsidR="00EF7606" w:rsidRDefault="00EF7606" w:rsidP="00A26A46">
            <w:pPr>
              <w:jc w:val="both"/>
              <w:rPr>
                <w:color w:val="000000"/>
              </w:rPr>
            </w:pPr>
            <w:r>
              <w:rPr>
                <w:color w:val="000000"/>
              </w:rPr>
              <w:t>2</w:t>
            </w:r>
          </w:p>
        </w:tc>
        <w:tc>
          <w:tcPr>
            <w:tcW w:w="917" w:type="dxa"/>
            <w:vAlign w:val="center"/>
          </w:tcPr>
          <w:p w14:paraId="1667ED3C" w14:textId="77777777" w:rsidR="00EF7606" w:rsidRDefault="00EF7606" w:rsidP="00A26A46">
            <w:pPr>
              <w:jc w:val="both"/>
            </w:pPr>
            <w:r>
              <w:rPr>
                <w:color w:val="000000"/>
              </w:rPr>
              <w:t>0.82</w:t>
            </w:r>
          </w:p>
        </w:tc>
        <w:tc>
          <w:tcPr>
            <w:tcW w:w="988" w:type="dxa"/>
            <w:vAlign w:val="bottom"/>
          </w:tcPr>
          <w:p w14:paraId="2C04E553" w14:textId="77777777" w:rsidR="00EF7606" w:rsidRDefault="00EF7606" w:rsidP="00A26A46">
            <w:pPr>
              <w:jc w:val="both"/>
            </w:pPr>
            <w:r>
              <w:rPr>
                <w:rFonts w:ascii="Calibri" w:hAnsi="Calibri" w:cs="Calibri"/>
                <w:color w:val="000000"/>
              </w:rPr>
              <w:t>8</w:t>
            </w:r>
          </w:p>
        </w:tc>
      </w:tr>
      <w:tr w:rsidR="00EF7606" w14:paraId="74EA7BBD" w14:textId="77777777" w:rsidTr="00A26A46">
        <w:trPr>
          <w:trHeight w:val="354"/>
        </w:trPr>
        <w:tc>
          <w:tcPr>
            <w:tcW w:w="1498" w:type="dxa"/>
            <w:vAlign w:val="center"/>
          </w:tcPr>
          <w:p w14:paraId="38725E5D" w14:textId="77777777" w:rsidR="00EF7606" w:rsidRDefault="00EF7606" w:rsidP="00A26A46">
            <w:pPr>
              <w:jc w:val="center"/>
            </w:pPr>
            <w:r>
              <w:rPr>
                <w:b/>
                <w:bCs/>
                <w:color w:val="000000"/>
              </w:rPr>
              <w:t>PHPMF1</w:t>
            </w:r>
          </w:p>
        </w:tc>
        <w:tc>
          <w:tcPr>
            <w:tcW w:w="1240" w:type="dxa"/>
            <w:vAlign w:val="center"/>
          </w:tcPr>
          <w:p w14:paraId="169AF82B" w14:textId="77777777" w:rsidR="00EF7606" w:rsidRDefault="00EF7606" w:rsidP="00A26A46">
            <w:pPr>
              <w:jc w:val="center"/>
            </w:pPr>
            <w:r>
              <w:rPr>
                <w:color w:val="000000"/>
              </w:rPr>
              <w:t>-1.02%</w:t>
            </w:r>
          </w:p>
        </w:tc>
        <w:tc>
          <w:tcPr>
            <w:tcW w:w="930" w:type="dxa"/>
            <w:vAlign w:val="center"/>
          </w:tcPr>
          <w:p w14:paraId="522F500E" w14:textId="77777777" w:rsidR="00EF7606" w:rsidRDefault="00EF7606" w:rsidP="00A26A46">
            <w:pPr>
              <w:jc w:val="center"/>
            </w:pPr>
            <w:r>
              <w:rPr>
                <w:color w:val="000000"/>
              </w:rPr>
              <w:t>16</w:t>
            </w:r>
          </w:p>
        </w:tc>
        <w:tc>
          <w:tcPr>
            <w:tcW w:w="1037" w:type="dxa"/>
            <w:vAlign w:val="center"/>
          </w:tcPr>
          <w:p w14:paraId="7C1EF908" w14:textId="77777777" w:rsidR="00EF7606" w:rsidRPr="0000068E" w:rsidRDefault="00EF7606" w:rsidP="00A26A46">
            <w:pPr>
              <w:jc w:val="center"/>
            </w:pPr>
          </w:p>
        </w:tc>
        <w:tc>
          <w:tcPr>
            <w:tcW w:w="937" w:type="dxa"/>
          </w:tcPr>
          <w:p w14:paraId="4B44A0D7" w14:textId="77777777" w:rsidR="00EF7606" w:rsidRPr="0000068E" w:rsidRDefault="00EF7606" w:rsidP="00A26A46">
            <w:pPr>
              <w:jc w:val="center"/>
              <w:rPr>
                <w:color w:val="000000"/>
              </w:rPr>
            </w:pPr>
            <w:r w:rsidRPr="0000068E">
              <w:rPr>
                <w:rFonts w:ascii="Agency FB" w:hAnsi="Agency FB"/>
                <w:color w:val="000000"/>
              </w:rPr>
              <w:t>√</w:t>
            </w:r>
          </w:p>
        </w:tc>
        <w:tc>
          <w:tcPr>
            <w:tcW w:w="1048" w:type="dxa"/>
            <w:vAlign w:val="center"/>
          </w:tcPr>
          <w:p w14:paraId="22DB388A" w14:textId="77777777" w:rsidR="00EF7606" w:rsidRDefault="00EF7606" w:rsidP="00A26A46">
            <w:pPr>
              <w:jc w:val="both"/>
            </w:pPr>
            <w:r>
              <w:rPr>
                <w:color w:val="000000"/>
              </w:rPr>
              <w:t>7.82%</w:t>
            </w:r>
          </w:p>
        </w:tc>
        <w:tc>
          <w:tcPr>
            <w:tcW w:w="760" w:type="dxa"/>
            <w:vAlign w:val="center"/>
          </w:tcPr>
          <w:p w14:paraId="4F14D734" w14:textId="77777777" w:rsidR="00EF7606" w:rsidRDefault="00EF7606" w:rsidP="00A26A46">
            <w:pPr>
              <w:jc w:val="both"/>
              <w:rPr>
                <w:color w:val="000000"/>
              </w:rPr>
            </w:pPr>
            <w:r>
              <w:rPr>
                <w:color w:val="000000"/>
              </w:rPr>
              <w:t>11</w:t>
            </w:r>
          </w:p>
        </w:tc>
        <w:tc>
          <w:tcPr>
            <w:tcW w:w="917" w:type="dxa"/>
            <w:vAlign w:val="center"/>
          </w:tcPr>
          <w:p w14:paraId="6D90D442" w14:textId="77777777" w:rsidR="00EF7606" w:rsidRDefault="00EF7606" w:rsidP="00A26A46">
            <w:pPr>
              <w:jc w:val="both"/>
            </w:pPr>
            <w:r>
              <w:rPr>
                <w:color w:val="000000"/>
              </w:rPr>
              <w:t>0.72</w:t>
            </w:r>
          </w:p>
        </w:tc>
        <w:tc>
          <w:tcPr>
            <w:tcW w:w="988" w:type="dxa"/>
            <w:vAlign w:val="bottom"/>
          </w:tcPr>
          <w:p w14:paraId="682BD72B" w14:textId="77777777" w:rsidR="00EF7606" w:rsidRDefault="00EF7606" w:rsidP="00A26A46">
            <w:pPr>
              <w:jc w:val="both"/>
            </w:pPr>
            <w:r>
              <w:rPr>
                <w:rFonts w:ascii="Calibri" w:hAnsi="Calibri" w:cs="Calibri"/>
                <w:color w:val="000000"/>
              </w:rPr>
              <w:t>14</w:t>
            </w:r>
          </w:p>
        </w:tc>
      </w:tr>
      <w:tr w:rsidR="00EF7606" w14:paraId="2DC9DC94" w14:textId="77777777" w:rsidTr="00A26A46">
        <w:trPr>
          <w:trHeight w:val="354"/>
        </w:trPr>
        <w:tc>
          <w:tcPr>
            <w:tcW w:w="1498" w:type="dxa"/>
            <w:vAlign w:val="center"/>
          </w:tcPr>
          <w:p w14:paraId="6299E9CF" w14:textId="77777777" w:rsidR="00EF7606" w:rsidRDefault="00EF7606" w:rsidP="00A26A46">
            <w:pPr>
              <w:jc w:val="center"/>
            </w:pPr>
            <w:r>
              <w:rPr>
                <w:b/>
                <w:bCs/>
                <w:color w:val="000000"/>
              </w:rPr>
              <w:t>POPULAR1MF</w:t>
            </w:r>
          </w:p>
        </w:tc>
        <w:tc>
          <w:tcPr>
            <w:tcW w:w="1240" w:type="dxa"/>
            <w:vAlign w:val="center"/>
          </w:tcPr>
          <w:p w14:paraId="45AB969F" w14:textId="77777777" w:rsidR="00EF7606" w:rsidRDefault="00EF7606" w:rsidP="00A26A46">
            <w:pPr>
              <w:jc w:val="center"/>
            </w:pPr>
            <w:r>
              <w:rPr>
                <w:color w:val="000000"/>
              </w:rPr>
              <w:t>-2.52%</w:t>
            </w:r>
          </w:p>
        </w:tc>
        <w:tc>
          <w:tcPr>
            <w:tcW w:w="930" w:type="dxa"/>
            <w:vAlign w:val="center"/>
          </w:tcPr>
          <w:p w14:paraId="62BE253B" w14:textId="77777777" w:rsidR="00EF7606" w:rsidRDefault="00EF7606" w:rsidP="00A26A46">
            <w:pPr>
              <w:jc w:val="center"/>
            </w:pPr>
            <w:r>
              <w:rPr>
                <w:color w:val="000000"/>
              </w:rPr>
              <w:t>20</w:t>
            </w:r>
          </w:p>
        </w:tc>
        <w:tc>
          <w:tcPr>
            <w:tcW w:w="1037" w:type="dxa"/>
            <w:vAlign w:val="center"/>
          </w:tcPr>
          <w:p w14:paraId="33A72F9C" w14:textId="77777777" w:rsidR="00EF7606" w:rsidRPr="0000068E" w:rsidRDefault="00EF7606" w:rsidP="00A26A46">
            <w:pPr>
              <w:jc w:val="center"/>
            </w:pPr>
          </w:p>
        </w:tc>
        <w:tc>
          <w:tcPr>
            <w:tcW w:w="937" w:type="dxa"/>
          </w:tcPr>
          <w:p w14:paraId="2FDA5215" w14:textId="77777777" w:rsidR="00EF7606" w:rsidRPr="0000068E" w:rsidRDefault="00EF7606" w:rsidP="00A26A46">
            <w:pPr>
              <w:jc w:val="center"/>
              <w:rPr>
                <w:color w:val="000000"/>
              </w:rPr>
            </w:pPr>
            <w:r w:rsidRPr="0000068E">
              <w:rPr>
                <w:rFonts w:ascii="Agency FB" w:hAnsi="Agency FB"/>
                <w:color w:val="000000"/>
              </w:rPr>
              <w:t>√</w:t>
            </w:r>
          </w:p>
        </w:tc>
        <w:tc>
          <w:tcPr>
            <w:tcW w:w="1048" w:type="dxa"/>
            <w:vAlign w:val="center"/>
          </w:tcPr>
          <w:p w14:paraId="658BC45F" w14:textId="77777777" w:rsidR="00EF7606" w:rsidRDefault="00EF7606" w:rsidP="00A26A46">
            <w:pPr>
              <w:jc w:val="both"/>
            </w:pPr>
            <w:r>
              <w:rPr>
                <w:color w:val="000000"/>
              </w:rPr>
              <w:t>7.28%</w:t>
            </w:r>
          </w:p>
        </w:tc>
        <w:tc>
          <w:tcPr>
            <w:tcW w:w="760" w:type="dxa"/>
            <w:vAlign w:val="center"/>
          </w:tcPr>
          <w:p w14:paraId="3DF95B0F" w14:textId="77777777" w:rsidR="00EF7606" w:rsidRDefault="00EF7606" w:rsidP="00A26A46">
            <w:pPr>
              <w:jc w:val="both"/>
              <w:rPr>
                <w:color w:val="000000"/>
              </w:rPr>
            </w:pPr>
            <w:r>
              <w:rPr>
                <w:color w:val="000000"/>
              </w:rPr>
              <w:t>16</w:t>
            </w:r>
          </w:p>
        </w:tc>
        <w:tc>
          <w:tcPr>
            <w:tcW w:w="917" w:type="dxa"/>
            <w:vAlign w:val="center"/>
          </w:tcPr>
          <w:p w14:paraId="22273388" w14:textId="77777777" w:rsidR="00EF7606" w:rsidRDefault="00EF7606" w:rsidP="00A26A46">
            <w:pPr>
              <w:jc w:val="both"/>
            </w:pPr>
            <w:r>
              <w:rPr>
                <w:color w:val="000000"/>
              </w:rPr>
              <w:t>0.78</w:t>
            </w:r>
          </w:p>
        </w:tc>
        <w:tc>
          <w:tcPr>
            <w:tcW w:w="988" w:type="dxa"/>
            <w:vAlign w:val="bottom"/>
          </w:tcPr>
          <w:p w14:paraId="54F09D28" w14:textId="77777777" w:rsidR="00EF7606" w:rsidRDefault="00EF7606" w:rsidP="00A26A46">
            <w:pPr>
              <w:jc w:val="both"/>
            </w:pPr>
            <w:r>
              <w:rPr>
                <w:rFonts w:ascii="Calibri" w:hAnsi="Calibri" w:cs="Calibri"/>
                <w:color w:val="000000"/>
              </w:rPr>
              <w:t>10</w:t>
            </w:r>
          </w:p>
        </w:tc>
      </w:tr>
      <w:tr w:rsidR="00EF7606" w14:paraId="31EFA769" w14:textId="77777777" w:rsidTr="00A26A46">
        <w:trPr>
          <w:trHeight w:val="354"/>
        </w:trPr>
        <w:tc>
          <w:tcPr>
            <w:tcW w:w="1498" w:type="dxa"/>
            <w:vAlign w:val="center"/>
          </w:tcPr>
          <w:p w14:paraId="341FD376" w14:textId="77777777" w:rsidR="00EF7606" w:rsidRDefault="00EF7606" w:rsidP="00A26A46">
            <w:pPr>
              <w:jc w:val="center"/>
            </w:pPr>
            <w:r>
              <w:rPr>
                <w:b/>
                <w:bCs/>
                <w:color w:val="000000"/>
              </w:rPr>
              <w:t>PRIME1ICBA</w:t>
            </w:r>
          </w:p>
        </w:tc>
        <w:tc>
          <w:tcPr>
            <w:tcW w:w="1240" w:type="dxa"/>
            <w:vAlign w:val="center"/>
          </w:tcPr>
          <w:p w14:paraId="44002A76" w14:textId="77777777" w:rsidR="00EF7606" w:rsidRDefault="00EF7606" w:rsidP="00A26A46">
            <w:pPr>
              <w:jc w:val="center"/>
            </w:pPr>
            <w:r>
              <w:rPr>
                <w:color w:val="000000"/>
              </w:rPr>
              <w:t>6.07%</w:t>
            </w:r>
          </w:p>
        </w:tc>
        <w:tc>
          <w:tcPr>
            <w:tcW w:w="930" w:type="dxa"/>
            <w:vAlign w:val="center"/>
          </w:tcPr>
          <w:p w14:paraId="5569CD7A" w14:textId="77777777" w:rsidR="00EF7606" w:rsidRDefault="00EF7606" w:rsidP="00A26A46">
            <w:pPr>
              <w:jc w:val="center"/>
            </w:pPr>
            <w:r>
              <w:rPr>
                <w:color w:val="000000"/>
              </w:rPr>
              <w:t>4</w:t>
            </w:r>
          </w:p>
        </w:tc>
        <w:tc>
          <w:tcPr>
            <w:tcW w:w="1037" w:type="dxa"/>
            <w:vAlign w:val="center"/>
          </w:tcPr>
          <w:p w14:paraId="56FCAEA4" w14:textId="77777777" w:rsidR="00EF7606" w:rsidRPr="0000068E" w:rsidRDefault="00EF7606" w:rsidP="00A26A46">
            <w:pPr>
              <w:jc w:val="center"/>
            </w:pPr>
            <w:r w:rsidRPr="0000068E">
              <w:rPr>
                <w:rFonts w:ascii="Agency FB" w:hAnsi="Agency FB"/>
                <w:color w:val="000000"/>
              </w:rPr>
              <w:t>√</w:t>
            </w:r>
          </w:p>
        </w:tc>
        <w:tc>
          <w:tcPr>
            <w:tcW w:w="937" w:type="dxa"/>
          </w:tcPr>
          <w:p w14:paraId="36C4A3F1" w14:textId="77777777" w:rsidR="00EF7606" w:rsidRPr="0000068E" w:rsidRDefault="00EF7606" w:rsidP="00A26A46">
            <w:pPr>
              <w:jc w:val="center"/>
              <w:rPr>
                <w:color w:val="000000"/>
              </w:rPr>
            </w:pPr>
          </w:p>
        </w:tc>
        <w:tc>
          <w:tcPr>
            <w:tcW w:w="1048" w:type="dxa"/>
            <w:vAlign w:val="center"/>
          </w:tcPr>
          <w:p w14:paraId="30D230A4" w14:textId="77777777" w:rsidR="00EF7606" w:rsidRDefault="00EF7606" w:rsidP="00A26A46">
            <w:pPr>
              <w:jc w:val="both"/>
            </w:pPr>
            <w:r>
              <w:rPr>
                <w:color w:val="000000"/>
              </w:rPr>
              <w:t>7.97%</w:t>
            </w:r>
          </w:p>
        </w:tc>
        <w:tc>
          <w:tcPr>
            <w:tcW w:w="760" w:type="dxa"/>
            <w:vAlign w:val="center"/>
          </w:tcPr>
          <w:p w14:paraId="0AA0C020" w14:textId="77777777" w:rsidR="00EF7606" w:rsidRDefault="00EF7606" w:rsidP="00A26A46">
            <w:pPr>
              <w:jc w:val="both"/>
              <w:rPr>
                <w:color w:val="000000"/>
              </w:rPr>
            </w:pPr>
            <w:r>
              <w:rPr>
                <w:color w:val="000000"/>
              </w:rPr>
              <w:t>10</w:t>
            </w:r>
          </w:p>
        </w:tc>
        <w:tc>
          <w:tcPr>
            <w:tcW w:w="917" w:type="dxa"/>
            <w:vAlign w:val="center"/>
          </w:tcPr>
          <w:p w14:paraId="53F7361C" w14:textId="77777777" w:rsidR="00EF7606" w:rsidRDefault="00EF7606" w:rsidP="00A26A46">
            <w:pPr>
              <w:jc w:val="both"/>
            </w:pPr>
            <w:r>
              <w:rPr>
                <w:color w:val="000000"/>
              </w:rPr>
              <w:t>0.87</w:t>
            </w:r>
          </w:p>
        </w:tc>
        <w:tc>
          <w:tcPr>
            <w:tcW w:w="988" w:type="dxa"/>
            <w:vAlign w:val="bottom"/>
          </w:tcPr>
          <w:p w14:paraId="4DE3A9A3" w14:textId="77777777" w:rsidR="00EF7606" w:rsidRDefault="00EF7606" w:rsidP="00A26A46">
            <w:pPr>
              <w:jc w:val="both"/>
            </w:pPr>
            <w:r>
              <w:rPr>
                <w:rFonts w:ascii="Calibri" w:hAnsi="Calibri" w:cs="Calibri"/>
                <w:color w:val="000000"/>
              </w:rPr>
              <w:t>5</w:t>
            </w:r>
          </w:p>
        </w:tc>
      </w:tr>
      <w:tr w:rsidR="00EF7606" w14:paraId="7A4C1881" w14:textId="77777777" w:rsidTr="00A26A46">
        <w:trPr>
          <w:trHeight w:val="354"/>
        </w:trPr>
        <w:tc>
          <w:tcPr>
            <w:tcW w:w="1498" w:type="dxa"/>
            <w:vAlign w:val="center"/>
          </w:tcPr>
          <w:p w14:paraId="51F62EC6" w14:textId="77777777" w:rsidR="00EF7606" w:rsidRDefault="00EF7606" w:rsidP="00A26A46">
            <w:pPr>
              <w:jc w:val="center"/>
              <w:rPr>
                <w:b/>
                <w:bCs/>
                <w:color w:val="000000"/>
              </w:rPr>
            </w:pPr>
            <w:r>
              <w:rPr>
                <w:b/>
                <w:bCs/>
                <w:color w:val="000000"/>
              </w:rPr>
              <w:t>RELIANCE1 </w:t>
            </w:r>
          </w:p>
        </w:tc>
        <w:tc>
          <w:tcPr>
            <w:tcW w:w="1240" w:type="dxa"/>
            <w:vAlign w:val="center"/>
          </w:tcPr>
          <w:p w14:paraId="6C6D54A4" w14:textId="77777777" w:rsidR="00EF7606" w:rsidRDefault="00EF7606" w:rsidP="00A26A46">
            <w:pPr>
              <w:jc w:val="center"/>
              <w:rPr>
                <w:color w:val="000000"/>
              </w:rPr>
            </w:pPr>
            <w:r>
              <w:rPr>
                <w:color w:val="000000"/>
              </w:rPr>
              <w:t>11.39%</w:t>
            </w:r>
          </w:p>
        </w:tc>
        <w:tc>
          <w:tcPr>
            <w:tcW w:w="930" w:type="dxa"/>
            <w:vAlign w:val="center"/>
          </w:tcPr>
          <w:p w14:paraId="39551B4E" w14:textId="77777777" w:rsidR="00EF7606" w:rsidRDefault="00EF7606" w:rsidP="00A26A46">
            <w:pPr>
              <w:jc w:val="center"/>
              <w:rPr>
                <w:color w:val="000000"/>
              </w:rPr>
            </w:pPr>
            <w:r>
              <w:rPr>
                <w:color w:val="000000"/>
              </w:rPr>
              <w:t>2</w:t>
            </w:r>
          </w:p>
        </w:tc>
        <w:tc>
          <w:tcPr>
            <w:tcW w:w="1037" w:type="dxa"/>
          </w:tcPr>
          <w:p w14:paraId="11053F67" w14:textId="77777777" w:rsidR="00EF7606" w:rsidRPr="0000068E" w:rsidRDefault="00EF7606" w:rsidP="00A26A46">
            <w:pPr>
              <w:jc w:val="center"/>
              <w:rPr>
                <w:color w:val="000000"/>
              </w:rPr>
            </w:pPr>
            <w:r w:rsidRPr="0000068E">
              <w:rPr>
                <w:rFonts w:ascii="Agency FB" w:hAnsi="Agency FB"/>
                <w:color w:val="000000"/>
              </w:rPr>
              <w:t>√</w:t>
            </w:r>
          </w:p>
        </w:tc>
        <w:tc>
          <w:tcPr>
            <w:tcW w:w="937" w:type="dxa"/>
          </w:tcPr>
          <w:p w14:paraId="115E1183" w14:textId="77777777" w:rsidR="00EF7606" w:rsidRPr="0000068E" w:rsidRDefault="00EF7606" w:rsidP="00A26A46">
            <w:pPr>
              <w:jc w:val="center"/>
              <w:rPr>
                <w:color w:val="000000"/>
              </w:rPr>
            </w:pPr>
          </w:p>
        </w:tc>
        <w:tc>
          <w:tcPr>
            <w:tcW w:w="1048" w:type="dxa"/>
            <w:vAlign w:val="center"/>
          </w:tcPr>
          <w:p w14:paraId="60D27FD1" w14:textId="77777777" w:rsidR="00EF7606" w:rsidRPr="009F537F" w:rsidRDefault="00EF7606" w:rsidP="00A26A46">
            <w:pPr>
              <w:jc w:val="both"/>
              <w:rPr>
                <w:rFonts w:ascii="Calibri" w:hAnsi="Calibri" w:cs="Calibri"/>
                <w:color w:val="000000"/>
              </w:rPr>
            </w:pPr>
            <w:r>
              <w:rPr>
                <w:color w:val="000000"/>
              </w:rPr>
              <w:t>7.74%</w:t>
            </w:r>
          </w:p>
        </w:tc>
        <w:tc>
          <w:tcPr>
            <w:tcW w:w="760" w:type="dxa"/>
            <w:vAlign w:val="center"/>
          </w:tcPr>
          <w:p w14:paraId="067E5BBB" w14:textId="77777777" w:rsidR="00EF7606" w:rsidRDefault="00EF7606" w:rsidP="00A26A46">
            <w:pPr>
              <w:jc w:val="both"/>
              <w:rPr>
                <w:color w:val="000000"/>
              </w:rPr>
            </w:pPr>
            <w:r>
              <w:rPr>
                <w:color w:val="000000"/>
              </w:rPr>
              <w:t>12</w:t>
            </w:r>
          </w:p>
        </w:tc>
        <w:tc>
          <w:tcPr>
            <w:tcW w:w="917" w:type="dxa"/>
            <w:vAlign w:val="center"/>
          </w:tcPr>
          <w:p w14:paraId="3891D081" w14:textId="77777777" w:rsidR="00EF7606" w:rsidRDefault="00EF7606" w:rsidP="00A26A46">
            <w:pPr>
              <w:jc w:val="both"/>
              <w:rPr>
                <w:color w:val="000000"/>
              </w:rPr>
            </w:pPr>
            <w:r>
              <w:rPr>
                <w:color w:val="000000"/>
              </w:rPr>
              <w:t>0.50</w:t>
            </w:r>
          </w:p>
        </w:tc>
        <w:tc>
          <w:tcPr>
            <w:tcW w:w="988" w:type="dxa"/>
            <w:vAlign w:val="bottom"/>
          </w:tcPr>
          <w:p w14:paraId="4CF8A7D9" w14:textId="77777777" w:rsidR="00EF7606" w:rsidRPr="00CF7C75" w:rsidRDefault="00EF7606" w:rsidP="00A26A46">
            <w:pPr>
              <w:jc w:val="both"/>
              <w:rPr>
                <w:rFonts w:ascii="Calibri" w:hAnsi="Calibri" w:cs="Calibri"/>
                <w:color w:val="000000"/>
              </w:rPr>
            </w:pPr>
            <w:r>
              <w:rPr>
                <w:rFonts w:ascii="Calibri" w:hAnsi="Calibri" w:cs="Calibri"/>
                <w:color w:val="000000"/>
              </w:rPr>
              <w:t>20</w:t>
            </w:r>
          </w:p>
        </w:tc>
      </w:tr>
      <w:tr w:rsidR="00EF7606" w14:paraId="36D85D9A" w14:textId="77777777" w:rsidTr="00A26A46">
        <w:trPr>
          <w:trHeight w:val="354"/>
        </w:trPr>
        <w:tc>
          <w:tcPr>
            <w:tcW w:w="1498" w:type="dxa"/>
            <w:vAlign w:val="center"/>
          </w:tcPr>
          <w:p w14:paraId="5455038C" w14:textId="77777777" w:rsidR="00EF7606" w:rsidRDefault="00EF7606" w:rsidP="00A26A46">
            <w:pPr>
              <w:jc w:val="center"/>
              <w:rPr>
                <w:b/>
                <w:bCs/>
                <w:color w:val="000000"/>
              </w:rPr>
            </w:pPr>
            <w:r>
              <w:rPr>
                <w:b/>
                <w:bCs/>
                <w:color w:val="000000"/>
              </w:rPr>
              <w:t>TRUSTB1MF</w:t>
            </w:r>
          </w:p>
        </w:tc>
        <w:tc>
          <w:tcPr>
            <w:tcW w:w="1240" w:type="dxa"/>
            <w:vAlign w:val="center"/>
          </w:tcPr>
          <w:p w14:paraId="5C760745" w14:textId="77777777" w:rsidR="00EF7606" w:rsidRDefault="00EF7606" w:rsidP="00A26A46">
            <w:pPr>
              <w:jc w:val="center"/>
              <w:rPr>
                <w:color w:val="000000"/>
              </w:rPr>
            </w:pPr>
            <w:r>
              <w:rPr>
                <w:color w:val="000000"/>
              </w:rPr>
              <w:t>-2.25%</w:t>
            </w:r>
          </w:p>
        </w:tc>
        <w:tc>
          <w:tcPr>
            <w:tcW w:w="930" w:type="dxa"/>
            <w:vAlign w:val="center"/>
          </w:tcPr>
          <w:p w14:paraId="3701D41C" w14:textId="77777777" w:rsidR="00EF7606" w:rsidRDefault="00EF7606" w:rsidP="00A26A46">
            <w:pPr>
              <w:jc w:val="center"/>
              <w:rPr>
                <w:color w:val="000000"/>
              </w:rPr>
            </w:pPr>
            <w:r>
              <w:rPr>
                <w:color w:val="000000"/>
              </w:rPr>
              <w:t>17</w:t>
            </w:r>
          </w:p>
        </w:tc>
        <w:tc>
          <w:tcPr>
            <w:tcW w:w="1037" w:type="dxa"/>
          </w:tcPr>
          <w:p w14:paraId="5C32FB2E" w14:textId="77777777" w:rsidR="00EF7606" w:rsidRPr="0000068E" w:rsidRDefault="00EF7606" w:rsidP="00A26A46">
            <w:pPr>
              <w:jc w:val="center"/>
              <w:rPr>
                <w:color w:val="000000"/>
              </w:rPr>
            </w:pPr>
          </w:p>
        </w:tc>
        <w:tc>
          <w:tcPr>
            <w:tcW w:w="937" w:type="dxa"/>
          </w:tcPr>
          <w:p w14:paraId="2ADAF8B7" w14:textId="77777777" w:rsidR="00EF7606" w:rsidRPr="0000068E" w:rsidRDefault="00EF7606" w:rsidP="00A26A46">
            <w:pPr>
              <w:jc w:val="center"/>
              <w:rPr>
                <w:color w:val="000000"/>
              </w:rPr>
            </w:pPr>
            <w:r w:rsidRPr="0000068E">
              <w:rPr>
                <w:rFonts w:ascii="Agency FB" w:hAnsi="Agency FB"/>
                <w:color w:val="000000"/>
              </w:rPr>
              <w:t>√</w:t>
            </w:r>
          </w:p>
        </w:tc>
        <w:tc>
          <w:tcPr>
            <w:tcW w:w="1048" w:type="dxa"/>
            <w:vAlign w:val="center"/>
          </w:tcPr>
          <w:p w14:paraId="2D8458A0" w14:textId="77777777" w:rsidR="00EF7606" w:rsidRPr="009F537F" w:rsidRDefault="00EF7606" w:rsidP="00A26A46">
            <w:pPr>
              <w:jc w:val="both"/>
              <w:rPr>
                <w:rFonts w:ascii="Calibri" w:hAnsi="Calibri" w:cs="Calibri"/>
                <w:color w:val="000000"/>
              </w:rPr>
            </w:pPr>
            <w:r>
              <w:rPr>
                <w:color w:val="000000"/>
              </w:rPr>
              <w:t>7.61%</w:t>
            </w:r>
          </w:p>
        </w:tc>
        <w:tc>
          <w:tcPr>
            <w:tcW w:w="760" w:type="dxa"/>
            <w:vAlign w:val="center"/>
          </w:tcPr>
          <w:p w14:paraId="4948CB4A" w14:textId="77777777" w:rsidR="00EF7606" w:rsidRDefault="00EF7606" w:rsidP="00A26A46">
            <w:pPr>
              <w:jc w:val="both"/>
              <w:rPr>
                <w:color w:val="000000"/>
              </w:rPr>
            </w:pPr>
            <w:r>
              <w:rPr>
                <w:color w:val="000000"/>
              </w:rPr>
              <w:t>13</w:t>
            </w:r>
          </w:p>
        </w:tc>
        <w:tc>
          <w:tcPr>
            <w:tcW w:w="917" w:type="dxa"/>
            <w:vAlign w:val="center"/>
          </w:tcPr>
          <w:p w14:paraId="08ABB592" w14:textId="77777777" w:rsidR="00EF7606" w:rsidRDefault="00EF7606" w:rsidP="00A26A46">
            <w:pPr>
              <w:jc w:val="both"/>
              <w:rPr>
                <w:color w:val="000000"/>
              </w:rPr>
            </w:pPr>
            <w:r>
              <w:rPr>
                <w:color w:val="000000"/>
              </w:rPr>
              <w:t>0.75</w:t>
            </w:r>
          </w:p>
        </w:tc>
        <w:tc>
          <w:tcPr>
            <w:tcW w:w="988" w:type="dxa"/>
            <w:vAlign w:val="bottom"/>
          </w:tcPr>
          <w:p w14:paraId="3E6153CB" w14:textId="77777777" w:rsidR="00EF7606" w:rsidRPr="00CF7C75" w:rsidRDefault="00EF7606" w:rsidP="00A26A46">
            <w:pPr>
              <w:jc w:val="both"/>
              <w:rPr>
                <w:rFonts w:ascii="Calibri" w:hAnsi="Calibri" w:cs="Calibri"/>
                <w:color w:val="000000"/>
              </w:rPr>
            </w:pPr>
            <w:r>
              <w:rPr>
                <w:rFonts w:ascii="Calibri" w:hAnsi="Calibri" w:cs="Calibri"/>
                <w:color w:val="000000"/>
              </w:rPr>
              <w:t>13</w:t>
            </w:r>
          </w:p>
        </w:tc>
      </w:tr>
      <w:tr w:rsidR="00EF7606" w14:paraId="25D2F01D" w14:textId="77777777" w:rsidTr="00A26A46">
        <w:trPr>
          <w:trHeight w:val="354"/>
        </w:trPr>
        <w:tc>
          <w:tcPr>
            <w:tcW w:w="1498" w:type="dxa"/>
            <w:vAlign w:val="center"/>
          </w:tcPr>
          <w:p w14:paraId="258BA208" w14:textId="77777777" w:rsidR="00EF7606" w:rsidRDefault="00EF7606" w:rsidP="00A26A46">
            <w:pPr>
              <w:jc w:val="center"/>
              <w:rPr>
                <w:b/>
                <w:bCs/>
                <w:color w:val="000000"/>
              </w:rPr>
            </w:pPr>
            <w:r>
              <w:rPr>
                <w:b/>
                <w:bCs/>
                <w:color w:val="000000"/>
              </w:rPr>
              <w:t>Market</w:t>
            </w:r>
          </w:p>
        </w:tc>
        <w:tc>
          <w:tcPr>
            <w:tcW w:w="1240" w:type="dxa"/>
            <w:vAlign w:val="center"/>
          </w:tcPr>
          <w:p w14:paraId="78D3D283" w14:textId="77777777" w:rsidR="00EF7606" w:rsidRDefault="00EF7606" w:rsidP="00A26A46">
            <w:pPr>
              <w:jc w:val="center"/>
              <w:rPr>
                <w:color w:val="000000"/>
              </w:rPr>
            </w:pPr>
            <w:r>
              <w:rPr>
                <w:color w:val="000000"/>
              </w:rPr>
              <w:t>2.90%</w:t>
            </w:r>
          </w:p>
        </w:tc>
        <w:tc>
          <w:tcPr>
            <w:tcW w:w="930" w:type="dxa"/>
            <w:vAlign w:val="center"/>
          </w:tcPr>
          <w:p w14:paraId="713FE1F9" w14:textId="77777777" w:rsidR="00EF7606" w:rsidRDefault="00EF7606" w:rsidP="00A26A46">
            <w:pPr>
              <w:jc w:val="both"/>
              <w:rPr>
                <w:color w:val="000000"/>
              </w:rPr>
            </w:pPr>
          </w:p>
        </w:tc>
        <w:tc>
          <w:tcPr>
            <w:tcW w:w="1037" w:type="dxa"/>
          </w:tcPr>
          <w:p w14:paraId="3ACD0D5C" w14:textId="77777777" w:rsidR="00EF7606" w:rsidRPr="006C4DDB" w:rsidRDefault="00EF7606" w:rsidP="00A26A46">
            <w:pPr>
              <w:jc w:val="both"/>
              <w:rPr>
                <w:color w:val="000000"/>
              </w:rPr>
            </w:pPr>
          </w:p>
        </w:tc>
        <w:tc>
          <w:tcPr>
            <w:tcW w:w="937" w:type="dxa"/>
          </w:tcPr>
          <w:p w14:paraId="67865EA8" w14:textId="77777777" w:rsidR="00EF7606" w:rsidRPr="009F537F" w:rsidRDefault="00EF7606" w:rsidP="00A26A46">
            <w:pPr>
              <w:jc w:val="both"/>
              <w:rPr>
                <w:rFonts w:ascii="Calibri" w:hAnsi="Calibri" w:cs="Calibri"/>
                <w:color w:val="000000"/>
              </w:rPr>
            </w:pPr>
          </w:p>
        </w:tc>
        <w:tc>
          <w:tcPr>
            <w:tcW w:w="1048" w:type="dxa"/>
            <w:vAlign w:val="center"/>
          </w:tcPr>
          <w:p w14:paraId="28EA43E0" w14:textId="77777777" w:rsidR="00EF7606" w:rsidRPr="00CE611C" w:rsidRDefault="00EF7606" w:rsidP="00A26A46">
            <w:pPr>
              <w:jc w:val="both"/>
              <w:rPr>
                <w:rFonts w:ascii="Calibri" w:hAnsi="Calibri" w:cs="Calibri"/>
                <w:color w:val="000000"/>
              </w:rPr>
            </w:pPr>
            <w:r>
              <w:rPr>
                <w:rFonts w:ascii="Calibri" w:hAnsi="Calibri" w:cs="Calibri"/>
                <w:color w:val="000000"/>
              </w:rPr>
              <w:t>3.89</w:t>
            </w:r>
            <w:r w:rsidRPr="009F537F">
              <w:rPr>
                <w:rFonts w:ascii="Calibri" w:hAnsi="Calibri" w:cs="Calibri"/>
                <w:color w:val="000000"/>
              </w:rPr>
              <w:t>%</w:t>
            </w:r>
          </w:p>
        </w:tc>
        <w:tc>
          <w:tcPr>
            <w:tcW w:w="760" w:type="dxa"/>
          </w:tcPr>
          <w:p w14:paraId="3E3AB0FB" w14:textId="77777777" w:rsidR="00EF7606" w:rsidRDefault="00EF7606" w:rsidP="00A26A46">
            <w:pPr>
              <w:jc w:val="both"/>
              <w:rPr>
                <w:color w:val="000000"/>
              </w:rPr>
            </w:pPr>
          </w:p>
        </w:tc>
        <w:tc>
          <w:tcPr>
            <w:tcW w:w="917" w:type="dxa"/>
            <w:vAlign w:val="center"/>
          </w:tcPr>
          <w:p w14:paraId="6CA46765" w14:textId="77777777" w:rsidR="00EF7606" w:rsidRDefault="00EF7606" w:rsidP="00A26A46">
            <w:pPr>
              <w:jc w:val="both"/>
              <w:rPr>
                <w:color w:val="000000"/>
              </w:rPr>
            </w:pPr>
            <w:r>
              <w:rPr>
                <w:color w:val="000000"/>
              </w:rPr>
              <w:t>1</w:t>
            </w:r>
          </w:p>
        </w:tc>
        <w:tc>
          <w:tcPr>
            <w:tcW w:w="988" w:type="dxa"/>
          </w:tcPr>
          <w:p w14:paraId="7A1F8234" w14:textId="77777777" w:rsidR="00EF7606" w:rsidRPr="00366AEF" w:rsidRDefault="00EF7606" w:rsidP="00A26A46">
            <w:pPr>
              <w:jc w:val="both"/>
              <w:rPr>
                <w:rFonts w:ascii="Calibri" w:hAnsi="Calibri" w:cs="Calibri"/>
                <w:color w:val="000000"/>
              </w:rPr>
            </w:pPr>
          </w:p>
        </w:tc>
      </w:tr>
    </w:tbl>
    <w:p w14:paraId="28525FAE" w14:textId="2C04E4F6" w:rsidR="00EF7606" w:rsidRPr="00325F90" w:rsidRDefault="00904E57" w:rsidP="00EF7606">
      <w:pPr>
        <w:ind w:left="6480"/>
        <w:jc w:val="both"/>
        <w:rPr>
          <w:rFonts w:ascii="Times New Roman" w:hAnsi="Times New Roman" w:cs="Times New Roman"/>
        </w:rPr>
      </w:pPr>
      <w:r>
        <w:rPr>
          <w:rFonts w:ascii="Times New Roman" w:hAnsi="Times New Roman" w:cs="Times New Roman"/>
          <w:i/>
          <w:iCs/>
        </w:rPr>
        <w:t xml:space="preserve">     </w:t>
      </w:r>
      <w:r w:rsidR="00EF7606" w:rsidRPr="00325F90">
        <w:rPr>
          <w:rFonts w:ascii="Times New Roman" w:hAnsi="Times New Roman" w:cs="Times New Roman"/>
          <w:i/>
          <w:iCs/>
        </w:rPr>
        <w:t>Source: Authors calculation</w:t>
      </w:r>
    </w:p>
    <w:p w14:paraId="1B08E041" w14:textId="566B81DC" w:rsidR="00EF7606" w:rsidRPr="00A54CC1" w:rsidRDefault="002A3549" w:rsidP="00A54CC1">
      <w:pPr>
        <w:spacing w:line="360" w:lineRule="auto"/>
        <w:jc w:val="both"/>
        <w:rPr>
          <w:rFonts w:ascii="Times New Roman" w:hAnsi="Times New Roman" w:cs="Times New Roman"/>
          <w:sz w:val="24"/>
          <w:szCs w:val="24"/>
        </w:rPr>
      </w:pPr>
      <w:bookmarkStart w:id="0" w:name="_Hlk180390174"/>
      <w:r w:rsidRPr="002A3549">
        <w:rPr>
          <w:rFonts w:ascii="Times New Roman" w:hAnsi="Times New Roman" w:cs="Times New Roman"/>
          <w:sz w:val="24"/>
          <w:szCs w:val="24"/>
        </w:rPr>
        <w:t>Table 1 lists the risk and return of several mutual funds in addition to the benchmark risk return. The funds with the best annualized return were 1STPRIMFMF while the funds with the lowest annualized return were ABB1STMF.</w:t>
      </w:r>
      <w:r w:rsidR="00FB6A0F">
        <w:rPr>
          <w:rFonts w:ascii="Times New Roman" w:hAnsi="Times New Roman" w:cs="Times New Roman"/>
          <w:sz w:val="24"/>
          <w:szCs w:val="24"/>
        </w:rPr>
        <w:t xml:space="preserve"> </w:t>
      </w:r>
      <w:r w:rsidRPr="00A54CC1">
        <w:rPr>
          <w:rFonts w:ascii="Times New Roman" w:hAnsi="Times New Roman" w:cs="Times New Roman"/>
          <w:sz w:val="24"/>
          <w:szCs w:val="24"/>
        </w:rPr>
        <w:t>Moreover, the table indicates that the average return of 14 mutual funds is lower than the average return of the benchmark index, while the annualized return of 7 mutual funds is higher than the benchmark index average. According to the results, seven mutual funds (33.33 percent) out of twenty-one are able to outperform the benchmark index, indicating that they performed better than the DSEX, whereas fourteen funds (66.67 percent) are unable to do so.</w:t>
      </w:r>
    </w:p>
    <w:p w14:paraId="60054249" w14:textId="77777777" w:rsidR="00053CA3" w:rsidRDefault="00EF7606" w:rsidP="00A54CC1">
      <w:pPr>
        <w:spacing w:line="360" w:lineRule="auto"/>
        <w:jc w:val="both"/>
        <w:rPr>
          <w:rFonts w:ascii="Times New Roman" w:hAnsi="Times New Roman" w:cs="Times New Roman"/>
          <w:sz w:val="24"/>
          <w:szCs w:val="24"/>
        </w:rPr>
      </w:pPr>
      <w:r w:rsidRPr="00A54CC1">
        <w:rPr>
          <w:rFonts w:ascii="Times New Roman" w:hAnsi="Times New Roman" w:cs="Times New Roman"/>
          <w:sz w:val="24"/>
          <w:szCs w:val="24"/>
        </w:rPr>
        <w:lastRenderedPageBreak/>
        <w:t xml:space="preserve">1STPRIMFMF is the riskiest and GRAMEENS2 is the less risky in the entire sample. </w:t>
      </w:r>
    </w:p>
    <w:p w14:paraId="1E03B254" w14:textId="6AF8A600" w:rsidR="00EF7606" w:rsidRPr="00A54CC1" w:rsidRDefault="00EF7606" w:rsidP="00A54CC1">
      <w:pPr>
        <w:spacing w:line="360" w:lineRule="auto"/>
        <w:jc w:val="both"/>
        <w:rPr>
          <w:rFonts w:ascii="Times New Roman" w:hAnsi="Times New Roman" w:cs="Times New Roman"/>
          <w:sz w:val="24"/>
          <w:szCs w:val="24"/>
        </w:rPr>
      </w:pPr>
      <w:r w:rsidRPr="00A54CC1">
        <w:rPr>
          <w:rFonts w:ascii="Times New Roman" w:hAnsi="Times New Roman" w:cs="Times New Roman"/>
          <w:sz w:val="24"/>
          <w:szCs w:val="24"/>
        </w:rPr>
        <w:t>In addition, the result of total risk the 1STPRIMFMF gave the highest risk and GRAMEENS2 gave the lowest return in all mutual funds. All the mutual funds are beat the benchmark return by total risk. In systematic risk part only 1 mutual fund (1STPRIMFMF) is more volatile than benchmark and it is evident that, most of the funds are less volatile than benchmark by beta.</w:t>
      </w:r>
    </w:p>
    <w:p w14:paraId="7E31CD3C" w14:textId="51508069" w:rsidR="00EF7606" w:rsidRDefault="00EF7606" w:rsidP="00EF7606">
      <w:pPr>
        <w:jc w:val="both"/>
        <w:rPr>
          <w:rFonts w:ascii="Times New Roman" w:hAnsi="Times New Roman" w:cs="Times New Roman"/>
        </w:rPr>
      </w:pPr>
      <w:r>
        <w:rPr>
          <w:noProof/>
        </w:rPr>
        <w:drawing>
          <wp:anchor distT="0" distB="0" distL="114300" distR="114300" simplePos="0" relativeHeight="251660288" behindDoc="1" locked="0" layoutInCell="1" allowOverlap="1" wp14:anchorId="47E8D4A2" wp14:editId="7F8AD30F">
            <wp:simplePos x="0" y="0"/>
            <wp:positionH relativeFrom="margin">
              <wp:posOffset>-31750</wp:posOffset>
            </wp:positionH>
            <wp:positionV relativeFrom="paragraph">
              <wp:posOffset>219710</wp:posOffset>
            </wp:positionV>
            <wp:extent cx="5861050" cy="2818130"/>
            <wp:effectExtent l="0" t="0" r="6350" b="1270"/>
            <wp:wrapTight wrapText="bothSides">
              <wp:wrapPolygon edited="0">
                <wp:start x="0" y="0"/>
                <wp:lineTo x="0" y="21464"/>
                <wp:lineTo x="21553" y="21464"/>
                <wp:lineTo x="21553" y="0"/>
                <wp:lineTo x="0" y="0"/>
              </wp:wrapPolygon>
            </wp:wrapTight>
            <wp:docPr id="1258034000" name="Chart 1">
              <a:extLst xmlns:a="http://schemas.openxmlformats.org/drawingml/2006/main">
                <a:ext uri="{FF2B5EF4-FFF2-40B4-BE49-F238E27FC236}">
                  <a16:creationId xmlns:a16="http://schemas.microsoft.com/office/drawing/2014/main" id="{D14442E1-866F-1517-8871-2D594C88A3D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14:sizeRelH relativeFrom="margin">
              <wp14:pctWidth>0</wp14:pctWidth>
            </wp14:sizeRelH>
          </wp:anchor>
        </w:drawing>
      </w:r>
    </w:p>
    <w:bookmarkEnd w:id="0"/>
    <w:p w14:paraId="6F7CA0EE" w14:textId="0F49915D" w:rsidR="00EF7606" w:rsidRPr="00EF7606" w:rsidRDefault="00EF7606" w:rsidP="00EF7606">
      <w:pPr>
        <w:ind w:left="2880"/>
        <w:jc w:val="both"/>
        <w:rPr>
          <w:rFonts w:ascii="Times New Roman" w:hAnsi="Times New Roman" w:cs="Times New Roman"/>
          <w:b/>
          <w:bCs/>
        </w:rPr>
      </w:pPr>
      <w:r w:rsidRPr="00EF7606">
        <w:rPr>
          <w:rFonts w:ascii="Times New Roman" w:hAnsi="Times New Roman" w:cs="Times New Roman"/>
          <w:b/>
          <w:bCs/>
        </w:rPr>
        <w:t xml:space="preserve">Graph </w:t>
      </w:r>
      <w:r w:rsidR="002070DB">
        <w:rPr>
          <w:rFonts w:ascii="Times New Roman" w:hAnsi="Times New Roman" w:cs="Times New Roman"/>
          <w:b/>
          <w:bCs/>
          <w:sz w:val="24"/>
          <w:szCs w:val="24"/>
        </w:rPr>
        <w:t>0</w:t>
      </w:r>
      <w:r w:rsidRPr="00EF7606">
        <w:rPr>
          <w:rFonts w:ascii="Times New Roman" w:hAnsi="Times New Roman" w:cs="Times New Roman"/>
          <w:b/>
          <w:bCs/>
        </w:rPr>
        <w:t>1: Risk and Diversification</w:t>
      </w:r>
    </w:p>
    <w:p w14:paraId="5D728FFA" w14:textId="77777777" w:rsidR="002A3549" w:rsidRPr="002A3549" w:rsidRDefault="002A3549" w:rsidP="00A54CC1">
      <w:pPr>
        <w:spacing w:line="360" w:lineRule="auto"/>
        <w:jc w:val="both"/>
        <w:rPr>
          <w:rFonts w:ascii="Times New Roman" w:hAnsi="Times New Roman" w:cs="Times New Roman"/>
          <w:sz w:val="24"/>
          <w:szCs w:val="24"/>
        </w:rPr>
      </w:pPr>
      <w:r w:rsidRPr="002A3549">
        <w:rPr>
          <w:rFonts w:ascii="Times New Roman" w:hAnsi="Times New Roman" w:cs="Times New Roman"/>
          <w:sz w:val="24"/>
          <w:szCs w:val="24"/>
        </w:rPr>
        <w:t>Graph 01 shows the Dhaka Stock Exchange's mutual fund situation by risk. According to the results (Graph 1), the mutual funds chosen for this study had R2 values between 2.90% and 33.84% during the course of the study. A moderate connection R2 (between 20% and 40%) indicates that the majority of the funds' returns are independent of systematic risk (βp). Here, managers are assuming a certain amount of unsystematic, diversifiable risk.</w:t>
      </w:r>
    </w:p>
    <w:p w14:paraId="4B60438C" w14:textId="0A8DB20D" w:rsidR="00EF7606" w:rsidRPr="00A15E61" w:rsidRDefault="002A3549" w:rsidP="00A54CC1">
      <w:pPr>
        <w:spacing w:line="360" w:lineRule="auto"/>
        <w:jc w:val="both"/>
        <w:rPr>
          <w:rFonts w:ascii="Times New Roman" w:hAnsi="Times New Roman" w:cs="Times New Roman"/>
          <w:sz w:val="24"/>
          <w:szCs w:val="24"/>
        </w:rPr>
      </w:pPr>
      <w:r w:rsidRPr="002A3549">
        <w:rPr>
          <w:rFonts w:ascii="Times New Roman" w:hAnsi="Times New Roman" w:cs="Times New Roman"/>
          <w:sz w:val="24"/>
          <w:szCs w:val="24"/>
        </w:rPr>
        <w:t xml:space="preserve">Mutual funds with low R2 values have less portfolio diversity, whereas those with high R2 values have a well-diversified portfolio. The majority of the funds, such as AIBL1STIMF (2.90%), RELIANCE1 (8.06%), and 1PRIMFMF (8.79%) mutual funds, have poor R2 values, according to Graph 1. </w:t>
      </w:r>
      <w:r w:rsidR="00A15E61" w:rsidRPr="00A15E61">
        <w:rPr>
          <w:rFonts w:ascii="Times New Roman" w:hAnsi="Times New Roman" w:cs="Times New Roman"/>
          <w:sz w:val="24"/>
          <w:szCs w:val="24"/>
        </w:rPr>
        <w:t xml:space="preserve">The portfolio's unique risk is high and its unsystematic risk is low due to its lack of diversification, but the overall risk is quite high. However, because to its well-diversified portfolio, the GRAMEENS2 mutual fund exhibits a high R2 rating of 33.84%, indicating low total risk and </w:t>
      </w:r>
      <w:r w:rsidR="00A15E61" w:rsidRPr="00A15E61">
        <w:rPr>
          <w:rFonts w:ascii="Times New Roman" w:hAnsi="Times New Roman" w:cs="Times New Roman"/>
          <w:sz w:val="24"/>
          <w:szCs w:val="24"/>
        </w:rPr>
        <w:lastRenderedPageBreak/>
        <w:t>systematic risk. Additionally, the ABB1STMF mutual fund has a well-diversified portfolio, as seen by its low total risk (7.34%) and high R2 value (24.45%).</w:t>
      </w:r>
    </w:p>
    <w:p w14:paraId="69438E1E" w14:textId="77777777" w:rsidR="00871E1B" w:rsidRPr="00773ED1" w:rsidRDefault="00871E1B" w:rsidP="00871E1B">
      <w:pPr>
        <w:ind w:left="1440" w:firstLine="720"/>
        <w:jc w:val="both"/>
        <w:rPr>
          <w:rFonts w:ascii="Times New Roman" w:hAnsi="Times New Roman" w:cs="Times New Roman"/>
          <w:i/>
          <w:iCs/>
          <w:color w:val="000000"/>
          <w:kern w:val="0"/>
          <w:sz w:val="23"/>
          <w:szCs w:val="23"/>
        </w:rPr>
      </w:pPr>
      <w:r w:rsidRPr="00773ED1">
        <w:rPr>
          <w:rFonts w:ascii="Times New Roman" w:hAnsi="Times New Roman" w:cs="Times New Roman"/>
          <w:b/>
          <w:bCs/>
        </w:rPr>
        <w:t>Table 2: Correlation of risk &amp; Coefficient of determination (R2)</w:t>
      </w:r>
      <w:r w:rsidRPr="00773ED1">
        <w:rPr>
          <w:rFonts w:ascii="Times New Roman" w:hAnsi="Times New Roman" w:cs="Times New Roman"/>
          <w:i/>
          <w:iCs/>
          <w:color w:val="000000"/>
          <w:kern w:val="0"/>
          <w:sz w:val="23"/>
          <w:szCs w:val="23"/>
        </w:rPr>
        <w:t xml:space="preserve"> </w:t>
      </w:r>
    </w:p>
    <w:tbl>
      <w:tblPr>
        <w:tblStyle w:val="TableGrid"/>
        <w:tblW w:w="0" w:type="auto"/>
        <w:tblLook w:val="04A0" w:firstRow="1" w:lastRow="0" w:firstColumn="1" w:lastColumn="0" w:noHBand="0" w:noVBand="1"/>
      </w:tblPr>
      <w:tblGrid>
        <w:gridCol w:w="2152"/>
        <w:gridCol w:w="1713"/>
        <w:gridCol w:w="1642"/>
        <w:gridCol w:w="1705"/>
        <w:gridCol w:w="2138"/>
      </w:tblGrid>
      <w:tr w:rsidR="00871E1B" w:rsidRPr="00B92D83" w14:paraId="423663D6" w14:textId="77777777" w:rsidTr="00A26A46">
        <w:trPr>
          <w:trHeight w:val="350"/>
        </w:trPr>
        <w:tc>
          <w:tcPr>
            <w:tcW w:w="2152" w:type="dxa"/>
            <w:noWrap/>
            <w:hideMark/>
          </w:tcPr>
          <w:p w14:paraId="5FAFF9FA" w14:textId="77777777" w:rsidR="00871E1B" w:rsidRPr="00B92D83" w:rsidRDefault="00871E1B" w:rsidP="00A26A46">
            <w:pPr>
              <w:rPr>
                <w:b/>
                <w:bCs/>
                <w:i/>
                <w:iCs/>
              </w:rPr>
            </w:pPr>
            <w:r>
              <w:rPr>
                <w:b/>
                <w:bCs/>
                <w:i/>
                <w:iCs/>
              </w:rPr>
              <w:t xml:space="preserve">     </w:t>
            </w:r>
            <w:r w:rsidRPr="00B92D83">
              <w:rPr>
                <w:b/>
                <w:bCs/>
                <w:i/>
                <w:iCs/>
              </w:rPr>
              <w:t>Name</w:t>
            </w:r>
          </w:p>
        </w:tc>
        <w:tc>
          <w:tcPr>
            <w:tcW w:w="1713" w:type="dxa"/>
            <w:noWrap/>
            <w:hideMark/>
          </w:tcPr>
          <w:p w14:paraId="7D15C6EE" w14:textId="77777777" w:rsidR="00871E1B" w:rsidRPr="00B92D83" w:rsidRDefault="00871E1B" w:rsidP="00A26A46">
            <w:pPr>
              <w:jc w:val="center"/>
              <w:rPr>
                <w:b/>
                <w:bCs/>
                <w:i/>
                <w:iCs/>
              </w:rPr>
            </w:pPr>
            <w:r w:rsidRPr="00B92D83">
              <w:rPr>
                <w:b/>
                <w:bCs/>
                <w:i/>
                <w:iCs/>
              </w:rPr>
              <w:t>Total Risk (%)</w:t>
            </w:r>
          </w:p>
        </w:tc>
        <w:tc>
          <w:tcPr>
            <w:tcW w:w="1642" w:type="dxa"/>
            <w:noWrap/>
            <w:hideMark/>
          </w:tcPr>
          <w:p w14:paraId="477D93DE" w14:textId="77777777" w:rsidR="00871E1B" w:rsidRPr="00B92D83" w:rsidRDefault="00871E1B" w:rsidP="00A26A46">
            <w:pPr>
              <w:jc w:val="center"/>
              <w:rPr>
                <w:b/>
                <w:bCs/>
                <w:i/>
                <w:iCs/>
              </w:rPr>
            </w:pPr>
            <w:r w:rsidRPr="00B92D83">
              <w:rPr>
                <w:b/>
                <w:bCs/>
                <w:i/>
                <w:iCs/>
              </w:rPr>
              <w:t>Systematic risk (%)</w:t>
            </w:r>
          </w:p>
        </w:tc>
        <w:tc>
          <w:tcPr>
            <w:tcW w:w="1705" w:type="dxa"/>
            <w:noWrap/>
            <w:hideMark/>
          </w:tcPr>
          <w:p w14:paraId="379E8BC8" w14:textId="77777777" w:rsidR="00871E1B" w:rsidRPr="00B92D83" w:rsidRDefault="00871E1B" w:rsidP="00A26A46">
            <w:pPr>
              <w:jc w:val="center"/>
              <w:rPr>
                <w:b/>
                <w:bCs/>
                <w:i/>
                <w:iCs/>
              </w:rPr>
            </w:pPr>
            <w:r w:rsidRPr="00B92D83">
              <w:rPr>
                <w:b/>
                <w:bCs/>
                <w:i/>
                <w:iCs/>
              </w:rPr>
              <w:t>Unsystematic risk (%)</w:t>
            </w:r>
          </w:p>
        </w:tc>
        <w:tc>
          <w:tcPr>
            <w:tcW w:w="2138" w:type="dxa"/>
            <w:noWrap/>
            <w:hideMark/>
          </w:tcPr>
          <w:p w14:paraId="58655338" w14:textId="4EE59E5D" w:rsidR="00871E1B" w:rsidRPr="00B92D83" w:rsidRDefault="00BC2F37" w:rsidP="00A26A46">
            <w:pPr>
              <w:jc w:val="center"/>
              <w:rPr>
                <w:b/>
                <w:bCs/>
                <w:i/>
                <w:iCs/>
              </w:rPr>
            </w:pPr>
            <w:r w:rsidRPr="00B92D83">
              <w:rPr>
                <w:b/>
                <w:bCs/>
                <w:i/>
                <w:iCs/>
              </w:rPr>
              <w:t>R-square</w:t>
            </w:r>
            <w:r w:rsidR="00871E1B" w:rsidRPr="00B92D83">
              <w:rPr>
                <w:b/>
                <w:bCs/>
                <w:i/>
                <w:iCs/>
              </w:rPr>
              <w:t xml:space="preserve"> (%)</w:t>
            </w:r>
          </w:p>
        </w:tc>
      </w:tr>
      <w:tr w:rsidR="00871E1B" w:rsidRPr="00B92D83" w14:paraId="335176ED" w14:textId="77777777" w:rsidTr="00A26A46">
        <w:trPr>
          <w:trHeight w:val="290"/>
        </w:trPr>
        <w:tc>
          <w:tcPr>
            <w:tcW w:w="2152" w:type="dxa"/>
            <w:noWrap/>
            <w:hideMark/>
          </w:tcPr>
          <w:p w14:paraId="3BA0D013" w14:textId="77777777" w:rsidR="00871E1B" w:rsidRPr="00B92D83" w:rsidRDefault="00871E1B" w:rsidP="00A26A46">
            <w:pPr>
              <w:jc w:val="both"/>
              <w:rPr>
                <w:b/>
                <w:bCs/>
              </w:rPr>
            </w:pPr>
            <w:r w:rsidRPr="00B92D83">
              <w:rPr>
                <w:b/>
                <w:bCs/>
              </w:rPr>
              <w:t>Total Risk (%)</w:t>
            </w:r>
          </w:p>
        </w:tc>
        <w:tc>
          <w:tcPr>
            <w:tcW w:w="1713" w:type="dxa"/>
            <w:noWrap/>
            <w:hideMark/>
          </w:tcPr>
          <w:p w14:paraId="235B3FBF" w14:textId="77777777" w:rsidR="00871E1B" w:rsidRPr="00B92D83" w:rsidRDefault="00871E1B" w:rsidP="00A26A46">
            <w:pPr>
              <w:jc w:val="both"/>
            </w:pPr>
            <w:r w:rsidRPr="00B92D83">
              <w:t>1</w:t>
            </w:r>
          </w:p>
        </w:tc>
        <w:tc>
          <w:tcPr>
            <w:tcW w:w="1642" w:type="dxa"/>
            <w:noWrap/>
            <w:hideMark/>
          </w:tcPr>
          <w:p w14:paraId="7EA949DD" w14:textId="77777777" w:rsidR="00871E1B" w:rsidRPr="00B92D83" w:rsidRDefault="00871E1B" w:rsidP="00A26A46">
            <w:pPr>
              <w:jc w:val="both"/>
            </w:pPr>
          </w:p>
        </w:tc>
        <w:tc>
          <w:tcPr>
            <w:tcW w:w="1705" w:type="dxa"/>
            <w:noWrap/>
            <w:hideMark/>
          </w:tcPr>
          <w:p w14:paraId="3F83AE6D" w14:textId="77777777" w:rsidR="00871E1B" w:rsidRPr="00B92D83" w:rsidRDefault="00871E1B" w:rsidP="00A26A46">
            <w:pPr>
              <w:jc w:val="both"/>
            </w:pPr>
          </w:p>
        </w:tc>
        <w:tc>
          <w:tcPr>
            <w:tcW w:w="2138" w:type="dxa"/>
            <w:noWrap/>
            <w:hideMark/>
          </w:tcPr>
          <w:p w14:paraId="39C77147" w14:textId="77777777" w:rsidR="00871E1B" w:rsidRPr="00B92D83" w:rsidRDefault="00871E1B" w:rsidP="00A26A46">
            <w:pPr>
              <w:jc w:val="both"/>
            </w:pPr>
          </w:p>
        </w:tc>
      </w:tr>
      <w:tr w:rsidR="00871E1B" w:rsidRPr="00B92D83" w14:paraId="1B45E073" w14:textId="77777777" w:rsidTr="00A26A46">
        <w:trPr>
          <w:trHeight w:val="290"/>
        </w:trPr>
        <w:tc>
          <w:tcPr>
            <w:tcW w:w="2152" w:type="dxa"/>
            <w:noWrap/>
            <w:hideMark/>
          </w:tcPr>
          <w:p w14:paraId="574C3C89" w14:textId="77777777" w:rsidR="00871E1B" w:rsidRPr="00B92D83" w:rsidRDefault="00871E1B" w:rsidP="00A26A46">
            <w:pPr>
              <w:jc w:val="both"/>
              <w:rPr>
                <w:b/>
                <w:bCs/>
              </w:rPr>
            </w:pPr>
            <w:r w:rsidRPr="00B92D83">
              <w:rPr>
                <w:b/>
                <w:bCs/>
              </w:rPr>
              <w:t>Systematic</w:t>
            </w:r>
            <w:r>
              <w:rPr>
                <w:b/>
                <w:bCs/>
              </w:rPr>
              <w:t xml:space="preserve"> </w:t>
            </w:r>
            <w:r w:rsidRPr="00B92D83">
              <w:rPr>
                <w:b/>
                <w:bCs/>
              </w:rPr>
              <w:t>risk (%)</w:t>
            </w:r>
          </w:p>
        </w:tc>
        <w:tc>
          <w:tcPr>
            <w:tcW w:w="1713" w:type="dxa"/>
            <w:noWrap/>
            <w:hideMark/>
          </w:tcPr>
          <w:p w14:paraId="22BB36D4" w14:textId="77777777" w:rsidR="00871E1B" w:rsidRPr="00B92D83" w:rsidRDefault="00871E1B" w:rsidP="00A26A46">
            <w:pPr>
              <w:jc w:val="both"/>
            </w:pPr>
            <w:r w:rsidRPr="00B92D83">
              <w:t>-0.01977779</w:t>
            </w:r>
          </w:p>
        </w:tc>
        <w:tc>
          <w:tcPr>
            <w:tcW w:w="1642" w:type="dxa"/>
            <w:noWrap/>
            <w:hideMark/>
          </w:tcPr>
          <w:p w14:paraId="03331B71" w14:textId="77777777" w:rsidR="00871E1B" w:rsidRPr="00B92D83" w:rsidRDefault="00871E1B" w:rsidP="00A26A46">
            <w:pPr>
              <w:jc w:val="both"/>
            </w:pPr>
            <w:r w:rsidRPr="00B92D83">
              <w:t>1</w:t>
            </w:r>
          </w:p>
        </w:tc>
        <w:tc>
          <w:tcPr>
            <w:tcW w:w="1705" w:type="dxa"/>
            <w:noWrap/>
            <w:hideMark/>
          </w:tcPr>
          <w:p w14:paraId="5AB068E9" w14:textId="77777777" w:rsidR="00871E1B" w:rsidRPr="00B92D83" w:rsidRDefault="00871E1B" w:rsidP="00A26A46">
            <w:pPr>
              <w:jc w:val="both"/>
            </w:pPr>
          </w:p>
        </w:tc>
        <w:tc>
          <w:tcPr>
            <w:tcW w:w="2138" w:type="dxa"/>
            <w:noWrap/>
            <w:hideMark/>
          </w:tcPr>
          <w:p w14:paraId="3CB58897" w14:textId="77777777" w:rsidR="00871E1B" w:rsidRPr="00B92D83" w:rsidRDefault="00871E1B" w:rsidP="00A26A46">
            <w:pPr>
              <w:jc w:val="both"/>
            </w:pPr>
          </w:p>
        </w:tc>
      </w:tr>
      <w:tr w:rsidR="00871E1B" w:rsidRPr="00B92D83" w14:paraId="4FE246FE" w14:textId="77777777" w:rsidTr="00A26A46">
        <w:trPr>
          <w:trHeight w:val="290"/>
        </w:trPr>
        <w:tc>
          <w:tcPr>
            <w:tcW w:w="2152" w:type="dxa"/>
            <w:noWrap/>
            <w:hideMark/>
          </w:tcPr>
          <w:p w14:paraId="62C05C37" w14:textId="77777777" w:rsidR="00871E1B" w:rsidRPr="00B92D83" w:rsidRDefault="00871E1B" w:rsidP="00A26A46">
            <w:pPr>
              <w:jc w:val="both"/>
              <w:rPr>
                <w:b/>
                <w:bCs/>
              </w:rPr>
            </w:pPr>
            <w:r w:rsidRPr="00B92D83">
              <w:rPr>
                <w:b/>
                <w:bCs/>
              </w:rPr>
              <w:t>Unsystematic risk (%)</w:t>
            </w:r>
          </w:p>
        </w:tc>
        <w:tc>
          <w:tcPr>
            <w:tcW w:w="1713" w:type="dxa"/>
            <w:noWrap/>
            <w:hideMark/>
          </w:tcPr>
          <w:p w14:paraId="089E8BEA" w14:textId="77777777" w:rsidR="00871E1B" w:rsidRPr="00B92D83" w:rsidRDefault="00871E1B" w:rsidP="00A26A46">
            <w:pPr>
              <w:jc w:val="both"/>
            </w:pPr>
            <w:r w:rsidRPr="00B92D83">
              <w:t>0.989500737</w:t>
            </w:r>
          </w:p>
        </w:tc>
        <w:tc>
          <w:tcPr>
            <w:tcW w:w="1642" w:type="dxa"/>
            <w:noWrap/>
            <w:hideMark/>
          </w:tcPr>
          <w:p w14:paraId="456A52FE" w14:textId="77777777" w:rsidR="00871E1B" w:rsidRPr="00B92D83" w:rsidRDefault="00871E1B" w:rsidP="00A26A46">
            <w:pPr>
              <w:jc w:val="both"/>
            </w:pPr>
            <w:r w:rsidRPr="00B92D83">
              <w:t>-0.164069694</w:t>
            </w:r>
          </w:p>
        </w:tc>
        <w:tc>
          <w:tcPr>
            <w:tcW w:w="1705" w:type="dxa"/>
            <w:noWrap/>
            <w:hideMark/>
          </w:tcPr>
          <w:p w14:paraId="1AFEC2F3" w14:textId="77777777" w:rsidR="00871E1B" w:rsidRPr="00B92D83" w:rsidRDefault="00871E1B" w:rsidP="00A26A46">
            <w:pPr>
              <w:jc w:val="both"/>
            </w:pPr>
            <w:r w:rsidRPr="00B92D83">
              <w:t>1</w:t>
            </w:r>
          </w:p>
        </w:tc>
        <w:tc>
          <w:tcPr>
            <w:tcW w:w="2138" w:type="dxa"/>
            <w:noWrap/>
            <w:hideMark/>
          </w:tcPr>
          <w:p w14:paraId="3A89B49A" w14:textId="77777777" w:rsidR="00871E1B" w:rsidRPr="00B92D83" w:rsidRDefault="00871E1B" w:rsidP="00A26A46">
            <w:pPr>
              <w:jc w:val="both"/>
            </w:pPr>
          </w:p>
        </w:tc>
      </w:tr>
      <w:tr w:rsidR="00871E1B" w:rsidRPr="00B92D83" w14:paraId="49213EA2" w14:textId="77777777" w:rsidTr="00A26A46">
        <w:trPr>
          <w:trHeight w:val="300"/>
        </w:trPr>
        <w:tc>
          <w:tcPr>
            <w:tcW w:w="2152" w:type="dxa"/>
            <w:noWrap/>
            <w:hideMark/>
          </w:tcPr>
          <w:p w14:paraId="36CA7051" w14:textId="45B68F38" w:rsidR="00871E1B" w:rsidRPr="00B92D83" w:rsidRDefault="00BC2F37" w:rsidP="00A26A46">
            <w:pPr>
              <w:jc w:val="both"/>
              <w:rPr>
                <w:b/>
                <w:bCs/>
              </w:rPr>
            </w:pPr>
            <w:r w:rsidRPr="00B92D83">
              <w:rPr>
                <w:b/>
                <w:bCs/>
              </w:rPr>
              <w:t>R-square</w:t>
            </w:r>
            <w:r w:rsidR="00871E1B" w:rsidRPr="00B92D83">
              <w:rPr>
                <w:b/>
                <w:bCs/>
              </w:rPr>
              <w:t xml:space="preserve"> (%)</w:t>
            </w:r>
          </w:p>
        </w:tc>
        <w:tc>
          <w:tcPr>
            <w:tcW w:w="1713" w:type="dxa"/>
            <w:noWrap/>
            <w:hideMark/>
          </w:tcPr>
          <w:p w14:paraId="0F439870" w14:textId="77777777" w:rsidR="00871E1B" w:rsidRPr="00B92D83" w:rsidRDefault="00871E1B" w:rsidP="00A26A46">
            <w:pPr>
              <w:jc w:val="both"/>
            </w:pPr>
            <w:r>
              <w:t>-</w:t>
            </w:r>
            <w:r w:rsidRPr="00B92D83">
              <w:t>0.389440537</w:t>
            </w:r>
          </w:p>
        </w:tc>
        <w:tc>
          <w:tcPr>
            <w:tcW w:w="1642" w:type="dxa"/>
            <w:noWrap/>
            <w:hideMark/>
          </w:tcPr>
          <w:p w14:paraId="2F3BBF54" w14:textId="77777777" w:rsidR="00871E1B" w:rsidRPr="00B92D83" w:rsidRDefault="00871E1B" w:rsidP="00A26A46">
            <w:pPr>
              <w:jc w:val="both"/>
            </w:pPr>
            <w:r w:rsidRPr="00B92D83">
              <w:t>0.909922781</w:t>
            </w:r>
          </w:p>
        </w:tc>
        <w:tc>
          <w:tcPr>
            <w:tcW w:w="1705" w:type="dxa"/>
            <w:noWrap/>
            <w:hideMark/>
          </w:tcPr>
          <w:p w14:paraId="2227CDAA" w14:textId="77777777" w:rsidR="00871E1B" w:rsidRPr="00B92D83" w:rsidRDefault="00871E1B" w:rsidP="00A26A46">
            <w:pPr>
              <w:jc w:val="both"/>
            </w:pPr>
            <w:r w:rsidRPr="00B92D83">
              <w:t>-0.515773177</w:t>
            </w:r>
          </w:p>
        </w:tc>
        <w:tc>
          <w:tcPr>
            <w:tcW w:w="2138" w:type="dxa"/>
            <w:noWrap/>
            <w:hideMark/>
          </w:tcPr>
          <w:p w14:paraId="6C09A58F" w14:textId="77777777" w:rsidR="00871E1B" w:rsidRPr="00B92D83" w:rsidRDefault="00871E1B" w:rsidP="00A26A46">
            <w:pPr>
              <w:jc w:val="both"/>
            </w:pPr>
            <w:r w:rsidRPr="00B92D83">
              <w:t>1</w:t>
            </w:r>
          </w:p>
        </w:tc>
      </w:tr>
    </w:tbl>
    <w:p w14:paraId="1B6CA50B" w14:textId="77777777" w:rsidR="00871E1B" w:rsidRPr="00325F90" w:rsidRDefault="00871E1B" w:rsidP="00871E1B">
      <w:pPr>
        <w:jc w:val="both"/>
        <w:rPr>
          <w:rFonts w:ascii="Times New Roman" w:hAnsi="Times New Roman" w:cs="Times New Roman"/>
        </w:rPr>
      </w:pPr>
      <w:r w:rsidRPr="00B4121D">
        <w:rPr>
          <w:rFonts w:ascii="Times New Roman" w:hAnsi="Times New Roman" w:cs="Times New Roman"/>
          <w:i/>
          <w:iCs/>
          <w:color w:val="000000"/>
          <w:kern w:val="0"/>
          <w:sz w:val="23"/>
          <w:szCs w:val="23"/>
        </w:rPr>
        <w:t xml:space="preserve"> </w:t>
      </w:r>
      <w:r>
        <w:rPr>
          <w:rFonts w:ascii="Times New Roman" w:hAnsi="Times New Roman" w:cs="Times New Roman"/>
          <w:i/>
          <w:iCs/>
          <w:color w:val="000000"/>
          <w:kern w:val="0"/>
          <w:sz w:val="23"/>
          <w:szCs w:val="23"/>
        </w:rPr>
        <w:tab/>
      </w:r>
      <w:r>
        <w:rPr>
          <w:rFonts w:ascii="Times New Roman" w:hAnsi="Times New Roman" w:cs="Times New Roman"/>
          <w:i/>
          <w:iCs/>
          <w:color w:val="000000"/>
          <w:kern w:val="0"/>
          <w:sz w:val="23"/>
          <w:szCs w:val="23"/>
        </w:rPr>
        <w:tab/>
      </w:r>
      <w:r>
        <w:rPr>
          <w:rFonts w:ascii="Times New Roman" w:hAnsi="Times New Roman" w:cs="Times New Roman"/>
          <w:i/>
          <w:iCs/>
          <w:color w:val="000000"/>
          <w:kern w:val="0"/>
          <w:sz w:val="23"/>
          <w:szCs w:val="23"/>
        </w:rPr>
        <w:tab/>
      </w:r>
      <w:r>
        <w:rPr>
          <w:rFonts w:ascii="Times New Roman" w:hAnsi="Times New Roman" w:cs="Times New Roman"/>
          <w:i/>
          <w:iCs/>
          <w:color w:val="000000"/>
          <w:kern w:val="0"/>
          <w:sz w:val="23"/>
          <w:szCs w:val="23"/>
        </w:rPr>
        <w:tab/>
      </w:r>
      <w:r>
        <w:rPr>
          <w:rFonts w:ascii="Times New Roman" w:hAnsi="Times New Roman" w:cs="Times New Roman"/>
          <w:i/>
          <w:iCs/>
          <w:color w:val="000000"/>
          <w:kern w:val="0"/>
          <w:sz w:val="23"/>
          <w:szCs w:val="23"/>
        </w:rPr>
        <w:tab/>
      </w:r>
      <w:r>
        <w:rPr>
          <w:rFonts w:ascii="Times New Roman" w:hAnsi="Times New Roman" w:cs="Times New Roman"/>
          <w:i/>
          <w:iCs/>
          <w:color w:val="000000"/>
          <w:kern w:val="0"/>
          <w:sz w:val="23"/>
          <w:szCs w:val="23"/>
        </w:rPr>
        <w:tab/>
      </w:r>
      <w:r>
        <w:rPr>
          <w:rFonts w:ascii="Times New Roman" w:hAnsi="Times New Roman" w:cs="Times New Roman"/>
          <w:i/>
          <w:iCs/>
          <w:color w:val="000000"/>
          <w:kern w:val="0"/>
          <w:sz w:val="23"/>
          <w:szCs w:val="23"/>
        </w:rPr>
        <w:tab/>
      </w:r>
      <w:r>
        <w:rPr>
          <w:rFonts w:ascii="Times New Roman" w:hAnsi="Times New Roman" w:cs="Times New Roman"/>
          <w:i/>
          <w:iCs/>
          <w:color w:val="000000"/>
          <w:kern w:val="0"/>
          <w:sz w:val="23"/>
          <w:szCs w:val="23"/>
        </w:rPr>
        <w:tab/>
      </w:r>
      <w:r>
        <w:rPr>
          <w:rFonts w:ascii="Times New Roman" w:hAnsi="Times New Roman" w:cs="Times New Roman"/>
          <w:i/>
          <w:iCs/>
          <w:color w:val="000000"/>
          <w:kern w:val="0"/>
          <w:sz w:val="23"/>
          <w:szCs w:val="23"/>
        </w:rPr>
        <w:tab/>
      </w:r>
      <w:r w:rsidRPr="00325F90">
        <w:rPr>
          <w:rFonts w:ascii="Times New Roman" w:hAnsi="Times New Roman" w:cs="Times New Roman"/>
          <w:i/>
          <w:iCs/>
          <w:color w:val="000000"/>
          <w:kern w:val="0"/>
          <w:sz w:val="23"/>
          <w:szCs w:val="23"/>
        </w:rPr>
        <w:t xml:space="preserve">       </w:t>
      </w:r>
      <w:r w:rsidRPr="00325F90">
        <w:rPr>
          <w:rFonts w:ascii="Times New Roman" w:hAnsi="Times New Roman" w:cs="Times New Roman"/>
          <w:i/>
          <w:iCs/>
        </w:rPr>
        <w:t>Source: Authors calculation</w:t>
      </w:r>
    </w:p>
    <w:p w14:paraId="50F2CE5C" w14:textId="4D874D84" w:rsidR="00D04133" w:rsidRPr="003F0407" w:rsidRDefault="00871E1B" w:rsidP="003F0407">
      <w:pPr>
        <w:spacing w:line="360" w:lineRule="auto"/>
        <w:jc w:val="both"/>
        <w:rPr>
          <w:rFonts w:ascii="Times New Roman" w:hAnsi="Times New Roman" w:cs="Times New Roman"/>
          <w:sz w:val="24"/>
          <w:szCs w:val="24"/>
        </w:rPr>
      </w:pPr>
      <w:r w:rsidRPr="00325F90">
        <w:rPr>
          <w:rFonts w:ascii="Times New Roman" w:hAnsi="Times New Roman" w:cs="Times New Roman"/>
          <w:sz w:val="24"/>
          <w:szCs w:val="24"/>
        </w:rPr>
        <w:t>From the Table-</w:t>
      </w:r>
      <w:r w:rsidRPr="00325F90">
        <w:rPr>
          <w:rFonts w:ascii="Times New Roman" w:hAnsi="Times New Roman" w:cs="Times New Roman"/>
          <w:b/>
          <w:bCs/>
          <w:sz w:val="24"/>
          <w:szCs w:val="24"/>
        </w:rPr>
        <w:t>2</w:t>
      </w:r>
      <w:r w:rsidR="00BC2F37">
        <w:rPr>
          <w:rFonts w:ascii="Times New Roman" w:hAnsi="Times New Roman" w:cs="Times New Roman"/>
          <w:sz w:val="24"/>
          <w:szCs w:val="24"/>
        </w:rPr>
        <w:t xml:space="preserve">, </w:t>
      </w:r>
      <w:r w:rsidR="00BC2F37" w:rsidRPr="00325F90">
        <w:rPr>
          <w:rFonts w:ascii="Times New Roman" w:hAnsi="Times New Roman" w:cs="Times New Roman"/>
          <w:sz w:val="24"/>
          <w:szCs w:val="24"/>
        </w:rPr>
        <w:t>reveals</w:t>
      </w:r>
      <w:r w:rsidRPr="00325F90">
        <w:rPr>
          <w:rFonts w:ascii="Times New Roman" w:hAnsi="Times New Roman" w:cs="Times New Roman"/>
          <w:sz w:val="24"/>
          <w:szCs w:val="24"/>
        </w:rPr>
        <w:t xml:space="preserve"> the relationship among Risk with the coefficient of determination indicating movement of respective variables in a regression model. Value of positive correlation indicates same way</w:t>
      </w:r>
      <w:r w:rsidRPr="00773ED1">
        <w:rPr>
          <w:rFonts w:ascii="Times New Roman" w:hAnsi="Times New Roman" w:cs="Times New Roman"/>
        </w:rPr>
        <w:t xml:space="preserve"> </w:t>
      </w:r>
      <w:r w:rsidRPr="00325F90">
        <w:rPr>
          <w:rFonts w:ascii="Times New Roman" w:hAnsi="Times New Roman" w:cs="Times New Roman"/>
          <w:sz w:val="24"/>
          <w:szCs w:val="24"/>
        </w:rPr>
        <w:t>changes with variables changes, which means changing return with market with proportion to degree of correlation and negative correlation indicates opposite directions movement against variables.</w:t>
      </w:r>
      <w:r>
        <w:rPr>
          <w:rFonts w:ascii="Times New Roman" w:hAnsi="Times New Roman" w:cs="Times New Roman"/>
          <w:b/>
          <w:bCs/>
          <w:sz w:val="24"/>
          <w:szCs w:val="24"/>
        </w:rPr>
        <w:t xml:space="preserve"> </w:t>
      </w:r>
      <w:r w:rsidR="00610DCD" w:rsidRPr="00325F90">
        <w:rPr>
          <w:rFonts w:ascii="Times New Roman" w:hAnsi="Times New Roman" w:cs="Times New Roman"/>
          <w:sz w:val="24"/>
          <w:szCs w:val="24"/>
        </w:rPr>
        <w:t>It</w:t>
      </w:r>
      <w:r w:rsidRPr="00325F90">
        <w:rPr>
          <w:rFonts w:ascii="Times New Roman" w:hAnsi="Times New Roman" w:cs="Times New Roman"/>
          <w:sz w:val="24"/>
          <w:szCs w:val="24"/>
        </w:rPr>
        <w:t xml:space="preserve"> is manifested that total risk shows negative correlation </w:t>
      </w:r>
      <w:r w:rsidRPr="00610DCD">
        <w:rPr>
          <w:rFonts w:ascii="Times New Roman" w:hAnsi="Times New Roman" w:cs="Times New Roman"/>
          <w:bCs/>
          <w:sz w:val="24"/>
          <w:szCs w:val="24"/>
        </w:rPr>
        <w:t>with</w:t>
      </w:r>
      <w:r w:rsidRPr="00325F90">
        <w:rPr>
          <w:rFonts w:ascii="Times New Roman" w:hAnsi="Times New Roman" w:cs="Times New Roman"/>
          <w:sz w:val="24"/>
          <w:szCs w:val="24"/>
        </w:rPr>
        <w:t xml:space="preserve"> systematic risk (-0.0197</w:t>
      </w:r>
      <w:r w:rsidR="007C71E9">
        <w:rPr>
          <w:rFonts w:ascii="Times New Roman" w:hAnsi="Times New Roman" w:cs="Times New Roman"/>
          <w:sz w:val="24"/>
          <w:szCs w:val="24"/>
        </w:rPr>
        <w:t>7779</w:t>
      </w:r>
      <w:r w:rsidRPr="00325F90">
        <w:rPr>
          <w:rFonts w:ascii="Times New Roman" w:hAnsi="Times New Roman" w:cs="Times New Roman"/>
          <w:sz w:val="24"/>
          <w:szCs w:val="24"/>
        </w:rPr>
        <w:t>)</w:t>
      </w:r>
      <w:r w:rsidR="00610DCD">
        <w:rPr>
          <w:rFonts w:ascii="Times New Roman" w:hAnsi="Times New Roman" w:cs="Times New Roman"/>
          <w:sz w:val="24"/>
          <w:szCs w:val="24"/>
        </w:rPr>
        <w:t xml:space="preserve"> and r-square (</w:t>
      </w:r>
      <w:r w:rsidRPr="00325F90">
        <w:rPr>
          <w:rFonts w:ascii="Times New Roman" w:hAnsi="Times New Roman" w:cs="Times New Roman"/>
          <w:sz w:val="24"/>
          <w:szCs w:val="24"/>
        </w:rPr>
        <w:t>-0.389440537), and there is strong positive correlation between total risk and unsystematic risk (0.989500737). There is also negative correlation between unsystematic risk and systematic risk (-0.164069694), and there is strong positive correlation between systematic risk and r- square (0.909922781), that indicates same correlation between them. Added that there is also negative correlation between unsystematic risk and r- square (-0.515773177).</w:t>
      </w:r>
      <w:r w:rsidR="00653777">
        <w:rPr>
          <w:rFonts w:ascii="Times New Roman" w:hAnsi="Times New Roman" w:cs="Times New Roman"/>
          <w:sz w:val="24"/>
          <w:szCs w:val="24"/>
        </w:rPr>
        <w:t xml:space="preserve"> I</w:t>
      </w:r>
      <w:r w:rsidRPr="00325F90">
        <w:rPr>
          <w:rFonts w:ascii="Times New Roman" w:hAnsi="Times New Roman" w:cs="Times New Roman"/>
          <w:sz w:val="24"/>
          <w:szCs w:val="24"/>
        </w:rPr>
        <w:t>t represents that high r- square experienced low total risk and systematic risk.</w:t>
      </w:r>
    </w:p>
    <w:p w14:paraId="38D890B1" w14:textId="77777777" w:rsidR="00871E1B" w:rsidRPr="00773ED1" w:rsidRDefault="00871E1B" w:rsidP="00871E1B">
      <w:pPr>
        <w:jc w:val="center"/>
        <w:rPr>
          <w:rFonts w:ascii="Times New Roman" w:hAnsi="Times New Roman" w:cs="Times New Roman"/>
          <w:b/>
          <w:bCs/>
          <w:i/>
          <w:iCs/>
        </w:rPr>
      </w:pPr>
      <w:r w:rsidRPr="00773ED1">
        <w:rPr>
          <w:rFonts w:ascii="Times New Roman" w:hAnsi="Times New Roman" w:cs="Times New Roman"/>
          <w:b/>
          <w:bCs/>
        </w:rPr>
        <w:t xml:space="preserve">Table-3: </w:t>
      </w:r>
      <w:r w:rsidRPr="00773ED1">
        <w:rPr>
          <w:rFonts w:ascii="Times New Roman" w:hAnsi="Times New Roman" w:cs="Times New Roman"/>
          <w:b/>
          <w:bCs/>
          <w:i/>
          <w:iCs/>
        </w:rPr>
        <w:t>Result of Fama Decomposition Model</w:t>
      </w:r>
    </w:p>
    <w:tbl>
      <w:tblPr>
        <w:tblStyle w:val="TableGrid"/>
        <w:tblpPr w:leftFromText="180" w:rightFromText="180" w:vertAnchor="text" w:horzAnchor="margin" w:tblpXSpec="center" w:tblpY="171"/>
        <w:tblW w:w="8894" w:type="dxa"/>
        <w:tblLook w:val="04A0" w:firstRow="1" w:lastRow="0" w:firstColumn="1" w:lastColumn="0" w:noHBand="0" w:noVBand="1"/>
      </w:tblPr>
      <w:tblGrid>
        <w:gridCol w:w="1516"/>
        <w:gridCol w:w="829"/>
        <w:gridCol w:w="1192"/>
        <w:gridCol w:w="1597"/>
        <w:gridCol w:w="1169"/>
        <w:gridCol w:w="1182"/>
        <w:gridCol w:w="1409"/>
      </w:tblGrid>
      <w:tr w:rsidR="00871E1B" w14:paraId="7FBFF466" w14:textId="77777777" w:rsidTr="00A26A46">
        <w:trPr>
          <w:trHeight w:val="1160"/>
        </w:trPr>
        <w:tc>
          <w:tcPr>
            <w:tcW w:w="1519" w:type="dxa"/>
            <w:vAlign w:val="center"/>
          </w:tcPr>
          <w:p w14:paraId="67339C48" w14:textId="77777777" w:rsidR="00871E1B" w:rsidRPr="00325F90" w:rsidRDefault="00871E1B" w:rsidP="00A26A46">
            <w:pPr>
              <w:jc w:val="center"/>
              <w:rPr>
                <w:rFonts w:ascii="Times New Roman" w:hAnsi="Times New Roman" w:cs="Times New Roman"/>
              </w:rPr>
            </w:pPr>
            <w:r w:rsidRPr="00325F90">
              <w:rPr>
                <w:rFonts w:ascii="Times New Roman" w:hAnsi="Times New Roman" w:cs="Times New Roman"/>
                <w:b/>
                <w:bCs/>
                <w:color w:val="000000"/>
                <w:sz w:val="28"/>
                <w:szCs w:val="28"/>
              </w:rPr>
              <w:t>Name</w:t>
            </w:r>
          </w:p>
        </w:tc>
        <w:tc>
          <w:tcPr>
            <w:tcW w:w="855" w:type="dxa"/>
          </w:tcPr>
          <w:p w14:paraId="41FF6906" w14:textId="77777777" w:rsidR="00871E1B" w:rsidRPr="00325F90" w:rsidRDefault="00871E1B" w:rsidP="00A26A46">
            <w:pPr>
              <w:jc w:val="center"/>
              <w:rPr>
                <w:rFonts w:ascii="Times New Roman" w:hAnsi="Times New Roman" w:cs="Times New Roman"/>
                <w:b/>
                <w:bCs/>
                <w:color w:val="000000"/>
              </w:rPr>
            </w:pPr>
            <w:r w:rsidRPr="00325F90">
              <w:rPr>
                <w:rFonts w:ascii="Times New Roman" w:hAnsi="Times New Roman" w:cs="Times New Roman"/>
                <w:b/>
                <w:bCs/>
                <w:color w:val="000000"/>
              </w:rPr>
              <w:t xml:space="preserve">Risk </w:t>
            </w:r>
            <w:r>
              <w:rPr>
                <w:rFonts w:ascii="Times New Roman" w:hAnsi="Times New Roman" w:cs="Times New Roman"/>
                <w:b/>
                <w:bCs/>
                <w:color w:val="000000"/>
              </w:rPr>
              <w:t>F</w:t>
            </w:r>
            <w:r w:rsidRPr="00325F90">
              <w:rPr>
                <w:rFonts w:ascii="Times New Roman" w:hAnsi="Times New Roman" w:cs="Times New Roman"/>
                <w:b/>
                <w:bCs/>
                <w:color w:val="000000"/>
              </w:rPr>
              <w:t xml:space="preserve">ree </w:t>
            </w:r>
            <w:r>
              <w:rPr>
                <w:rFonts w:ascii="Times New Roman" w:hAnsi="Times New Roman" w:cs="Times New Roman"/>
                <w:b/>
                <w:bCs/>
                <w:color w:val="000000"/>
              </w:rPr>
              <w:t>R</w:t>
            </w:r>
            <w:r w:rsidRPr="00325F90">
              <w:rPr>
                <w:rFonts w:ascii="Times New Roman" w:hAnsi="Times New Roman" w:cs="Times New Roman"/>
                <w:b/>
                <w:bCs/>
                <w:color w:val="000000"/>
              </w:rPr>
              <w:t>ate</w:t>
            </w:r>
          </w:p>
          <w:p w14:paraId="7E6CD01C" w14:textId="77777777" w:rsidR="00871E1B" w:rsidRPr="00325F90" w:rsidRDefault="00871E1B" w:rsidP="00A26A46">
            <w:pPr>
              <w:jc w:val="center"/>
              <w:rPr>
                <w:rFonts w:ascii="Times New Roman" w:hAnsi="Times New Roman" w:cs="Times New Roman"/>
                <w:b/>
                <w:bCs/>
                <w:color w:val="000000"/>
              </w:rPr>
            </w:pPr>
          </w:p>
        </w:tc>
        <w:tc>
          <w:tcPr>
            <w:tcW w:w="1207" w:type="dxa"/>
            <w:vAlign w:val="center"/>
          </w:tcPr>
          <w:p w14:paraId="2F78C692" w14:textId="77777777" w:rsidR="00871E1B" w:rsidRPr="00325F90" w:rsidRDefault="00871E1B" w:rsidP="00A26A46">
            <w:pPr>
              <w:jc w:val="center"/>
              <w:rPr>
                <w:rFonts w:ascii="Times New Roman" w:hAnsi="Times New Roman" w:cs="Times New Roman"/>
                <w:b/>
                <w:bCs/>
                <w:color w:val="000000"/>
              </w:rPr>
            </w:pPr>
            <w:r w:rsidRPr="00325F90">
              <w:rPr>
                <w:rFonts w:ascii="Times New Roman" w:hAnsi="Times New Roman" w:cs="Times New Roman"/>
                <w:b/>
                <w:bCs/>
                <w:color w:val="000000"/>
              </w:rPr>
              <w:t>Market Premium</w:t>
            </w:r>
          </w:p>
          <w:p w14:paraId="4766A761" w14:textId="77777777" w:rsidR="00871E1B" w:rsidRPr="00325F90" w:rsidRDefault="00871E1B" w:rsidP="00A26A46">
            <w:pPr>
              <w:jc w:val="center"/>
              <w:rPr>
                <w:rFonts w:ascii="Times New Roman" w:hAnsi="Times New Roman" w:cs="Times New Roman"/>
                <w:b/>
                <w:bCs/>
              </w:rPr>
            </w:pPr>
          </w:p>
        </w:tc>
        <w:tc>
          <w:tcPr>
            <w:tcW w:w="1524" w:type="dxa"/>
            <w:vAlign w:val="center"/>
          </w:tcPr>
          <w:p w14:paraId="483013FF" w14:textId="77777777" w:rsidR="00871E1B" w:rsidRPr="00325F90" w:rsidRDefault="00871E1B" w:rsidP="00A26A46">
            <w:pPr>
              <w:jc w:val="center"/>
              <w:rPr>
                <w:rFonts w:ascii="Times New Roman" w:hAnsi="Times New Roman" w:cs="Times New Roman"/>
                <w:b/>
                <w:bCs/>
                <w:color w:val="000000"/>
              </w:rPr>
            </w:pPr>
            <w:r w:rsidRPr="00325F90">
              <w:rPr>
                <w:rFonts w:ascii="Times New Roman" w:hAnsi="Times New Roman" w:cs="Times New Roman"/>
                <w:b/>
                <w:bCs/>
                <w:color w:val="000000"/>
              </w:rPr>
              <w:t>Return of Diversification</w:t>
            </w:r>
          </w:p>
          <w:p w14:paraId="777BFCB8" w14:textId="77777777" w:rsidR="00871E1B" w:rsidRPr="00325F90" w:rsidRDefault="00871E1B" w:rsidP="00A26A46">
            <w:pPr>
              <w:jc w:val="center"/>
              <w:rPr>
                <w:rFonts w:ascii="Times New Roman" w:hAnsi="Times New Roman" w:cs="Times New Roman"/>
              </w:rPr>
            </w:pPr>
          </w:p>
        </w:tc>
        <w:tc>
          <w:tcPr>
            <w:tcW w:w="1172" w:type="dxa"/>
            <w:vAlign w:val="center"/>
          </w:tcPr>
          <w:p w14:paraId="6A9B0BF0" w14:textId="77777777" w:rsidR="00871E1B" w:rsidRPr="00325F90" w:rsidRDefault="00871E1B" w:rsidP="00A26A46">
            <w:pPr>
              <w:jc w:val="center"/>
              <w:rPr>
                <w:rFonts w:ascii="Times New Roman" w:hAnsi="Times New Roman" w:cs="Times New Roman"/>
              </w:rPr>
            </w:pPr>
            <w:r w:rsidRPr="00325F90">
              <w:rPr>
                <w:rFonts w:ascii="Times New Roman" w:hAnsi="Times New Roman" w:cs="Times New Roman"/>
                <w:b/>
                <w:bCs/>
                <w:color w:val="000000"/>
              </w:rPr>
              <w:t>Return of selectivity</w:t>
            </w:r>
          </w:p>
        </w:tc>
        <w:tc>
          <w:tcPr>
            <w:tcW w:w="1155" w:type="dxa"/>
          </w:tcPr>
          <w:p w14:paraId="5925E202" w14:textId="77777777" w:rsidR="00871E1B" w:rsidRPr="00325F90" w:rsidRDefault="00871E1B" w:rsidP="00A26A46">
            <w:pPr>
              <w:jc w:val="center"/>
              <w:rPr>
                <w:rFonts w:ascii="Times New Roman" w:hAnsi="Times New Roman" w:cs="Times New Roman"/>
                <w:b/>
                <w:bCs/>
                <w:color w:val="000000"/>
              </w:rPr>
            </w:pPr>
            <w:r w:rsidRPr="00325F90">
              <w:rPr>
                <w:rFonts w:ascii="Times New Roman" w:hAnsi="Times New Roman" w:cs="Times New Roman"/>
                <w:b/>
                <w:bCs/>
                <w:color w:val="000000"/>
              </w:rPr>
              <w:t>Fama's Net Selectivity</w:t>
            </w:r>
          </w:p>
          <w:p w14:paraId="1D5C4F2E" w14:textId="77777777" w:rsidR="00871E1B" w:rsidRPr="00325F90" w:rsidRDefault="00871E1B" w:rsidP="00A26A46">
            <w:pPr>
              <w:jc w:val="center"/>
              <w:rPr>
                <w:rFonts w:ascii="Times New Roman" w:hAnsi="Times New Roman" w:cs="Times New Roman"/>
                <w:b/>
                <w:bCs/>
                <w:color w:val="000000"/>
              </w:rPr>
            </w:pPr>
          </w:p>
        </w:tc>
        <w:tc>
          <w:tcPr>
            <w:tcW w:w="1462" w:type="dxa"/>
          </w:tcPr>
          <w:p w14:paraId="79565320" w14:textId="77777777" w:rsidR="00871E1B" w:rsidRPr="00325F90" w:rsidRDefault="00871E1B" w:rsidP="00A26A46">
            <w:pPr>
              <w:jc w:val="center"/>
              <w:rPr>
                <w:rFonts w:ascii="Times New Roman" w:hAnsi="Times New Roman" w:cs="Times New Roman"/>
                <w:b/>
                <w:bCs/>
                <w:color w:val="000000"/>
              </w:rPr>
            </w:pPr>
            <w:r w:rsidRPr="00325F90">
              <w:rPr>
                <w:rFonts w:ascii="Times New Roman" w:hAnsi="Times New Roman" w:cs="Times New Roman"/>
                <w:b/>
                <w:bCs/>
                <w:color w:val="000000"/>
              </w:rPr>
              <w:t>Portfolio Return</w:t>
            </w:r>
          </w:p>
        </w:tc>
      </w:tr>
      <w:tr w:rsidR="00871E1B" w14:paraId="3FF4FBAF" w14:textId="77777777" w:rsidTr="00A26A46">
        <w:trPr>
          <w:trHeight w:val="260"/>
        </w:trPr>
        <w:tc>
          <w:tcPr>
            <w:tcW w:w="1519" w:type="dxa"/>
            <w:vAlign w:val="center"/>
          </w:tcPr>
          <w:p w14:paraId="020FDDFA" w14:textId="77777777" w:rsidR="00871E1B" w:rsidRDefault="00871E1B" w:rsidP="00A26A46">
            <w:pPr>
              <w:jc w:val="center"/>
            </w:pPr>
            <w:r>
              <w:rPr>
                <w:rFonts w:ascii="Calibri" w:hAnsi="Calibri" w:cs="Calibri"/>
                <w:b/>
                <w:bCs/>
                <w:color w:val="000000"/>
              </w:rPr>
              <w:t>1JANATAMF</w:t>
            </w:r>
          </w:p>
        </w:tc>
        <w:tc>
          <w:tcPr>
            <w:tcW w:w="855" w:type="dxa"/>
          </w:tcPr>
          <w:p w14:paraId="35C3691B" w14:textId="77777777" w:rsidR="00871E1B" w:rsidRDefault="00871E1B" w:rsidP="00A26A46">
            <w:pPr>
              <w:jc w:val="center"/>
              <w:rPr>
                <w:color w:val="000000"/>
              </w:rPr>
            </w:pPr>
            <w:r>
              <w:rPr>
                <w:rFonts w:ascii="Calibri" w:hAnsi="Calibri" w:cs="Calibri"/>
                <w:color w:val="000000"/>
              </w:rPr>
              <w:t>7.52</w:t>
            </w:r>
          </w:p>
        </w:tc>
        <w:tc>
          <w:tcPr>
            <w:tcW w:w="1207" w:type="dxa"/>
            <w:vAlign w:val="center"/>
          </w:tcPr>
          <w:p w14:paraId="24A40DE0" w14:textId="77777777" w:rsidR="00871E1B" w:rsidRDefault="00871E1B" w:rsidP="00A26A46">
            <w:pPr>
              <w:jc w:val="center"/>
            </w:pPr>
            <w:r>
              <w:rPr>
                <w:color w:val="000000"/>
              </w:rPr>
              <w:t>-3.8784</w:t>
            </w:r>
          </w:p>
        </w:tc>
        <w:tc>
          <w:tcPr>
            <w:tcW w:w="1524" w:type="dxa"/>
            <w:vAlign w:val="center"/>
          </w:tcPr>
          <w:p w14:paraId="44B5056B" w14:textId="77777777" w:rsidR="00871E1B" w:rsidRDefault="00871E1B" w:rsidP="00A26A46">
            <w:pPr>
              <w:jc w:val="both"/>
            </w:pPr>
            <w:r>
              <w:rPr>
                <w:color w:val="000000"/>
              </w:rPr>
              <w:t>-3.6284</w:t>
            </w:r>
          </w:p>
        </w:tc>
        <w:tc>
          <w:tcPr>
            <w:tcW w:w="1172" w:type="dxa"/>
            <w:vAlign w:val="center"/>
          </w:tcPr>
          <w:p w14:paraId="6F9DB8CD" w14:textId="77777777" w:rsidR="00871E1B" w:rsidRDefault="00871E1B" w:rsidP="00A26A46">
            <w:pPr>
              <w:jc w:val="both"/>
            </w:pPr>
            <w:r>
              <w:rPr>
                <w:color w:val="000000"/>
              </w:rPr>
              <w:t>-2.3464</w:t>
            </w:r>
          </w:p>
        </w:tc>
        <w:tc>
          <w:tcPr>
            <w:tcW w:w="1155" w:type="dxa"/>
            <w:vAlign w:val="center"/>
          </w:tcPr>
          <w:p w14:paraId="10C79600" w14:textId="77777777" w:rsidR="00871E1B" w:rsidRDefault="00871E1B" w:rsidP="00A26A46">
            <w:pPr>
              <w:jc w:val="both"/>
              <w:rPr>
                <w:color w:val="000000"/>
              </w:rPr>
            </w:pPr>
            <w:r>
              <w:rPr>
                <w:color w:val="000000"/>
              </w:rPr>
              <w:t>-18.3205</w:t>
            </w:r>
          </w:p>
        </w:tc>
        <w:tc>
          <w:tcPr>
            <w:tcW w:w="1462" w:type="dxa"/>
            <w:vAlign w:val="center"/>
          </w:tcPr>
          <w:p w14:paraId="53D2257D" w14:textId="77777777" w:rsidR="00871E1B" w:rsidRDefault="00871E1B" w:rsidP="00A26A46">
            <w:pPr>
              <w:jc w:val="both"/>
              <w:rPr>
                <w:color w:val="000000"/>
              </w:rPr>
            </w:pPr>
            <w:r>
              <w:rPr>
                <w:color w:val="000000"/>
              </w:rPr>
              <w:t>-2.33</w:t>
            </w:r>
          </w:p>
        </w:tc>
      </w:tr>
      <w:tr w:rsidR="00871E1B" w14:paraId="657F2141" w14:textId="77777777" w:rsidTr="00A26A46">
        <w:trPr>
          <w:trHeight w:val="260"/>
        </w:trPr>
        <w:tc>
          <w:tcPr>
            <w:tcW w:w="1519" w:type="dxa"/>
            <w:vAlign w:val="center"/>
          </w:tcPr>
          <w:p w14:paraId="34684928" w14:textId="77777777" w:rsidR="00871E1B" w:rsidRDefault="00871E1B" w:rsidP="00A26A46">
            <w:pPr>
              <w:jc w:val="center"/>
            </w:pPr>
            <w:r>
              <w:rPr>
                <w:b/>
                <w:bCs/>
                <w:color w:val="000000"/>
              </w:rPr>
              <w:t>1STPRIMFMF</w:t>
            </w:r>
          </w:p>
        </w:tc>
        <w:tc>
          <w:tcPr>
            <w:tcW w:w="855" w:type="dxa"/>
          </w:tcPr>
          <w:p w14:paraId="1FCB628B" w14:textId="77777777" w:rsidR="00871E1B" w:rsidRDefault="00871E1B" w:rsidP="00A26A46">
            <w:pPr>
              <w:jc w:val="center"/>
              <w:rPr>
                <w:color w:val="000000"/>
              </w:rPr>
            </w:pPr>
            <w:r w:rsidRPr="00CF7C75">
              <w:rPr>
                <w:rFonts w:ascii="Calibri" w:hAnsi="Calibri" w:cs="Calibri"/>
                <w:color w:val="000000"/>
              </w:rPr>
              <w:t>7.52</w:t>
            </w:r>
          </w:p>
        </w:tc>
        <w:tc>
          <w:tcPr>
            <w:tcW w:w="1207" w:type="dxa"/>
            <w:vAlign w:val="center"/>
          </w:tcPr>
          <w:p w14:paraId="58902E42" w14:textId="77777777" w:rsidR="00871E1B" w:rsidRDefault="00871E1B" w:rsidP="00A26A46">
            <w:pPr>
              <w:jc w:val="center"/>
            </w:pPr>
            <w:r>
              <w:rPr>
                <w:color w:val="000000"/>
              </w:rPr>
              <w:t>-4.6909</w:t>
            </w:r>
          </w:p>
        </w:tc>
        <w:tc>
          <w:tcPr>
            <w:tcW w:w="1524" w:type="dxa"/>
            <w:vAlign w:val="center"/>
          </w:tcPr>
          <w:p w14:paraId="2E4B89EC" w14:textId="77777777" w:rsidR="00871E1B" w:rsidRDefault="00871E1B" w:rsidP="00A26A46">
            <w:pPr>
              <w:jc w:val="both"/>
            </w:pPr>
            <w:r>
              <w:rPr>
                <w:color w:val="000000"/>
              </w:rPr>
              <w:t>-2.2129</w:t>
            </w:r>
          </w:p>
        </w:tc>
        <w:tc>
          <w:tcPr>
            <w:tcW w:w="1172" w:type="dxa"/>
            <w:vAlign w:val="center"/>
          </w:tcPr>
          <w:p w14:paraId="22F6E473" w14:textId="77777777" w:rsidR="00871E1B" w:rsidRDefault="00871E1B" w:rsidP="00A26A46">
            <w:pPr>
              <w:jc w:val="both"/>
            </w:pPr>
            <w:r>
              <w:rPr>
                <w:color w:val="000000"/>
              </w:rPr>
              <w:t>17.5113</w:t>
            </w:r>
          </w:p>
        </w:tc>
        <w:tc>
          <w:tcPr>
            <w:tcW w:w="1155" w:type="dxa"/>
            <w:vAlign w:val="center"/>
          </w:tcPr>
          <w:p w14:paraId="74A6CEB7" w14:textId="77777777" w:rsidR="00871E1B" w:rsidRDefault="00871E1B" w:rsidP="00A26A46">
            <w:pPr>
              <w:jc w:val="both"/>
              <w:rPr>
                <w:color w:val="000000"/>
              </w:rPr>
            </w:pPr>
            <w:r>
              <w:rPr>
                <w:color w:val="000000"/>
              </w:rPr>
              <w:t>-5.2138</w:t>
            </w:r>
          </w:p>
        </w:tc>
        <w:tc>
          <w:tcPr>
            <w:tcW w:w="1462" w:type="dxa"/>
            <w:vAlign w:val="center"/>
          </w:tcPr>
          <w:p w14:paraId="3E553280" w14:textId="77777777" w:rsidR="00871E1B" w:rsidRDefault="00871E1B" w:rsidP="00A26A46">
            <w:pPr>
              <w:jc w:val="both"/>
              <w:rPr>
                <w:color w:val="000000"/>
              </w:rPr>
            </w:pPr>
            <w:r>
              <w:rPr>
                <w:color w:val="000000"/>
              </w:rPr>
              <w:t>18.13</w:t>
            </w:r>
          </w:p>
        </w:tc>
      </w:tr>
      <w:tr w:rsidR="00871E1B" w14:paraId="6C052B3B" w14:textId="77777777" w:rsidTr="00A26A46">
        <w:trPr>
          <w:trHeight w:val="250"/>
        </w:trPr>
        <w:tc>
          <w:tcPr>
            <w:tcW w:w="1519" w:type="dxa"/>
            <w:vAlign w:val="center"/>
          </w:tcPr>
          <w:p w14:paraId="592BA2C3" w14:textId="77777777" w:rsidR="00871E1B" w:rsidRDefault="00871E1B" w:rsidP="00A26A46">
            <w:pPr>
              <w:jc w:val="center"/>
            </w:pPr>
            <w:r>
              <w:rPr>
                <w:rFonts w:ascii="Calibri" w:hAnsi="Calibri" w:cs="Calibri"/>
                <w:b/>
                <w:bCs/>
                <w:color w:val="000000"/>
              </w:rPr>
              <w:t>ABB1STMF</w:t>
            </w:r>
          </w:p>
        </w:tc>
        <w:tc>
          <w:tcPr>
            <w:tcW w:w="855" w:type="dxa"/>
          </w:tcPr>
          <w:p w14:paraId="7A0FFF1C" w14:textId="77777777" w:rsidR="00871E1B" w:rsidRDefault="00871E1B" w:rsidP="00A26A46">
            <w:pPr>
              <w:jc w:val="center"/>
              <w:rPr>
                <w:color w:val="000000"/>
              </w:rPr>
            </w:pPr>
            <w:r w:rsidRPr="00CF7C75">
              <w:rPr>
                <w:rFonts w:ascii="Calibri" w:hAnsi="Calibri" w:cs="Calibri"/>
                <w:color w:val="000000"/>
              </w:rPr>
              <w:t>7.52</w:t>
            </w:r>
          </w:p>
        </w:tc>
        <w:tc>
          <w:tcPr>
            <w:tcW w:w="1207" w:type="dxa"/>
            <w:vAlign w:val="center"/>
          </w:tcPr>
          <w:p w14:paraId="52BAC111" w14:textId="77777777" w:rsidR="00871E1B" w:rsidRDefault="00871E1B" w:rsidP="00A26A46">
            <w:pPr>
              <w:jc w:val="center"/>
            </w:pPr>
            <w:r>
              <w:rPr>
                <w:color w:val="000000"/>
              </w:rPr>
              <w:t>-3.8221</w:t>
            </w:r>
          </w:p>
        </w:tc>
        <w:tc>
          <w:tcPr>
            <w:tcW w:w="1524" w:type="dxa"/>
            <w:vAlign w:val="center"/>
          </w:tcPr>
          <w:p w14:paraId="618D9898" w14:textId="77777777" w:rsidR="00871E1B" w:rsidRDefault="00871E1B" w:rsidP="00A26A46">
            <w:pPr>
              <w:jc w:val="both"/>
            </w:pPr>
            <w:r>
              <w:rPr>
                <w:color w:val="000000"/>
              </w:rPr>
              <w:t>-3.7760</w:t>
            </w:r>
          </w:p>
        </w:tc>
        <w:tc>
          <w:tcPr>
            <w:tcW w:w="1172" w:type="dxa"/>
            <w:vAlign w:val="center"/>
          </w:tcPr>
          <w:p w14:paraId="1023DCE2" w14:textId="77777777" w:rsidR="00871E1B" w:rsidRDefault="00871E1B" w:rsidP="00A26A46">
            <w:pPr>
              <w:jc w:val="both"/>
            </w:pPr>
            <w:r>
              <w:rPr>
                <w:color w:val="000000"/>
              </w:rPr>
              <w:t>-4.1677</w:t>
            </w:r>
          </w:p>
        </w:tc>
        <w:tc>
          <w:tcPr>
            <w:tcW w:w="1155" w:type="dxa"/>
            <w:vAlign w:val="center"/>
          </w:tcPr>
          <w:p w14:paraId="4ADD7F86" w14:textId="77777777" w:rsidR="00871E1B" w:rsidRDefault="00871E1B" w:rsidP="00A26A46">
            <w:pPr>
              <w:jc w:val="both"/>
              <w:rPr>
                <w:color w:val="000000"/>
              </w:rPr>
            </w:pPr>
            <w:r>
              <w:rPr>
                <w:color w:val="000000"/>
              </w:rPr>
              <w:t>-19.4948</w:t>
            </w:r>
          </w:p>
        </w:tc>
        <w:tc>
          <w:tcPr>
            <w:tcW w:w="1462" w:type="dxa"/>
            <w:vAlign w:val="center"/>
          </w:tcPr>
          <w:p w14:paraId="2E722514" w14:textId="77777777" w:rsidR="00871E1B" w:rsidRDefault="00871E1B" w:rsidP="00A26A46">
            <w:pPr>
              <w:jc w:val="both"/>
              <w:rPr>
                <w:color w:val="000000"/>
              </w:rPr>
            </w:pPr>
            <w:r>
              <w:rPr>
                <w:color w:val="000000"/>
              </w:rPr>
              <w:t>-4.25</w:t>
            </w:r>
          </w:p>
        </w:tc>
      </w:tr>
      <w:tr w:rsidR="00871E1B" w14:paraId="1CF2B2E2" w14:textId="77777777" w:rsidTr="00A26A46">
        <w:trPr>
          <w:trHeight w:val="260"/>
        </w:trPr>
        <w:tc>
          <w:tcPr>
            <w:tcW w:w="1519" w:type="dxa"/>
            <w:vAlign w:val="center"/>
          </w:tcPr>
          <w:p w14:paraId="1D5874C4" w14:textId="77777777" w:rsidR="00871E1B" w:rsidRDefault="00871E1B" w:rsidP="00A26A46">
            <w:pPr>
              <w:jc w:val="center"/>
            </w:pPr>
            <w:r>
              <w:rPr>
                <w:rFonts w:ascii="Calibri" w:hAnsi="Calibri" w:cs="Calibri"/>
                <w:b/>
                <w:bCs/>
                <w:color w:val="000000"/>
              </w:rPr>
              <w:t>AIBL1STIMF</w:t>
            </w:r>
          </w:p>
        </w:tc>
        <w:tc>
          <w:tcPr>
            <w:tcW w:w="855" w:type="dxa"/>
          </w:tcPr>
          <w:p w14:paraId="65844045" w14:textId="77777777" w:rsidR="00871E1B" w:rsidRDefault="00871E1B" w:rsidP="00A26A46">
            <w:pPr>
              <w:jc w:val="center"/>
              <w:rPr>
                <w:color w:val="000000"/>
              </w:rPr>
            </w:pPr>
            <w:r w:rsidRPr="00CF7C75">
              <w:rPr>
                <w:rFonts w:ascii="Calibri" w:hAnsi="Calibri" w:cs="Calibri"/>
                <w:color w:val="000000"/>
              </w:rPr>
              <w:t>7.52</w:t>
            </w:r>
          </w:p>
        </w:tc>
        <w:tc>
          <w:tcPr>
            <w:tcW w:w="1207" w:type="dxa"/>
            <w:vAlign w:val="center"/>
          </w:tcPr>
          <w:p w14:paraId="1DA27255" w14:textId="77777777" w:rsidR="00871E1B" w:rsidRDefault="00871E1B" w:rsidP="00A26A46">
            <w:pPr>
              <w:jc w:val="center"/>
            </w:pPr>
            <w:r>
              <w:rPr>
                <w:color w:val="000000"/>
              </w:rPr>
              <w:t>-1.4385</w:t>
            </w:r>
          </w:p>
        </w:tc>
        <w:tc>
          <w:tcPr>
            <w:tcW w:w="1524" w:type="dxa"/>
            <w:vAlign w:val="center"/>
          </w:tcPr>
          <w:p w14:paraId="7C08E37E" w14:textId="77777777" w:rsidR="00871E1B" w:rsidRDefault="00871E1B" w:rsidP="00A26A46">
            <w:pPr>
              <w:jc w:val="both"/>
            </w:pPr>
            <w:r>
              <w:rPr>
                <w:color w:val="000000"/>
              </w:rPr>
              <w:t>-3.1062</w:t>
            </w:r>
          </w:p>
        </w:tc>
        <w:tc>
          <w:tcPr>
            <w:tcW w:w="1172" w:type="dxa"/>
            <w:vAlign w:val="center"/>
          </w:tcPr>
          <w:p w14:paraId="7C0C56F3" w14:textId="77777777" w:rsidR="00871E1B" w:rsidRDefault="00871E1B" w:rsidP="00A26A46">
            <w:pPr>
              <w:jc w:val="both"/>
            </w:pPr>
            <w:r>
              <w:rPr>
                <w:color w:val="000000"/>
              </w:rPr>
              <w:t>2.3372</w:t>
            </w:r>
          </w:p>
        </w:tc>
        <w:tc>
          <w:tcPr>
            <w:tcW w:w="1155" w:type="dxa"/>
            <w:vAlign w:val="center"/>
          </w:tcPr>
          <w:p w14:paraId="0070A3FD" w14:textId="77777777" w:rsidR="00871E1B" w:rsidRDefault="00871E1B" w:rsidP="00A26A46">
            <w:pPr>
              <w:jc w:val="both"/>
              <w:rPr>
                <w:color w:val="000000"/>
              </w:rPr>
            </w:pPr>
            <w:r>
              <w:rPr>
                <w:color w:val="000000"/>
              </w:rPr>
              <w:t>-10.6482</w:t>
            </w:r>
          </w:p>
        </w:tc>
        <w:tc>
          <w:tcPr>
            <w:tcW w:w="1462" w:type="dxa"/>
            <w:vAlign w:val="center"/>
          </w:tcPr>
          <w:p w14:paraId="7C4FD030" w14:textId="77777777" w:rsidR="00871E1B" w:rsidRDefault="00871E1B" w:rsidP="00A26A46">
            <w:pPr>
              <w:jc w:val="both"/>
              <w:rPr>
                <w:color w:val="000000"/>
              </w:rPr>
            </w:pPr>
            <w:r>
              <w:rPr>
                <w:color w:val="000000"/>
              </w:rPr>
              <w:t>5.31</w:t>
            </w:r>
          </w:p>
        </w:tc>
      </w:tr>
      <w:tr w:rsidR="00871E1B" w14:paraId="0C13DC4C" w14:textId="77777777" w:rsidTr="00A26A46">
        <w:trPr>
          <w:trHeight w:val="260"/>
        </w:trPr>
        <w:tc>
          <w:tcPr>
            <w:tcW w:w="1519" w:type="dxa"/>
            <w:vAlign w:val="center"/>
          </w:tcPr>
          <w:p w14:paraId="25C54745" w14:textId="77777777" w:rsidR="00871E1B" w:rsidRDefault="00871E1B" w:rsidP="00A26A46">
            <w:pPr>
              <w:jc w:val="center"/>
            </w:pPr>
            <w:r>
              <w:rPr>
                <w:b/>
                <w:bCs/>
                <w:color w:val="000000"/>
              </w:rPr>
              <w:t>DBH1STMF</w:t>
            </w:r>
          </w:p>
        </w:tc>
        <w:tc>
          <w:tcPr>
            <w:tcW w:w="855" w:type="dxa"/>
          </w:tcPr>
          <w:p w14:paraId="1C4BDA44" w14:textId="77777777" w:rsidR="00871E1B" w:rsidRDefault="00871E1B" w:rsidP="00A26A46">
            <w:pPr>
              <w:jc w:val="center"/>
              <w:rPr>
                <w:color w:val="000000"/>
              </w:rPr>
            </w:pPr>
            <w:r w:rsidRPr="00CF7C75">
              <w:rPr>
                <w:rFonts w:ascii="Calibri" w:hAnsi="Calibri" w:cs="Calibri"/>
                <w:color w:val="000000"/>
              </w:rPr>
              <w:t>7.52</w:t>
            </w:r>
          </w:p>
        </w:tc>
        <w:tc>
          <w:tcPr>
            <w:tcW w:w="1207" w:type="dxa"/>
            <w:vAlign w:val="center"/>
          </w:tcPr>
          <w:p w14:paraId="25011F06" w14:textId="77777777" w:rsidR="00871E1B" w:rsidRDefault="00871E1B" w:rsidP="00A26A46">
            <w:pPr>
              <w:jc w:val="center"/>
            </w:pPr>
            <w:r>
              <w:rPr>
                <w:color w:val="000000"/>
              </w:rPr>
              <w:t>-2.4090</w:t>
            </w:r>
          </w:p>
        </w:tc>
        <w:tc>
          <w:tcPr>
            <w:tcW w:w="1524" w:type="dxa"/>
            <w:vAlign w:val="center"/>
          </w:tcPr>
          <w:p w14:paraId="370FE520" w14:textId="77777777" w:rsidR="00871E1B" w:rsidRDefault="00871E1B" w:rsidP="00A26A46">
            <w:pPr>
              <w:jc w:val="both"/>
            </w:pPr>
            <w:r>
              <w:rPr>
                <w:color w:val="000000"/>
              </w:rPr>
              <w:t>-3.7110</w:t>
            </w:r>
          </w:p>
        </w:tc>
        <w:tc>
          <w:tcPr>
            <w:tcW w:w="1172" w:type="dxa"/>
            <w:vAlign w:val="center"/>
          </w:tcPr>
          <w:p w14:paraId="77D5BC16" w14:textId="77777777" w:rsidR="00871E1B" w:rsidRDefault="00871E1B" w:rsidP="00A26A46">
            <w:pPr>
              <w:jc w:val="both"/>
            </w:pPr>
            <w:r>
              <w:rPr>
                <w:color w:val="000000"/>
              </w:rPr>
              <w:t>-1.8746</w:t>
            </w:r>
          </w:p>
        </w:tc>
        <w:tc>
          <w:tcPr>
            <w:tcW w:w="1155" w:type="dxa"/>
            <w:vAlign w:val="center"/>
          </w:tcPr>
          <w:p w14:paraId="5D9D926C" w14:textId="77777777" w:rsidR="00871E1B" w:rsidRDefault="00871E1B" w:rsidP="00A26A46">
            <w:pPr>
              <w:jc w:val="both"/>
              <w:rPr>
                <w:color w:val="000000"/>
              </w:rPr>
            </w:pPr>
            <w:r>
              <w:rPr>
                <w:color w:val="000000"/>
              </w:rPr>
              <w:t>-14.6107</w:t>
            </w:r>
          </w:p>
        </w:tc>
        <w:tc>
          <w:tcPr>
            <w:tcW w:w="1462" w:type="dxa"/>
            <w:vAlign w:val="center"/>
          </w:tcPr>
          <w:p w14:paraId="010731F3" w14:textId="77777777" w:rsidR="00871E1B" w:rsidRDefault="00871E1B" w:rsidP="00A26A46">
            <w:pPr>
              <w:jc w:val="both"/>
              <w:rPr>
                <w:color w:val="000000"/>
              </w:rPr>
            </w:pPr>
            <w:r>
              <w:rPr>
                <w:color w:val="000000"/>
              </w:rPr>
              <w:t>-0.47</w:t>
            </w:r>
          </w:p>
        </w:tc>
      </w:tr>
      <w:tr w:rsidR="00871E1B" w14:paraId="521EC3E0" w14:textId="77777777" w:rsidTr="00A26A46">
        <w:trPr>
          <w:trHeight w:val="260"/>
        </w:trPr>
        <w:tc>
          <w:tcPr>
            <w:tcW w:w="1519" w:type="dxa"/>
            <w:vAlign w:val="center"/>
          </w:tcPr>
          <w:p w14:paraId="70F6F8BE" w14:textId="77777777" w:rsidR="00871E1B" w:rsidRDefault="00871E1B" w:rsidP="00A26A46">
            <w:pPr>
              <w:jc w:val="center"/>
            </w:pPr>
            <w:r>
              <w:rPr>
                <w:b/>
                <w:bCs/>
                <w:color w:val="000000"/>
              </w:rPr>
              <w:t>EBL1STMF</w:t>
            </w:r>
          </w:p>
        </w:tc>
        <w:tc>
          <w:tcPr>
            <w:tcW w:w="855" w:type="dxa"/>
          </w:tcPr>
          <w:p w14:paraId="4DB19203" w14:textId="77777777" w:rsidR="00871E1B" w:rsidRDefault="00871E1B" w:rsidP="00A26A46">
            <w:pPr>
              <w:jc w:val="center"/>
              <w:rPr>
                <w:color w:val="000000"/>
              </w:rPr>
            </w:pPr>
            <w:r w:rsidRPr="00CF7C75">
              <w:rPr>
                <w:rFonts w:ascii="Calibri" w:hAnsi="Calibri" w:cs="Calibri"/>
                <w:color w:val="000000"/>
              </w:rPr>
              <w:t>7.52</w:t>
            </w:r>
          </w:p>
        </w:tc>
        <w:tc>
          <w:tcPr>
            <w:tcW w:w="1207" w:type="dxa"/>
            <w:vAlign w:val="center"/>
          </w:tcPr>
          <w:p w14:paraId="303B5E6C" w14:textId="77777777" w:rsidR="00871E1B" w:rsidRDefault="00871E1B" w:rsidP="00A26A46">
            <w:pPr>
              <w:jc w:val="center"/>
            </w:pPr>
            <w:r>
              <w:rPr>
                <w:color w:val="000000"/>
              </w:rPr>
              <w:t>-4.4893</w:t>
            </w:r>
          </w:p>
        </w:tc>
        <w:tc>
          <w:tcPr>
            <w:tcW w:w="1524" w:type="dxa"/>
            <w:vAlign w:val="center"/>
          </w:tcPr>
          <w:p w14:paraId="70A22D33" w14:textId="77777777" w:rsidR="00871E1B" w:rsidRDefault="00871E1B" w:rsidP="00A26A46">
            <w:pPr>
              <w:jc w:val="both"/>
            </w:pPr>
            <w:r>
              <w:rPr>
                <w:color w:val="000000"/>
              </w:rPr>
              <w:t>-3.5607</w:t>
            </w:r>
          </w:p>
        </w:tc>
        <w:tc>
          <w:tcPr>
            <w:tcW w:w="1172" w:type="dxa"/>
            <w:vAlign w:val="center"/>
          </w:tcPr>
          <w:p w14:paraId="18ACE0CF" w14:textId="77777777" w:rsidR="00871E1B" w:rsidRDefault="00871E1B" w:rsidP="00A26A46">
            <w:pPr>
              <w:jc w:val="both"/>
            </w:pPr>
            <w:r>
              <w:rPr>
                <w:color w:val="000000"/>
              </w:rPr>
              <w:t>0.2995</w:t>
            </w:r>
          </w:p>
        </w:tc>
        <w:tc>
          <w:tcPr>
            <w:tcW w:w="1155" w:type="dxa"/>
            <w:vAlign w:val="center"/>
          </w:tcPr>
          <w:p w14:paraId="3B39329A" w14:textId="77777777" w:rsidR="00871E1B" w:rsidRDefault="00871E1B" w:rsidP="00A26A46">
            <w:pPr>
              <w:jc w:val="both"/>
              <w:rPr>
                <w:color w:val="000000"/>
              </w:rPr>
            </w:pPr>
            <w:r>
              <w:rPr>
                <w:color w:val="000000"/>
              </w:rPr>
              <w:t>-17.1416</w:t>
            </w:r>
          </w:p>
        </w:tc>
        <w:tc>
          <w:tcPr>
            <w:tcW w:w="1462" w:type="dxa"/>
            <w:vAlign w:val="center"/>
          </w:tcPr>
          <w:p w14:paraId="1C5709C6" w14:textId="77777777" w:rsidR="00871E1B" w:rsidRDefault="00871E1B" w:rsidP="00A26A46">
            <w:pPr>
              <w:jc w:val="both"/>
              <w:rPr>
                <w:color w:val="000000"/>
              </w:rPr>
            </w:pPr>
            <w:r>
              <w:rPr>
                <w:color w:val="000000"/>
              </w:rPr>
              <w:t>-0.23</w:t>
            </w:r>
          </w:p>
        </w:tc>
      </w:tr>
      <w:tr w:rsidR="00871E1B" w14:paraId="68E6DB30" w14:textId="77777777" w:rsidTr="00A26A46">
        <w:trPr>
          <w:trHeight w:val="260"/>
        </w:trPr>
        <w:tc>
          <w:tcPr>
            <w:tcW w:w="1519" w:type="dxa"/>
            <w:vAlign w:val="center"/>
          </w:tcPr>
          <w:p w14:paraId="014D4524" w14:textId="77777777" w:rsidR="00871E1B" w:rsidRDefault="00871E1B" w:rsidP="00A26A46">
            <w:pPr>
              <w:jc w:val="center"/>
            </w:pPr>
            <w:r>
              <w:rPr>
                <w:b/>
                <w:bCs/>
                <w:color w:val="000000"/>
              </w:rPr>
              <w:t>EBLNRBMF</w:t>
            </w:r>
          </w:p>
        </w:tc>
        <w:tc>
          <w:tcPr>
            <w:tcW w:w="855" w:type="dxa"/>
          </w:tcPr>
          <w:p w14:paraId="0C62249D" w14:textId="77777777" w:rsidR="00871E1B" w:rsidRDefault="00871E1B" w:rsidP="00A26A46">
            <w:pPr>
              <w:jc w:val="center"/>
              <w:rPr>
                <w:color w:val="000000"/>
              </w:rPr>
            </w:pPr>
            <w:r w:rsidRPr="00CF7C75">
              <w:rPr>
                <w:rFonts w:ascii="Calibri" w:hAnsi="Calibri" w:cs="Calibri"/>
                <w:color w:val="000000"/>
              </w:rPr>
              <w:t>7.52</w:t>
            </w:r>
          </w:p>
        </w:tc>
        <w:tc>
          <w:tcPr>
            <w:tcW w:w="1207" w:type="dxa"/>
            <w:vAlign w:val="center"/>
          </w:tcPr>
          <w:p w14:paraId="2C2346CC" w14:textId="77777777" w:rsidR="00871E1B" w:rsidRDefault="00871E1B" w:rsidP="00A26A46">
            <w:pPr>
              <w:jc w:val="center"/>
            </w:pPr>
            <w:r>
              <w:rPr>
                <w:color w:val="000000"/>
              </w:rPr>
              <w:t>-4.5265</w:t>
            </w:r>
          </w:p>
        </w:tc>
        <w:tc>
          <w:tcPr>
            <w:tcW w:w="1524" w:type="dxa"/>
            <w:vAlign w:val="center"/>
          </w:tcPr>
          <w:p w14:paraId="605FC215" w14:textId="77777777" w:rsidR="00871E1B" w:rsidRDefault="00871E1B" w:rsidP="00A26A46">
            <w:pPr>
              <w:jc w:val="both"/>
            </w:pPr>
            <w:r>
              <w:rPr>
                <w:color w:val="000000"/>
              </w:rPr>
              <w:t>-3.5870</w:t>
            </w:r>
          </w:p>
        </w:tc>
        <w:tc>
          <w:tcPr>
            <w:tcW w:w="1172" w:type="dxa"/>
            <w:vAlign w:val="center"/>
          </w:tcPr>
          <w:p w14:paraId="54A58A23" w14:textId="77777777" w:rsidR="00871E1B" w:rsidRDefault="00871E1B" w:rsidP="00A26A46">
            <w:pPr>
              <w:jc w:val="both"/>
            </w:pPr>
            <w:r>
              <w:rPr>
                <w:color w:val="000000"/>
              </w:rPr>
              <w:t>-0.2893</w:t>
            </w:r>
          </w:p>
        </w:tc>
        <w:tc>
          <w:tcPr>
            <w:tcW w:w="1155" w:type="dxa"/>
            <w:vAlign w:val="center"/>
          </w:tcPr>
          <w:p w14:paraId="6DB15573" w14:textId="77777777" w:rsidR="00871E1B" w:rsidRDefault="00871E1B" w:rsidP="00A26A46">
            <w:pPr>
              <w:jc w:val="both"/>
              <w:rPr>
                <w:color w:val="000000"/>
              </w:rPr>
            </w:pPr>
            <w:r>
              <w:rPr>
                <w:color w:val="000000"/>
              </w:rPr>
              <w:t>-17.7097</w:t>
            </w:r>
          </w:p>
        </w:tc>
        <w:tc>
          <w:tcPr>
            <w:tcW w:w="1462" w:type="dxa"/>
            <w:vAlign w:val="center"/>
          </w:tcPr>
          <w:p w14:paraId="47281CD4" w14:textId="77777777" w:rsidR="00871E1B" w:rsidRDefault="00871E1B" w:rsidP="00A26A46">
            <w:pPr>
              <w:jc w:val="both"/>
              <w:rPr>
                <w:color w:val="000000"/>
              </w:rPr>
            </w:pPr>
            <w:r>
              <w:rPr>
                <w:color w:val="000000"/>
              </w:rPr>
              <w:t>-0.88</w:t>
            </w:r>
          </w:p>
        </w:tc>
      </w:tr>
      <w:tr w:rsidR="00871E1B" w14:paraId="3B96B365" w14:textId="77777777" w:rsidTr="00A26A46">
        <w:trPr>
          <w:trHeight w:val="260"/>
        </w:trPr>
        <w:tc>
          <w:tcPr>
            <w:tcW w:w="1519" w:type="dxa"/>
            <w:vAlign w:val="center"/>
          </w:tcPr>
          <w:p w14:paraId="7B73A909" w14:textId="77777777" w:rsidR="00871E1B" w:rsidRDefault="00871E1B" w:rsidP="00A26A46">
            <w:pPr>
              <w:jc w:val="center"/>
            </w:pPr>
            <w:r>
              <w:rPr>
                <w:b/>
                <w:bCs/>
                <w:color w:val="000000"/>
              </w:rPr>
              <w:t>GRAMEENS2</w:t>
            </w:r>
          </w:p>
        </w:tc>
        <w:tc>
          <w:tcPr>
            <w:tcW w:w="855" w:type="dxa"/>
          </w:tcPr>
          <w:p w14:paraId="1F28ADFD" w14:textId="77777777" w:rsidR="00871E1B" w:rsidRDefault="00871E1B" w:rsidP="00A26A46">
            <w:pPr>
              <w:jc w:val="center"/>
              <w:rPr>
                <w:color w:val="000000"/>
              </w:rPr>
            </w:pPr>
            <w:r w:rsidRPr="00CF7C75">
              <w:rPr>
                <w:rFonts w:ascii="Calibri" w:hAnsi="Calibri" w:cs="Calibri"/>
                <w:color w:val="000000"/>
              </w:rPr>
              <w:t>7.52</w:t>
            </w:r>
          </w:p>
        </w:tc>
        <w:tc>
          <w:tcPr>
            <w:tcW w:w="1207" w:type="dxa"/>
            <w:vAlign w:val="center"/>
          </w:tcPr>
          <w:p w14:paraId="76A79627" w14:textId="77777777" w:rsidR="00871E1B" w:rsidRDefault="00871E1B" w:rsidP="00A26A46">
            <w:pPr>
              <w:jc w:val="center"/>
            </w:pPr>
            <w:r>
              <w:rPr>
                <w:color w:val="000000"/>
              </w:rPr>
              <w:t>-3.6616</w:t>
            </w:r>
          </w:p>
        </w:tc>
        <w:tc>
          <w:tcPr>
            <w:tcW w:w="1524" w:type="dxa"/>
            <w:vAlign w:val="center"/>
          </w:tcPr>
          <w:p w14:paraId="16384ECE" w14:textId="77777777" w:rsidR="00871E1B" w:rsidRDefault="00871E1B" w:rsidP="00A26A46">
            <w:pPr>
              <w:jc w:val="both"/>
            </w:pPr>
            <w:r>
              <w:rPr>
                <w:color w:val="000000"/>
              </w:rPr>
              <w:t>-4.0517</w:t>
            </w:r>
          </w:p>
        </w:tc>
        <w:tc>
          <w:tcPr>
            <w:tcW w:w="1172" w:type="dxa"/>
            <w:vAlign w:val="center"/>
          </w:tcPr>
          <w:p w14:paraId="0933F966" w14:textId="77777777" w:rsidR="00871E1B" w:rsidRDefault="00871E1B" w:rsidP="00A26A46">
            <w:pPr>
              <w:jc w:val="both"/>
            </w:pPr>
            <w:r>
              <w:rPr>
                <w:color w:val="000000"/>
              </w:rPr>
              <w:t>2.1219</w:t>
            </w:r>
          </w:p>
        </w:tc>
        <w:tc>
          <w:tcPr>
            <w:tcW w:w="1155" w:type="dxa"/>
            <w:vAlign w:val="center"/>
          </w:tcPr>
          <w:p w14:paraId="29F37940" w14:textId="77777777" w:rsidR="00871E1B" w:rsidRDefault="00871E1B" w:rsidP="00A26A46">
            <w:pPr>
              <w:jc w:val="both"/>
              <w:rPr>
                <w:color w:val="000000"/>
              </w:rPr>
            </w:pPr>
            <w:r>
              <w:rPr>
                <w:color w:val="000000"/>
              </w:rPr>
              <w:t>-11.8856</w:t>
            </w:r>
          </w:p>
        </w:tc>
        <w:tc>
          <w:tcPr>
            <w:tcW w:w="1462" w:type="dxa"/>
            <w:vAlign w:val="center"/>
          </w:tcPr>
          <w:p w14:paraId="7C7F52C1" w14:textId="77777777" w:rsidR="00871E1B" w:rsidRDefault="00871E1B" w:rsidP="00A26A46">
            <w:pPr>
              <w:jc w:val="both"/>
              <w:rPr>
                <w:color w:val="000000"/>
              </w:rPr>
            </w:pPr>
            <w:r>
              <w:rPr>
                <w:color w:val="000000"/>
              </w:rPr>
              <w:t>1.93</w:t>
            </w:r>
          </w:p>
        </w:tc>
      </w:tr>
      <w:tr w:rsidR="00871E1B" w14:paraId="7AF02D4A" w14:textId="77777777" w:rsidTr="00A26A46">
        <w:trPr>
          <w:trHeight w:val="260"/>
        </w:trPr>
        <w:tc>
          <w:tcPr>
            <w:tcW w:w="1519" w:type="dxa"/>
            <w:vAlign w:val="center"/>
          </w:tcPr>
          <w:p w14:paraId="1F6CF825" w14:textId="77777777" w:rsidR="00871E1B" w:rsidRDefault="00871E1B" w:rsidP="00A26A46">
            <w:pPr>
              <w:jc w:val="center"/>
            </w:pPr>
            <w:r>
              <w:rPr>
                <w:b/>
                <w:bCs/>
                <w:color w:val="000000"/>
              </w:rPr>
              <w:t>GREENDELMF</w:t>
            </w:r>
          </w:p>
        </w:tc>
        <w:tc>
          <w:tcPr>
            <w:tcW w:w="855" w:type="dxa"/>
          </w:tcPr>
          <w:p w14:paraId="32785DBD" w14:textId="77777777" w:rsidR="00871E1B" w:rsidRDefault="00871E1B" w:rsidP="00A26A46">
            <w:pPr>
              <w:jc w:val="center"/>
              <w:rPr>
                <w:color w:val="000000"/>
              </w:rPr>
            </w:pPr>
            <w:r w:rsidRPr="00CF7C75">
              <w:rPr>
                <w:rFonts w:ascii="Calibri" w:hAnsi="Calibri" w:cs="Calibri"/>
                <w:color w:val="000000"/>
              </w:rPr>
              <w:t>7.52</w:t>
            </w:r>
          </w:p>
        </w:tc>
        <w:tc>
          <w:tcPr>
            <w:tcW w:w="1207" w:type="dxa"/>
            <w:vAlign w:val="center"/>
          </w:tcPr>
          <w:p w14:paraId="4EB0DB46" w14:textId="77777777" w:rsidR="00871E1B" w:rsidRDefault="00871E1B" w:rsidP="00A26A46">
            <w:pPr>
              <w:jc w:val="center"/>
            </w:pPr>
            <w:r>
              <w:rPr>
                <w:color w:val="000000"/>
              </w:rPr>
              <w:t>-2.6437</w:t>
            </w:r>
          </w:p>
        </w:tc>
        <w:tc>
          <w:tcPr>
            <w:tcW w:w="1524" w:type="dxa"/>
            <w:vAlign w:val="center"/>
          </w:tcPr>
          <w:p w14:paraId="71D8EE6F" w14:textId="77777777" w:rsidR="00871E1B" w:rsidRDefault="00871E1B" w:rsidP="00A26A46">
            <w:pPr>
              <w:jc w:val="both"/>
            </w:pPr>
            <w:r>
              <w:rPr>
                <w:color w:val="000000"/>
              </w:rPr>
              <w:t>-3.5415</w:t>
            </w:r>
          </w:p>
        </w:tc>
        <w:tc>
          <w:tcPr>
            <w:tcW w:w="1172" w:type="dxa"/>
            <w:vAlign w:val="center"/>
          </w:tcPr>
          <w:p w14:paraId="2A4008A5" w14:textId="77777777" w:rsidR="00871E1B" w:rsidRDefault="00871E1B" w:rsidP="00A26A46">
            <w:pPr>
              <w:jc w:val="both"/>
            </w:pPr>
            <w:r>
              <w:rPr>
                <w:color w:val="000000"/>
              </w:rPr>
              <w:t>-1.5708</w:t>
            </w:r>
          </w:p>
        </w:tc>
        <w:tc>
          <w:tcPr>
            <w:tcW w:w="1155" w:type="dxa"/>
            <w:vAlign w:val="center"/>
          </w:tcPr>
          <w:p w14:paraId="75986034" w14:textId="77777777" w:rsidR="00871E1B" w:rsidRDefault="00871E1B" w:rsidP="00A26A46">
            <w:pPr>
              <w:jc w:val="both"/>
              <w:rPr>
                <w:color w:val="000000"/>
              </w:rPr>
            </w:pPr>
            <w:r>
              <w:rPr>
                <w:color w:val="000000"/>
              </w:rPr>
              <w:t>-15.3900</w:t>
            </w:r>
          </w:p>
        </w:tc>
        <w:tc>
          <w:tcPr>
            <w:tcW w:w="1462" w:type="dxa"/>
            <w:vAlign w:val="center"/>
          </w:tcPr>
          <w:p w14:paraId="71AFA8EB" w14:textId="77777777" w:rsidR="00871E1B" w:rsidRDefault="00871E1B" w:rsidP="00A26A46">
            <w:pPr>
              <w:jc w:val="both"/>
              <w:rPr>
                <w:color w:val="000000"/>
              </w:rPr>
            </w:pPr>
            <w:r>
              <w:rPr>
                <w:color w:val="000000"/>
              </w:rPr>
              <w:t>-0.24</w:t>
            </w:r>
          </w:p>
        </w:tc>
      </w:tr>
      <w:tr w:rsidR="00871E1B" w14:paraId="76F34510" w14:textId="77777777" w:rsidTr="00A26A46">
        <w:trPr>
          <w:trHeight w:val="260"/>
        </w:trPr>
        <w:tc>
          <w:tcPr>
            <w:tcW w:w="1519" w:type="dxa"/>
            <w:vAlign w:val="center"/>
          </w:tcPr>
          <w:p w14:paraId="6B065BB4" w14:textId="77777777" w:rsidR="00871E1B" w:rsidRDefault="00871E1B" w:rsidP="00A26A46">
            <w:pPr>
              <w:jc w:val="center"/>
            </w:pPr>
            <w:r>
              <w:rPr>
                <w:b/>
                <w:bCs/>
                <w:color w:val="000000"/>
              </w:rPr>
              <w:t>ICB3RDNRB</w:t>
            </w:r>
          </w:p>
        </w:tc>
        <w:tc>
          <w:tcPr>
            <w:tcW w:w="855" w:type="dxa"/>
          </w:tcPr>
          <w:p w14:paraId="6DF8F0EA" w14:textId="77777777" w:rsidR="00871E1B" w:rsidRDefault="00871E1B" w:rsidP="00A26A46">
            <w:pPr>
              <w:jc w:val="center"/>
              <w:rPr>
                <w:color w:val="000000"/>
              </w:rPr>
            </w:pPr>
            <w:r w:rsidRPr="00CF7C75">
              <w:rPr>
                <w:rFonts w:ascii="Calibri" w:hAnsi="Calibri" w:cs="Calibri"/>
                <w:color w:val="000000"/>
              </w:rPr>
              <w:t>7.52</w:t>
            </w:r>
          </w:p>
        </w:tc>
        <w:tc>
          <w:tcPr>
            <w:tcW w:w="1207" w:type="dxa"/>
            <w:vAlign w:val="center"/>
          </w:tcPr>
          <w:p w14:paraId="023F29D6" w14:textId="77777777" w:rsidR="00871E1B" w:rsidRDefault="00871E1B" w:rsidP="00A26A46">
            <w:pPr>
              <w:jc w:val="center"/>
            </w:pPr>
            <w:r>
              <w:rPr>
                <w:color w:val="000000"/>
              </w:rPr>
              <w:t>-3.4947</w:t>
            </w:r>
          </w:p>
        </w:tc>
        <w:tc>
          <w:tcPr>
            <w:tcW w:w="1524" w:type="dxa"/>
            <w:vAlign w:val="center"/>
          </w:tcPr>
          <w:p w14:paraId="4C34AEB7" w14:textId="77777777" w:rsidR="00871E1B" w:rsidRDefault="00871E1B" w:rsidP="00A26A46">
            <w:pPr>
              <w:jc w:val="both"/>
            </w:pPr>
            <w:r>
              <w:rPr>
                <w:color w:val="000000"/>
              </w:rPr>
              <w:t>-3.7934</w:t>
            </w:r>
          </w:p>
        </w:tc>
        <w:tc>
          <w:tcPr>
            <w:tcW w:w="1172" w:type="dxa"/>
            <w:vAlign w:val="center"/>
          </w:tcPr>
          <w:p w14:paraId="1C1F7043" w14:textId="77777777" w:rsidR="00871E1B" w:rsidRDefault="00871E1B" w:rsidP="00A26A46">
            <w:pPr>
              <w:jc w:val="both"/>
            </w:pPr>
            <w:r>
              <w:rPr>
                <w:color w:val="000000"/>
              </w:rPr>
              <w:t>2.2559</w:t>
            </w:r>
          </w:p>
        </w:tc>
        <w:tc>
          <w:tcPr>
            <w:tcW w:w="1155" w:type="dxa"/>
            <w:vAlign w:val="center"/>
          </w:tcPr>
          <w:p w14:paraId="7D227348" w14:textId="77777777" w:rsidR="00871E1B" w:rsidRDefault="00871E1B" w:rsidP="00A26A46">
            <w:pPr>
              <w:jc w:val="both"/>
              <w:rPr>
                <w:color w:val="000000"/>
              </w:rPr>
            </w:pPr>
            <w:r>
              <w:rPr>
                <w:color w:val="000000"/>
              </w:rPr>
              <w:t>-12.3533</w:t>
            </w:r>
          </w:p>
        </w:tc>
        <w:tc>
          <w:tcPr>
            <w:tcW w:w="1462" w:type="dxa"/>
            <w:vAlign w:val="center"/>
          </w:tcPr>
          <w:p w14:paraId="2DAD9329" w14:textId="77777777" w:rsidR="00871E1B" w:rsidRDefault="00871E1B" w:rsidP="00A26A46">
            <w:pPr>
              <w:jc w:val="both"/>
              <w:rPr>
                <w:color w:val="000000"/>
              </w:rPr>
            </w:pPr>
            <w:r>
              <w:rPr>
                <w:color w:val="000000"/>
              </w:rPr>
              <w:t>2.49</w:t>
            </w:r>
          </w:p>
        </w:tc>
      </w:tr>
      <w:tr w:rsidR="00871E1B" w14:paraId="6BEF2CE9" w14:textId="77777777" w:rsidTr="00A26A46">
        <w:trPr>
          <w:trHeight w:val="260"/>
        </w:trPr>
        <w:tc>
          <w:tcPr>
            <w:tcW w:w="1519" w:type="dxa"/>
            <w:vAlign w:val="center"/>
          </w:tcPr>
          <w:p w14:paraId="6DAD675A" w14:textId="77777777" w:rsidR="00871E1B" w:rsidRDefault="00871E1B" w:rsidP="00A26A46">
            <w:pPr>
              <w:jc w:val="center"/>
            </w:pPr>
            <w:r>
              <w:rPr>
                <w:b/>
                <w:bCs/>
                <w:color w:val="000000"/>
              </w:rPr>
              <w:lastRenderedPageBreak/>
              <w:t>ICBAMCL2ND</w:t>
            </w:r>
          </w:p>
        </w:tc>
        <w:tc>
          <w:tcPr>
            <w:tcW w:w="855" w:type="dxa"/>
          </w:tcPr>
          <w:p w14:paraId="3062E14E" w14:textId="77777777" w:rsidR="00871E1B" w:rsidRDefault="00871E1B" w:rsidP="00A26A46">
            <w:pPr>
              <w:jc w:val="center"/>
              <w:rPr>
                <w:color w:val="000000"/>
              </w:rPr>
            </w:pPr>
            <w:r w:rsidRPr="00CF7C75">
              <w:rPr>
                <w:rFonts w:ascii="Calibri" w:hAnsi="Calibri" w:cs="Calibri"/>
                <w:color w:val="000000"/>
              </w:rPr>
              <w:t>7.52</w:t>
            </w:r>
          </w:p>
        </w:tc>
        <w:tc>
          <w:tcPr>
            <w:tcW w:w="1207" w:type="dxa"/>
            <w:vAlign w:val="center"/>
          </w:tcPr>
          <w:p w14:paraId="5C6A3FAE" w14:textId="77777777" w:rsidR="00871E1B" w:rsidRDefault="00871E1B" w:rsidP="00A26A46">
            <w:pPr>
              <w:jc w:val="center"/>
            </w:pPr>
            <w:r>
              <w:rPr>
                <w:color w:val="000000"/>
              </w:rPr>
              <w:t>-4.0933</w:t>
            </w:r>
          </w:p>
        </w:tc>
        <w:tc>
          <w:tcPr>
            <w:tcW w:w="1524" w:type="dxa"/>
            <w:vAlign w:val="center"/>
          </w:tcPr>
          <w:p w14:paraId="7319E7F3" w14:textId="77777777" w:rsidR="00871E1B" w:rsidRDefault="00871E1B" w:rsidP="00A26A46">
            <w:pPr>
              <w:jc w:val="both"/>
            </w:pPr>
            <w:r>
              <w:rPr>
                <w:color w:val="000000"/>
              </w:rPr>
              <w:t>-3.5333</w:t>
            </w:r>
          </w:p>
        </w:tc>
        <w:tc>
          <w:tcPr>
            <w:tcW w:w="1172" w:type="dxa"/>
            <w:vAlign w:val="center"/>
          </w:tcPr>
          <w:p w14:paraId="43E44B24" w14:textId="77777777" w:rsidR="00871E1B" w:rsidRDefault="00871E1B" w:rsidP="00A26A46">
            <w:pPr>
              <w:jc w:val="both"/>
            </w:pPr>
            <w:r>
              <w:rPr>
                <w:color w:val="000000"/>
              </w:rPr>
              <w:t>5.6198</w:t>
            </w:r>
          </w:p>
        </w:tc>
        <w:tc>
          <w:tcPr>
            <w:tcW w:w="1155" w:type="dxa"/>
            <w:vAlign w:val="center"/>
          </w:tcPr>
          <w:p w14:paraId="28237347" w14:textId="77777777" w:rsidR="00871E1B" w:rsidRDefault="00871E1B" w:rsidP="00A26A46">
            <w:pPr>
              <w:jc w:val="both"/>
              <w:rPr>
                <w:color w:val="000000"/>
              </w:rPr>
            </w:pPr>
            <w:r>
              <w:rPr>
                <w:color w:val="000000"/>
              </w:rPr>
              <w:t>-11.1287</w:t>
            </w:r>
          </w:p>
        </w:tc>
        <w:tc>
          <w:tcPr>
            <w:tcW w:w="1462" w:type="dxa"/>
            <w:vAlign w:val="center"/>
          </w:tcPr>
          <w:p w14:paraId="730A4468" w14:textId="77777777" w:rsidR="00871E1B" w:rsidRDefault="00871E1B" w:rsidP="00A26A46">
            <w:pPr>
              <w:jc w:val="both"/>
              <w:rPr>
                <w:color w:val="000000"/>
              </w:rPr>
            </w:pPr>
            <w:r>
              <w:rPr>
                <w:color w:val="000000"/>
              </w:rPr>
              <w:t>5.51</w:t>
            </w:r>
          </w:p>
        </w:tc>
      </w:tr>
      <w:tr w:rsidR="00871E1B" w14:paraId="4BE90F6E" w14:textId="77777777" w:rsidTr="00A26A46">
        <w:trPr>
          <w:trHeight w:val="260"/>
        </w:trPr>
        <w:tc>
          <w:tcPr>
            <w:tcW w:w="1519" w:type="dxa"/>
            <w:vAlign w:val="center"/>
          </w:tcPr>
          <w:p w14:paraId="519ACC79" w14:textId="77777777" w:rsidR="00871E1B" w:rsidRDefault="00871E1B" w:rsidP="00A26A46">
            <w:pPr>
              <w:jc w:val="center"/>
            </w:pPr>
            <w:r>
              <w:rPr>
                <w:b/>
                <w:bCs/>
                <w:color w:val="000000"/>
              </w:rPr>
              <w:t>ICBEPMF1S1</w:t>
            </w:r>
          </w:p>
        </w:tc>
        <w:tc>
          <w:tcPr>
            <w:tcW w:w="855" w:type="dxa"/>
          </w:tcPr>
          <w:p w14:paraId="3AA3121A" w14:textId="77777777" w:rsidR="00871E1B" w:rsidRDefault="00871E1B" w:rsidP="00A26A46">
            <w:pPr>
              <w:jc w:val="center"/>
              <w:rPr>
                <w:color w:val="000000"/>
              </w:rPr>
            </w:pPr>
            <w:r w:rsidRPr="00CF7C75">
              <w:rPr>
                <w:rFonts w:ascii="Calibri" w:hAnsi="Calibri" w:cs="Calibri"/>
                <w:color w:val="000000"/>
              </w:rPr>
              <w:t>7.52</w:t>
            </w:r>
          </w:p>
        </w:tc>
        <w:tc>
          <w:tcPr>
            <w:tcW w:w="1207" w:type="dxa"/>
            <w:vAlign w:val="center"/>
          </w:tcPr>
          <w:p w14:paraId="1CFA489D" w14:textId="77777777" w:rsidR="00871E1B" w:rsidRDefault="00871E1B" w:rsidP="00A26A46">
            <w:pPr>
              <w:jc w:val="center"/>
            </w:pPr>
            <w:r>
              <w:rPr>
                <w:color w:val="000000"/>
              </w:rPr>
              <w:t>-2.5602</w:t>
            </w:r>
          </w:p>
        </w:tc>
        <w:tc>
          <w:tcPr>
            <w:tcW w:w="1524" w:type="dxa"/>
            <w:vAlign w:val="center"/>
          </w:tcPr>
          <w:p w14:paraId="48C0685B" w14:textId="77777777" w:rsidR="00871E1B" w:rsidRDefault="00871E1B" w:rsidP="00A26A46">
            <w:pPr>
              <w:jc w:val="both"/>
            </w:pPr>
            <w:r>
              <w:rPr>
                <w:color w:val="000000"/>
              </w:rPr>
              <w:t>-3.3283</w:t>
            </w:r>
          </w:p>
        </w:tc>
        <w:tc>
          <w:tcPr>
            <w:tcW w:w="1172" w:type="dxa"/>
            <w:vAlign w:val="center"/>
          </w:tcPr>
          <w:p w14:paraId="1870432D" w14:textId="77777777" w:rsidR="00871E1B" w:rsidRDefault="00871E1B" w:rsidP="00A26A46">
            <w:pPr>
              <w:jc w:val="both"/>
            </w:pPr>
            <w:r>
              <w:rPr>
                <w:color w:val="000000"/>
              </w:rPr>
              <w:t>1.7869</w:t>
            </w:r>
          </w:p>
        </w:tc>
        <w:tc>
          <w:tcPr>
            <w:tcW w:w="1155" w:type="dxa"/>
            <w:vAlign w:val="center"/>
          </w:tcPr>
          <w:p w14:paraId="25CDE034" w14:textId="77777777" w:rsidR="00871E1B" w:rsidRDefault="00871E1B" w:rsidP="00A26A46">
            <w:pPr>
              <w:jc w:val="both"/>
              <w:rPr>
                <w:color w:val="000000"/>
              </w:rPr>
            </w:pPr>
            <w:r>
              <w:rPr>
                <w:color w:val="000000"/>
              </w:rPr>
              <w:t>-12.6377</w:t>
            </w:r>
          </w:p>
        </w:tc>
        <w:tc>
          <w:tcPr>
            <w:tcW w:w="1462" w:type="dxa"/>
            <w:vAlign w:val="center"/>
          </w:tcPr>
          <w:p w14:paraId="661EEFF9" w14:textId="77777777" w:rsidR="00871E1B" w:rsidRDefault="00871E1B" w:rsidP="00A26A46">
            <w:pPr>
              <w:jc w:val="both"/>
              <w:rPr>
                <w:color w:val="000000"/>
              </w:rPr>
            </w:pPr>
            <w:r>
              <w:rPr>
                <w:color w:val="000000"/>
              </w:rPr>
              <w:t>3.42</w:t>
            </w:r>
          </w:p>
        </w:tc>
      </w:tr>
      <w:tr w:rsidR="00871E1B" w14:paraId="0C876C4D" w14:textId="77777777" w:rsidTr="00A26A46">
        <w:trPr>
          <w:trHeight w:val="260"/>
        </w:trPr>
        <w:tc>
          <w:tcPr>
            <w:tcW w:w="1519" w:type="dxa"/>
            <w:vAlign w:val="center"/>
          </w:tcPr>
          <w:p w14:paraId="4701BEFC" w14:textId="77777777" w:rsidR="00871E1B" w:rsidRDefault="00871E1B" w:rsidP="00A26A46">
            <w:pPr>
              <w:jc w:val="center"/>
            </w:pPr>
            <w:r>
              <w:rPr>
                <w:b/>
                <w:bCs/>
                <w:color w:val="000000"/>
              </w:rPr>
              <w:t>IFIC1STMF</w:t>
            </w:r>
          </w:p>
        </w:tc>
        <w:tc>
          <w:tcPr>
            <w:tcW w:w="855" w:type="dxa"/>
          </w:tcPr>
          <w:p w14:paraId="2908A317" w14:textId="77777777" w:rsidR="00871E1B" w:rsidRDefault="00871E1B" w:rsidP="00A26A46">
            <w:pPr>
              <w:jc w:val="center"/>
              <w:rPr>
                <w:color w:val="000000"/>
              </w:rPr>
            </w:pPr>
            <w:r w:rsidRPr="00CF7C75">
              <w:rPr>
                <w:rFonts w:ascii="Calibri" w:hAnsi="Calibri" w:cs="Calibri"/>
                <w:color w:val="000000"/>
              </w:rPr>
              <w:t>7.52</w:t>
            </w:r>
          </w:p>
        </w:tc>
        <w:tc>
          <w:tcPr>
            <w:tcW w:w="1207" w:type="dxa"/>
            <w:vAlign w:val="center"/>
          </w:tcPr>
          <w:p w14:paraId="4B655F27" w14:textId="77777777" w:rsidR="00871E1B" w:rsidRDefault="00871E1B" w:rsidP="00A26A46">
            <w:pPr>
              <w:jc w:val="center"/>
            </w:pPr>
            <w:r>
              <w:rPr>
                <w:color w:val="000000"/>
              </w:rPr>
              <w:t>-3.5668</w:t>
            </w:r>
          </w:p>
        </w:tc>
        <w:tc>
          <w:tcPr>
            <w:tcW w:w="1524" w:type="dxa"/>
            <w:vAlign w:val="center"/>
          </w:tcPr>
          <w:p w14:paraId="0B00450C" w14:textId="77777777" w:rsidR="00871E1B" w:rsidRDefault="00871E1B" w:rsidP="00A26A46">
            <w:pPr>
              <w:jc w:val="both"/>
            </w:pPr>
            <w:r>
              <w:rPr>
                <w:color w:val="000000"/>
              </w:rPr>
              <w:t>-3.6656</w:t>
            </w:r>
          </w:p>
        </w:tc>
        <w:tc>
          <w:tcPr>
            <w:tcW w:w="1172" w:type="dxa"/>
            <w:vAlign w:val="center"/>
          </w:tcPr>
          <w:p w14:paraId="246583BA" w14:textId="77777777" w:rsidR="00871E1B" w:rsidRDefault="00871E1B" w:rsidP="00A26A46">
            <w:pPr>
              <w:jc w:val="both"/>
            </w:pPr>
            <w:r>
              <w:rPr>
                <w:color w:val="000000"/>
              </w:rPr>
              <w:t>-2.5440</w:t>
            </w:r>
          </w:p>
        </w:tc>
        <w:tc>
          <w:tcPr>
            <w:tcW w:w="1155" w:type="dxa"/>
            <w:vAlign w:val="center"/>
          </w:tcPr>
          <w:p w14:paraId="657B2A0B" w14:textId="77777777" w:rsidR="00871E1B" w:rsidRDefault="00871E1B" w:rsidP="00A26A46">
            <w:pPr>
              <w:jc w:val="both"/>
              <w:rPr>
                <w:color w:val="000000"/>
              </w:rPr>
            </w:pPr>
            <w:r>
              <w:rPr>
                <w:color w:val="000000"/>
              </w:rPr>
              <w:t>-17.7602</w:t>
            </w:r>
          </w:p>
        </w:tc>
        <w:tc>
          <w:tcPr>
            <w:tcW w:w="1462" w:type="dxa"/>
            <w:vAlign w:val="center"/>
          </w:tcPr>
          <w:p w14:paraId="4108E008" w14:textId="77777777" w:rsidR="00871E1B" w:rsidRDefault="00871E1B" w:rsidP="00A26A46">
            <w:pPr>
              <w:jc w:val="both"/>
              <w:rPr>
                <w:color w:val="000000"/>
              </w:rPr>
            </w:pPr>
            <w:r>
              <w:rPr>
                <w:color w:val="000000"/>
              </w:rPr>
              <w:t>-2.26</w:t>
            </w:r>
          </w:p>
        </w:tc>
      </w:tr>
      <w:tr w:rsidR="00871E1B" w14:paraId="7D729C7E" w14:textId="77777777" w:rsidTr="00A26A46">
        <w:trPr>
          <w:trHeight w:val="260"/>
        </w:trPr>
        <w:tc>
          <w:tcPr>
            <w:tcW w:w="1519" w:type="dxa"/>
            <w:vAlign w:val="center"/>
          </w:tcPr>
          <w:p w14:paraId="42526DD6" w14:textId="77777777" w:rsidR="00871E1B" w:rsidRDefault="00871E1B" w:rsidP="00A26A46">
            <w:pPr>
              <w:jc w:val="center"/>
            </w:pPr>
            <w:r>
              <w:rPr>
                <w:b/>
                <w:bCs/>
                <w:color w:val="000000"/>
              </w:rPr>
              <w:t>IFILISLMF1</w:t>
            </w:r>
          </w:p>
        </w:tc>
        <w:tc>
          <w:tcPr>
            <w:tcW w:w="855" w:type="dxa"/>
          </w:tcPr>
          <w:p w14:paraId="6F4C767E" w14:textId="77777777" w:rsidR="00871E1B" w:rsidRDefault="00871E1B" w:rsidP="00A26A46">
            <w:pPr>
              <w:jc w:val="center"/>
              <w:rPr>
                <w:color w:val="000000"/>
              </w:rPr>
            </w:pPr>
            <w:r w:rsidRPr="00CF7C75">
              <w:rPr>
                <w:rFonts w:ascii="Calibri" w:hAnsi="Calibri" w:cs="Calibri"/>
                <w:color w:val="000000"/>
              </w:rPr>
              <w:t>7.52</w:t>
            </w:r>
          </w:p>
        </w:tc>
        <w:tc>
          <w:tcPr>
            <w:tcW w:w="1207" w:type="dxa"/>
            <w:vAlign w:val="center"/>
          </w:tcPr>
          <w:p w14:paraId="636AB21D" w14:textId="77777777" w:rsidR="00871E1B" w:rsidRDefault="00871E1B" w:rsidP="00A26A46">
            <w:pPr>
              <w:jc w:val="center"/>
            </w:pPr>
            <w:r>
              <w:rPr>
                <w:color w:val="000000"/>
              </w:rPr>
              <w:t>-3.0274</w:t>
            </w:r>
          </w:p>
        </w:tc>
        <w:tc>
          <w:tcPr>
            <w:tcW w:w="1524" w:type="dxa"/>
            <w:vAlign w:val="center"/>
          </w:tcPr>
          <w:p w14:paraId="0F3FE392" w14:textId="77777777" w:rsidR="00871E1B" w:rsidRDefault="00871E1B" w:rsidP="00A26A46">
            <w:pPr>
              <w:jc w:val="both"/>
            </w:pPr>
            <w:r>
              <w:rPr>
                <w:color w:val="000000"/>
              </w:rPr>
              <w:t>-3.8405</w:t>
            </w:r>
          </w:p>
        </w:tc>
        <w:tc>
          <w:tcPr>
            <w:tcW w:w="1172" w:type="dxa"/>
            <w:vAlign w:val="center"/>
          </w:tcPr>
          <w:p w14:paraId="210A1422" w14:textId="77777777" w:rsidR="00871E1B" w:rsidRDefault="00871E1B" w:rsidP="00A26A46">
            <w:pPr>
              <w:jc w:val="both"/>
            </w:pPr>
            <w:r>
              <w:rPr>
                <w:color w:val="000000"/>
              </w:rPr>
              <w:t>-0.5867</w:t>
            </w:r>
          </w:p>
        </w:tc>
        <w:tc>
          <w:tcPr>
            <w:tcW w:w="1155" w:type="dxa"/>
            <w:vAlign w:val="center"/>
          </w:tcPr>
          <w:p w14:paraId="1AB329C1" w14:textId="77777777" w:rsidR="00871E1B" w:rsidRDefault="00871E1B" w:rsidP="00A26A46">
            <w:pPr>
              <w:jc w:val="both"/>
              <w:rPr>
                <w:color w:val="000000"/>
              </w:rPr>
            </w:pPr>
            <w:r>
              <w:rPr>
                <w:color w:val="000000"/>
              </w:rPr>
              <w:t>-14.0906</w:t>
            </w:r>
          </w:p>
        </w:tc>
        <w:tc>
          <w:tcPr>
            <w:tcW w:w="1462" w:type="dxa"/>
            <w:vAlign w:val="center"/>
          </w:tcPr>
          <w:p w14:paraId="66559CF0" w14:textId="77777777" w:rsidR="00871E1B" w:rsidRDefault="00871E1B" w:rsidP="00A26A46">
            <w:pPr>
              <w:jc w:val="both"/>
              <w:rPr>
                <w:color w:val="000000"/>
              </w:rPr>
            </w:pPr>
            <w:r>
              <w:rPr>
                <w:color w:val="000000"/>
              </w:rPr>
              <w:t>0.07</w:t>
            </w:r>
          </w:p>
        </w:tc>
      </w:tr>
      <w:tr w:rsidR="00871E1B" w14:paraId="2B8AD160" w14:textId="77777777" w:rsidTr="00A26A46">
        <w:trPr>
          <w:trHeight w:val="260"/>
        </w:trPr>
        <w:tc>
          <w:tcPr>
            <w:tcW w:w="1519" w:type="dxa"/>
            <w:vAlign w:val="center"/>
          </w:tcPr>
          <w:p w14:paraId="30EA90E6" w14:textId="77777777" w:rsidR="00871E1B" w:rsidRDefault="00871E1B" w:rsidP="00A26A46">
            <w:pPr>
              <w:jc w:val="center"/>
            </w:pPr>
            <w:r>
              <w:rPr>
                <w:b/>
                <w:bCs/>
                <w:color w:val="000000"/>
              </w:rPr>
              <w:t>MBL1STMF</w:t>
            </w:r>
          </w:p>
        </w:tc>
        <w:tc>
          <w:tcPr>
            <w:tcW w:w="855" w:type="dxa"/>
          </w:tcPr>
          <w:p w14:paraId="31C59C99" w14:textId="77777777" w:rsidR="00871E1B" w:rsidRDefault="00871E1B" w:rsidP="00A26A46">
            <w:pPr>
              <w:jc w:val="center"/>
              <w:rPr>
                <w:color w:val="000000"/>
              </w:rPr>
            </w:pPr>
            <w:r w:rsidRPr="00CF7C75">
              <w:rPr>
                <w:rFonts w:ascii="Calibri" w:hAnsi="Calibri" w:cs="Calibri"/>
                <w:color w:val="000000"/>
              </w:rPr>
              <w:t>7.52</w:t>
            </w:r>
          </w:p>
        </w:tc>
        <w:tc>
          <w:tcPr>
            <w:tcW w:w="1207" w:type="dxa"/>
            <w:vAlign w:val="center"/>
          </w:tcPr>
          <w:p w14:paraId="051579A5" w14:textId="77777777" w:rsidR="00871E1B" w:rsidRDefault="00871E1B" w:rsidP="00A26A46">
            <w:pPr>
              <w:jc w:val="center"/>
            </w:pPr>
            <w:r>
              <w:rPr>
                <w:color w:val="000000"/>
              </w:rPr>
              <w:t>-3.0693</w:t>
            </w:r>
          </w:p>
        </w:tc>
        <w:tc>
          <w:tcPr>
            <w:tcW w:w="1524" w:type="dxa"/>
            <w:vAlign w:val="center"/>
          </w:tcPr>
          <w:p w14:paraId="23E85D2D" w14:textId="77777777" w:rsidR="00871E1B" w:rsidRDefault="00871E1B" w:rsidP="00A26A46">
            <w:pPr>
              <w:jc w:val="both"/>
            </w:pPr>
            <w:r>
              <w:rPr>
                <w:color w:val="000000"/>
              </w:rPr>
              <w:t>-3.4394</w:t>
            </w:r>
          </w:p>
        </w:tc>
        <w:tc>
          <w:tcPr>
            <w:tcW w:w="1172" w:type="dxa"/>
            <w:vAlign w:val="center"/>
          </w:tcPr>
          <w:p w14:paraId="244B3D99" w14:textId="77777777" w:rsidR="00871E1B" w:rsidRDefault="00871E1B" w:rsidP="00A26A46">
            <w:pPr>
              <w:jc w:val="both"/>
            </w:pPr>
            <w:r>
              <w:rPr>
                <w:color w:val="000000"/>
              </w:rPr>
              <w:t>1.7275</w:t>
            </w:r>
          </w:p>
        </w:tc>
        <w:tc>
          <w:tcPr>
            <w:tcW w:w="1155" w:type="dxa"/>
            <w:vAlign w:val="center"/>
          </w:tcPr>
          <w:p w14:paraId="7586DD89" w14:textId="77777777" w:rsidR="00871E1B" w:rsidRDefault="00871E1B" w:rsidP="00A26A46">
            <w:pPr>
              <w:jc w:val="both"/>
              <w:rPr>
                <w:color w:val="000000"/>
              </w:rPr>
            </w:pPr>
            <w:r>
              <w:rPr>
                <w:color w:val="000000"/>
              </w:rPr>
              <w:t>-13.3130</w:t>
            </w:r>
          </w:p>
        </w:tc>
        <w:tc>
          <w:tcPr>
            <w:tcW w:w="1462" w:type="dxa"/>
            <w:vAlign w:val="center"/>
          </w:tcPr>
          <w:p w14:paraId="51EDD17F" w14:textId="77777777" w:rsidR="00871E1B" w:rsidRDefault="00871E1B" w:rsidP="00A26A46">
            <w:pPr>
              <w:jc w:val="both"/>
              <w:rPr>
                <w:color w:val="000000"/>
              </w:rPr>
            </w:pPr>
            <w:r>
              <w:rPr>
                <w:color w:val="000000"/>
              </w:rPr>
              <w:t>2.74</w:t>
            </w:r>
          </w:p>
        </w:tc>
      </w:tr>
      <w:tr w:rsidR="00871E1B" w14:paraId="3580992F" w14:textId="77777777" w:rsidTr="00A26A46">
        <w:trPr>
          <w:trHeight w:val="260"/>
        </w:trPr>
        <w:tc>
          <w:tcPr>
            <w:tcW w:w="1519" w:type="dxa"/>
            <w:vAlign w:val="center"/>
          </w:tcPr>
          <w:p w14:paraId="078F1A5C" w14:textId="77777777" w:rsidR="00871E1B" w:rsidRDefault="00871E1B" w:rsidP="00A26A46">
            <w:pPr>
              <w:jc w:val="center"/>
            </w:pPr>
            <w:r>
              <w:rPr>
                <w:b/>
                <w:bCs/>
                <w:color w:val="000000"/>
              </w:rPr>
              <w:t>PF1STMF</w:t>
            </w:r>
          </w:p>
        </w:tc>
        <w:tc>
          <w:tcPr>
            <w:tcW w:w="855" w:type="dxa"/>
          </w:tcPr>
          <w:p w14:paraId="17F2DDAB" w14:textId="77777777" w:rsidR="00871E1B" w:rsidRDefault="00871E1B" w:rsidP="00A26A46">
            <w:pPr>
              <w:jc w:val="center"/>
              <w:rPr>
                <w:color w:val="000000"/>
              </w:rPr>
            </w:pPr>
            <w:r w:rsidRPr="00CF7C75">
              <w:rPr>
                <w:rFonts w:ascii="Calibri" w:hAnsi="Calibri" w:cs="Calibri"/>
                <w:color w:val="000000"/>
              </w:rPr>
              <w:t>7.52</w:t>
            </w:r>
          </w:p>
        </w:tc>
        <w:tc>
          <w:tcPr>
            <w:tcW w:w="1207" w:type="dxa"/>
            <w:vAlign w:val="center"/>
          </w:tcPr>
          <w:p w14:paraId="5B2E9CF8" w14:textId="77777777" w:rsidR="00871E1B" w:rsidRDefault="00871E1B" w:rsidP="00A26A46">
            <w:pPr>
              <w:jc w:val="center"/>
            </w:pPr>
            <w:r>
              <w:rPr>
                <w:color w:val="000000"/>
              </w:rPr>
              <w:t>-3.7705</w:t>
            </w:r>
          </w:p>
        </w:tc>
        <w:tc>
          <w:tcPr>
            <w:tcW w:w="1524" w:type="dxa"/>
            <w:vAlign w:val="center"/>
          </w:tcPr>
          <w:p w14:paraId="2648CA9C" w14:textId="77777777" w:rsidR="00871E1B" w:rsidRDefault="00871E1B" w:rsidP="00A26A46">
            <w:pPr>
              <w:jc w:val="both"/>
            </w:pPr>
            <w:r>
              <w:rPr>
                <w:color w:val="000000"/>
              </w:rPr>
              <w:t>-3.0195</w:t>
            </w:r>
          </w:p>
        </w:tc>
        <w:tc>
          <w:tcPr>
            <w:tcW w:w="1172" w:type="dxa"/>
            <w:vAlign w:val="center"/>
          </w:tcPr>
          <w:p w14:paraId="51918775" w14:textId="77777777" w:rsidR="00871E1B" w:rsidRDefault="00871E1B" w:rsidP="00A26A46">
            <w:pPr>
              <w:jc w:val="both"/>
            </w:pPr>
            <w:r>
              <w:rPr>
                <w:color w:val="000000"/>
              </w:rPr>
              <w:t>9.2358</w:t>
            </w:r>
          </w:p>
        </w:tc>
        <w:tc>
          <w:tcPr>
            <w:tcW w:w="1155" w:type="dxa"/>
            <w:vAlign w:val="center"/>
          </w:tcPr>
          <w:p w14:paraId="5706639A" w14:textId="77777777" w:rsidR="00871E1B" w:rsidRDefault="00871E1B" w:rsidP="00A26A46">
            <w:pPr>
              <w:jc w:val="both"/>
              <w:rPr>
                <w:color w:val="000000"/>
              </w:rPr>
            </w:pPr>
            <w:r>
              <w:rPr>
                <w:color w:val="000000"/>
              </w:rPr>
              <w:t>-8.7276</w:t>
            </w:r>
          </w:p>
        </w:tc>
        <w:tc>
          <w:tcPr>
            <w:tcW w:w="1462" w:type="dxa"/>
            <w:vAlign w:val="center"/>
          </w:tcPr>
          <w:p w14:paraId="2B27EB74" w14:textId="77777777" w:rsidR="00871E1B" w:rsidRDefault="00871E1B" w:rsidP="00A26A46">
            <w:pPr>
              <w:jc w:val="both"/>
              <w:rPr>
                <w:color w:val="000000"/>
              </w:rPr>
            </w:pPr>
            <w:r>
              <w:rPr>
                <w:color w:val="000000"/>
              </w:rPr>
              <w:t>9.97</w:t>
            </w:r>
          </w:p>
        </w:tc>
      </w:tr>
      <w:tr w:rsidR="00871E1B" w14:paraId="143D7923" w14:textId="77777777" w:rsidTr="00A26A46">
        <w:trPr>
          <w:trHeight w:val="260"/>
        </w:trPr>
        <w:tc>
          <w:tcPr>
            <w:tcW w:w="1519" w:type="dxa"/>
            <w:vAlign w:val="center"/>
          </w:tcPr>
          <w:p w14:paraId="218163F6" w14:textId="77777777" w:rsidR="00871E1B" w:rsidRDefault="00871E1B" w:rsidP="00A26A46">
            <w:pPr>
              <w:jc w:val="center"/>
            </w:pPr>
            <w:r>
              <w:rPr>
                <w:b/>
                <w:bCs/>
                <w:color w:val="000000"/>
              </w:rPr>
              <w:t>PHPMF1</w:t>
            </w:r>
          </w:p>
        </w:tc>
        <w:tc>
          <w:tcPr>
            <w:tcW w:w="855" w:type="dxa"/>
          </w:tcPr>
          <w:p w14:paraId="7BE49D92" w14:textId="77777777" w:rsidR="00871E1B" w:rsidRDefault="00871E1B" w:rsidP="00A26A46">
            <w:pPr>
              <w:jc w:val="center"/>
              <w:rPr>
                <w:color w:val="000000"/>
              </w:rPr>
            </w:pPr>
            <w:r w:rsidRPr="00CF7C75">
              <w:rPr>
                <w:rFonts w:ascii="Calibri" w:hAnsi="Calibri" w:cs="Calibri"/>
                <w:color w:val="000000"/>
              </w:rPr>
              <w:t>7.52</w:t>
            </w:r>
          </w:p>
        </w:tc>
        <w:tc>
          <w:tcPr>
            <w:tcW w:w="1207" w:type="dxa"/>
            <w:vAlign w:val="center"/>
          </w:tcPr>
          <w:p w14:paraId="0C7DD5A4" w14:textId="77777777" w:rsidR="00871E1B" w:rsidRDefault="00871E1B" w:rsidP="00A26A46">
            <w:pPr>
              <w:jc w:val="center"/>
            </w:pPr>
            <w:r>
              <w:rPr>
                <w:color w:val="000000"/>
              </w:rPr>
              <w:t>-3.3311</w:t>
            </w:r>
          </w:p>
        </w:tc>
        <w:tc>
          <w:tcPr>
            <w:tcW w:w="1524" w:type="dxa"/>
            <w:vAlign w:val="center"/>
          </w:tcPr>
          <w:p w14:paraId="5279A1C2" w14:textId="77777777" w:rsidR="00871E1B" w:rsidRDefault="00871E1B" w:rsidP="00A26A46">
            <w:pPr>
              <w:jc w:val="both"/>
            </w:pPr>
            <w:r>
              <w:rPr>
                <w:color w:val="000000"/>
              </w:rPr>
              <w:t>-3.5604</w:t>
            </w:r>
          </w:p>
        </w:tc>
        <w:tc>
          <w:tcPr>
            <w:tcW w:w="1172" w:type="dxa"/>
            <w:vAlign w:val="center"/>
          </w:tcPr>
          <w:p w14:paraId="1F3F7DA0" w14:textId="77777777" w:rsidR="00871E1B" w:rsidRDefault="00871E1B" w:rsidP="00A26A46">
            <w:pPr>
              <w:jc w:val="both"/>
            </w:pPr>
            <w:r>
              <w:rPr>
                <w:color w:val="000000"/>
              </w:rPr>
              <w:t>-1.6487</w:t>
            </w:r>
          </w:p>
        </w:tc>
        <w:tc>
          <w:tcPr>
            <w:tcW w:w="1155" w:type="dxa"/>
            <w:vAlign w:val="center"/>
          </w:tcPr>
          <w:p w14:paraId="61C3170C" w14:textId="77777777" w:rsidR="00871E1B" w:rsidRDefault="00871E1B" w:rsidP="00A26A46">
            <w:pPr>
              <w:jc w:val="both"/>
              <w:rPr>
                <w:color w:val="000000"/>
              </w:rPr>
            </w:pPr>
            <w:r>
              <w:rPr>
                <w:color w:val="000000"/>
              </w:rPr>
              <w:t>-16.7743</w:t>
            </w:r>
          </w:p>
        </w:tc>
        <w:tc>
          <w:tcPr>
            <w:tcW w:w="1462" w:type="dxa"/>
            <w:vAlign w:val="center"/>
          </w:tcPr>
          <w:p w14:paraId="145822D8" w14:textId="77777777" w:rsidR="00871E1B" w:rsidRDefault="00871E1B" w:rsidP="00A26A46">
            <w:pPr>
              <w:jc w:val="both"/>
              <w:rPr>
                <w:color w:val="000000"/>
              </w:rPr>
            </w:pPr>
            <w:r>
              <w:rPr>
                <w:color w:val="000000"/>
              </w:rPr>
              <w:t>-1.02</w:t>
            </w:r>
          </w:p>
        </w:tc>
      </w:tr>
      <w:tr w:rsidR="00871E1B" w14:paraId="10BFD40A" w14:textId="77777777" w:rsidTr="00A26A46">
        <w:trPr>
          <w:trHeight w:val="260"/>
        </w:trPr>
        <w:tc>
          <w:tcPr>
            <w:tcW w:w="1519" w:type="dxa"/>
            <w:vAlign w:val="center"/>
          </w:tcPr>
          <w:p w14:paraId="155CDDD4" w14:textId="77777777" w:rsidR="00871E1B" w:rsidRDefault="00871E1B" w:rsidP="00A26A46">
            <w:pPr>
              <w:jc w:val="center"/>
            </w:pPr>
            <w:r>
              <w:rPr>
                <w:b/>
                <w:bCs/>
                <w:color w:val="000000"/>
              </w:rPr>
              <w:t>POPULAR1MF</w:t>
            </w:r>
          </w:p>
        </w:tc>
        <w:tc>
          <w:tcPr>
            <w:tcW w:w="855" w:type="dxa"/>
          </w:tcPr>
          <w:p w14:paraId="26B6C4A4" w14:textId="77777777" w:rsidR="00871E1B" w:rsidRDefault="00871E1B" w:rsidP="00A26A46">
            <w:pPr>
              <w:jc w:val="center"/>
              <w:rPr>
                <w:color w:val="000000"/>
              </w:rPr>
            </w:pPr>
            <w:r w:rsidRPr="00CF7C75">
              <w:rPr>
                <w:rFonts w:ascii="Calibri" w:hAnsi="Calibri" w:cs="Calibri"/>
                <w:color w:val="000000"/>
              </w:rPr>
              <w:t>7.52</w:t>
            </w:r>
          </w:p>
        </w:tc>
        <w:tc>
          <w:tcPr>
            <w:tcW w:w="1207" w:type="dxa"/>
            <w:vAlign w:val="center"/>
          </w:tcPr>
          <w:p w14:paraId="4CA28B03" w14:textId="77777777" w:rsidR="00871E1B" w:rsidRDefault="00871E1B" w:rsidP="00A26A46">
            <w:pPr>
              <w:jc w:val="center"/>
            </w:pPr>
            <w:r>
              <w:rPr>
                <w:color w:val="000000"/>
              </w:rPr>
              <w:t>-3.5915</w:t>
            </w:r>
          </w:p>
        </w:tc>
        <w:tc>
          <w:tcPr>
            <w:tcW w:w="1524" w:type="dxa"/>
            <w:vAlign w:val="center"/>
          </w:tcPr>
          <w:p w14:paraId="12BBDE37" w14:textId="77777777" w:rsidR="00871E1B" w:rsidRDefault="00871E1B" w:rsidP="00A26A46">
            <w:pPr>
              <w:jc w:val="both"/>
            </w:pPr>
            <w:r>
              <w:rPr>
                <w:color w:val="000000"/>
              </w:rPr>
              <w:t>-3.7399</w:t>
            </w:r>
          </w:p>
        </w:tc>
        <w:tc>
          <w:tcPr>
            <w:tcW w:w="1172" w:type="dxa"/>
            <w:vAlign w:val="center"/>
          </w:tcPr>
          <w:p w14:paraId="4C489B94" w14:textId="77777777" w:rsidR="00871E1B" w:rsidRDefault="00871E1B" w:rsidP="00A26A46">
            <w:pPr>
              <w:jc w:val="both"/>
            </w:pPr>
            <w:r>
              <w:rPr>
                <w:color w:val="000000"/>
              </w:rPr>
              <w:t>-2.7064</w:t>
            </w:r>
          </w:p>
        </w:tc>
        <w:tc>
          <w:tcPr>
            <w:tcW w:w="1155" w:type="dxa"/>
            <w:vAlign w:val="center"/>
          </w:tcPr>
          <w:p w14:paraId="18854E11" w14:textId="77777777" w:rsidR="00871E1B" w:rsidRDefault="00871E1B" w:rsidP="00A26A46">
            <w:pPr>
              <w:jc w:val="both"/>
              <w:rPr>
                <w:color w:val="000000"/>
              </w:rPr>
            </w:pPr>
            <w:r>
              <w:rPr>
                <w:color w:val="000000"/>
              </w:rPr>
              <w:t>-17.7028</w:t>
            </w:r>
          </w:p>
        </w:tc>
        <w:tc>
          <w:tcPr>
            <w:tcW w:w="1462" w:type="dxa"/>
            <w:vAlign w:val="center"/>
          </w:tcPr>
          <w:p w14:paraId="4D1098B9" w14:textId="77777777" w:rsidR="00871E1B" w:rsidRDefault="00871E1B" w:rsidP="00A26A46">
            <w:pPr>
              <w:jc w:val="both"/>
              <w:rPr>
                <w:color w:val="000000"/>
              </w:rPr>
            </w:pPr>
            <w:r>
              <w:rPr>
                <w:color w:val="000000"/>
              </w:rPr>
              <w:t>-2.52</w:t>
            </w:r>
          </w:p>
        </w:tc>
      </w:tr>
      <w:tr w:rsidR="00871E1B" w14:paraId="3D3BC5D8" w14:textId="77777777" w:rsidTr="00A26A46">
        <w:trPr>
          <w:trHeight w:val="260"/>
        </w:trPr>
        <w:tc>
          <w:tcPr>
            <w:tcW w:w="1519" w:type="dxa"/>
            <w:vAlign w:val="center"/>
          </w:tcPr>
          <w:p w14:paraId="2A364D84" w14:textId="77777777" w:rsidR="00871E1B" w:rsidRDefault="00871E1B" w:rsidP="00A26A46">
            <w:pPr>
              <w:jc w:val="center"/>
            </w:pPr>
            <w:r>
              <w:rPr>
                <w:b/>
                <w:bCs/>
                <w:color w:val="000000"/>
              </w:rPr>
              <w:t>PRIME1ICBA</w:t>
            </w:r>
          </w:p>
        </w:tc>
        <w:tc>
          <w:tcPr>
            <w:tcW w:w="855" w:type="dxa"/>
          </w:tcPr>
          <w:p w14:paraId="0048782E" w14:textId="77777777" w:rsidR="00871E1B" w:rsidRDefault="00871E1B" w:rsidP="00A26A46">
            <w:pPr>
              <w:jc w:val="center"/>
              <w:rPr>
                <w:color w:val="000000"/>
              </w:rPr>
            </w:pPr>
            <w:r w:rsidRPr="00CF7C75">
              <w:rPr>
                <w:rFonts w:ascii="Calibri" w:hAnsi="Calibri" w:cs="Calibri"/>
                <w:color w:val="000000"/>
              </w:rPr>
              <w:t>7.52</w:t>
            </w:r>
          </w:p>
        </w:tc>
        <w:tc>
          <w:tcPr>
            <w:tcW w:w="1207" w:type="dxa"/>
            <w:vAlign w:val="center"/>
          </w:tcPr>
          <w:p w14:paraId="77372B2A" w14:textId="77777777" w:rsidR="00871E1B" w:rsidRDefault="00871E1B" w:rsidP="00A26A46">
            <w:pPr>
              <w:jc w:val="center"/>
            </w:pPr>
            <w:r>
              <w:rPr>
                <w:color w:val="000000"/>
              </w:rPr>
              <w:t>-4.0048</w:t>
            </w:r>
          </w:p>
        </w:tc>
        <w:tc>
          <w:tcPr>
            <w:tcW w:w="1524" w:type="dxa"/>
            <w:vAlign w:val="center"/>
          </w:tcPr>
          <w:p w14:paraId="1A7FDBC7" w14:textId="77777777" w:rsidR="00871E1B" w:rsidRDefault="00871E1B" w:rsidP="00A26A46">
            <w:pPr>
              <w:jc w:val="both"/>
            </w:pPr>
            <w:r>
              <w:rPr>
                <w:color w:val="000000"/>
              </w:rPr>
              <w:t>-3.6718</w:t>
            </w:r>
          </w:p>
        </w:tc>
        <w:tc>
          <w:tcPr>
            <w:tcW w:w="1172" w:type="dxa"/>
            <w:vAlign w:val="center"/>
          </w:tcPr>
          <w:p w14:paraId="361F2A59" w14:textId="77777777" w:rsidR="00871E1B" w:rsidRDefault="00871E1B" w:rsidP="00A26A46">
            <w:pPr>
              <w:jc w:val="both"/>
            </w:pPr>
            <w:r>
              <w:rPr>
                <w:color w:val="000000"/>
              </w:rPr>
              <w:t>6.2314</w:t>
            </w:r>
          </w:p>
        </w:tc>
        <w:tc>
          <w:tcPr>
            <w:tcW w:w="1155" w:type="dxa"/>
            <w:vAlign w:val="center"/>
          </w:tcPr>
          <w:p w14:paraId="64A875FE" w14:textId="77777777" w:rsidR="00871E1B" w:rsidRDefault="00871E1B" w:rsidP="00A26A46">
            <w:pPr>
              <w:jc w:val="both"/>
              <w:rPr>
                <w:color w:val="000000"/>
              </w:rPr>
            </w:pPr>
            <w:r>
              <w:rPr>
                <w:color w:val="000000"/>
              </w:rPr>
              <w:t>-9.8382</w:t>
            </w:r>
          </w:p>
        </w:tc>
        <w:tc>
          <w:tcPr>
            <w:tcW w:w="1462" w:type="dxa"/>
            <w:vAlign w:val="center"/>
          </w:tcPr>
          <w:p w14:paraId="2DC36D10" w14:textId="77777777" w:rsidR="00871E1B" w:rsidRDefault="00871E1B" w:rsidP="00A26A46">
            <w:pPr>
              <w:jc w:val="both"/>
              <w:rPr>
                <w:color w:val="000000"/>
              </w:rPr>
            </w:pPr>
            <w:r>
              <w:rPr>
                <w:color w:val="000000"/>
              </w:rPr>
              <w:t>6.07</w:t>
            </w:r>
          </w:p>
        </w:tc>
      </w:tr>
      <w:tr w:rsidR="00871E1B" w14:paraId="17749E33" w14:textId="77777777" w:rsidTr="00A26A46">
        <w:trPr>
          <w:trHeight w:val="260"/>
        </w:trPr>
        <w:tc>
          <w:tcPr>
            <w:tcW w:w="1519" w:type="dxa"/>
            <w:vAlign w:val="center"/>
          </w:tcPr>
          <w:p w14:paraId="3921D0CD" w14:textId="77777777" w:rsidR="00871E1B" w:rsidRDefault="00871E1B" w:rsidP="00A26A46">
            <w:pPr>
              <w:jc w:val="center"/>
              <w:rPr>
                <w:b/>
                <w:bCs/>
                <w:color w:val="000000"/>
              </w:rPr>
            </w:pPr>
            <w:r>
              <w:rPr>
                <w:b/>
                <w:bCs/>
                <w:color w:val="000000"/>
              </w:rPr>
              <w:t>RELIANCE1 </w:t>
            </w:r>
          </w:p>
        </w:tc>
        <w:tc>
          <w:tcPr>
            <w:tcW w:w="855" w:type="dxa"/>
          </w:tcPr>
          <w:p w14:paraId="61542070" w14:textId="77777777" w:rsidR="00871E1B" w:rsidRPr="00CF7C75" w:rsidRDefault="00871E1B" w:rsidP="00A26A46">
            <w:pPr>
              <w:jc w:val="center"/>
              <w:rPr>
                <w:rFonts w:ascii="Calibri" w:hAnsi="Calibri" w:cs="Calibri"/>
                <w:color w:val="000000"/>
              </w:rPr>
            </w:pPr>
            <w:r w:rsidRPr="0068730F">
              <w:rPr>
                <w:rFonts w:ascii="Calibri" w:hAnsi="Calibri" w:cs="Calibri"/>
                <w:color w:val="000000"/>
              </w:rPr>
              <w:t>7.52</w:t>
            </w:r>
          </w:p>
        </w:tc>
        <w:tc>
          <w:tcPr>
            <w:tcW w:w="1207" w:type="dxa"/>
            <w:vAlign w:val="center"/>
          </w:tcPr>
          <w:p w14:paraId="736D4BF7" w14:textId="77777777" w:rsidR="00871E1B" w:rsidRDefault="00871E1B" w:rsidP="00A26A46">
            <w:pPr>
              <w:jc w:val="center"/>
              <w:rPr>
                <w:color w:val="000000"/>
              </w:rPr>
            </w:pPr>
            <w:r>
              <w:rPr>
                <w:color w:val="000000"/>
              </w:rPr>
              <w:t>-2.3159</w:t>
            </w:r>
          </w:p>
        </w:tc>
        <w:tc>
          <w:tcPr>
            <w:tcW w:w="1524" w:type="dxa"/>
            <w:vAlign w:val="center"/>
          </w:tcPr>
          <w:p w14:paraId="4308366B" w14:textId="77777777" w:rsidR="00871E1B" w:rsidRDefault="00871E1B" w:rsidP="00A26A46">
            <w:pPr>
              <w:jc w:val="both"/>
              <w:rPr>
                <w:color w:val="000000"/>
              </w:rPr>
            </w:pPr>
            <w:r>
              <w:rPr>
                <w:color w:val="000000"/>
              </w:rPr>
              <w:t>-3.3578</w:t>
            </w:r>
          </w:p>
        </w:tc>
        <w:tc>
          <w:tcPr>
            <w:tcW w:w="1172" w:type="dxa"/>
            <w:vAlign w:val="center"/>
          </w:tcPr>
          <w:p w14:paraId="2D1C9218" w14:textId="77777777" w:rsidR="00871E1B" w:rsidRDefault="00871E1B" w:rsidP="00A26A46">
            <w:pPr>
              <w:jc w:val="both"/>
              <w:rPr>
                <w:color w:val="000000"/>
              </w:rPr>
            </w:pPr>
            <w:r>
              <w:rPr>
                <w:color w:val="000000"/>
              </w:rPr>
              <w:t>9.5472</w:t>
            </w:r>
          </w:p>
        </w:tc>
        <w:tc>
          <w:tcPr>
            <w:tcW w:w="1155" w:type="dxa"/>
            <w:vAlign w:val="center"/>
          </w:tcPr>
          <w:p w14:paraId="3C1D79C9" w14:textId="77777777" w:rsidR="00871E1B" w:rsidRDefault="00871E1B" w:rsidP="00A26A46">
            <w:pPr>
              <w:jc w:val="both"/>
              <w:rPr>
                <w:color w:val="000000"/>
              </w:rPr>
            </w:pPr>
            <w:r>
              <w:rPr>
                <w:color w:val="000000"/>
              </w:rPr>
              <w:t>-4.2819</w:t>
            </w:r>
          </w:p>
        </w:tc>
        <w:tc>
          <w:tcPr>
            <w:tcW w:w="1462" w:type="dxa"/>
            <w:vAlign w:val="center"/>
          </w:tcPr>
          <w:p w14:paraId="51D5F068" w14:textId="77777777" w:rsidR="00871E1B" w:rsidRDefault="00871E1B" w:rsidP="00A26A46">
            <w:pPr>
              <w:jc w:val="both"/>
              <w:rPr>
                <w:color w:val="000000"/>
              </w:rPr>
            </w:pPr>
            <w:r>
              <w:rPr>
                <w:color w:val="000000"/>
              </w:rPr>
              <w:t>11.39</w:t>
            </w:r>
          </w:p>
        </w:tc>
      </w:tr>
      <w:tr w:rsidR="00871E1B" w14:paraId="163FC714" w14:textId="77777777" w:rsidTr="00A26A46">
        <w:trPr>
          <w:trHeight w:val="260"/>
        </w:trPr>
        <w:tc>
          <w:tcPr>
            <w:tcW w:w="1519" w:type="dxa"/>
            <w:vAlign w:val="center"/>
          </w:tcPr>
          <w:p w14:paraId="6FE5CAE3" w14:textId="77777777" w:rsidR="00871E1B" w:rsidRDefault="00871E1B" w:rsidP="00A26A46">
            <w:pPr>
              <w:jc w:val="center"/>
              <w:rPr>
                <w:b/>
                <w:bCs/>
                <w:color w:val="000000"/>
              </w:rPr>
            </w:pPr>
            <w:r>
              <w:rPr>
                <w:b/>
                <w:bCs/>
                <w:color w:val="000000"/>
              </w:rPr>
              <w:t>TRUSTB1MF</w:t>
            </w:r>
          </w:p>
        </w:tc>
        <w:tc>
          <w:tcPr>
            <w:tcW w:w="855" w:type="dxa"/>
          </w:tcPr>
          <w:p w14:paraId="5DA567CA" w14:textId="77777777" w:rsidR="00871E1B" w:rsidRPr="00CF7C75" w:rsidRDefault="00871E1B" w:rsidP="00A26A46">
            <w:pPr>
              <w:jc w:val="center"/>
              <w:rPr>
                <w:rFonts w:ascii="Calibri" w:hAnsi="Calibri" w:cs="Calibri"/>
                <w:color w:val="000000"/>
              </w:rPr>
            </w:pPr>
            <w:r w:rsidRPr="0068730F">
              <w:rPr>
                <w:rFonts w:ascii="Calibri" w:hAnsi="Calibri" w:cs="Calibri"/>
                <w:color w:val="000000"/>
              </w:rPr>
              <w:t>7.52</w:t>
            </w:r>
          </w:p>
        </w:tc>
        <w:tc>
          <w:tcPr>
            <w:tcW w:w="1207" w:type="dxa"/>
            <w:vAlign w:val="center"/>
          </w:tcPr>
          <w:p w14:paraId="2D8B9E01" w14:textId="77777777" w:rsidR="00871E1B" w:rsidRDefault="00871E1B" w:rsidP="00A26A46">
            <w:pPr>
              <w:jc w:val="center"/>
              <w:rPr>
                <w:color w:val="000000"/>
              </w:rPr>
            </w:pPr>
            <w:r>
              <w:rPr>
                <w:color w:val="000000"/>
              </w:rPr>
              <w:t>-3.4538</w:t>
            </w:r>
          </w:p>
        </w:tc>
        <w:tc>
          <w:tcPr>
            <w:tcW w:w="1524" w:type="dxa"/>
            <w:vAlign w:val="center"/>
          </w:tcPr>
          <w:p w14:paraId="60395C3C" w14:textId="77777777" w:rsidR="00871E1B" w:rsidRDefault="00871E1B" w:rsidP="00A26A46">
            <w:pPr>
              <w:jc w:val="both"/>
              <w:rPr>
                <w:color w:val="000000"/>
              </w:rPr>
            </w:pPr>
            <w:r>
              <w:rPr>
                <w:color w:val="000000"/>
              </w:rPr>
              <w:t>-3.6344</w:t>
            </w:r>
          </w:p>
        </w:tc>
        <w:tc>
          <w:tcPr>
            <w:tcW w:w="1172" w:type="dxa"/>
            <w:vAlign w:val="center"/>
          </w:tcPr>
          <w:p w14:paraId="13945BC4" w14:textId="77777777" w:rsidR="00871E1B" w:rsidRDefault="00871E1B" w:rsidP="00A26A46">
            <w:pPr>
              <w:jc w:val="both"/>
              <w:rPr>
                <w:color w:val="000000"/>
              </w:rPr>
            </w:pPr>
            <w:r>
              <w:rPr>
                <w:color w:val="000000"/>
              </w:rPr>
              <w:t>-2.6852</w:t>
            </w:r>
          </w:p>
        </w:tc>
        <w:tc>
          <w:tcPr>
            <w:tcW w:w="1155" w:type="dxa"/>
            <w:vAlign w:val="center"/>
          </w:tcPr>
          <w:p w14:paraId="3D912C3F" w14:textId="77777777" w:rsidR="00871E1B" w:rsidRDefault="00871E1B" w:rsidP="00A26A46">
            <w:pPr>
              <w:jc w:val="both"/>
              <w:rPr>
                <w:color w:val="000000"/>
              </w:rPr>
            </w:pPr>
            <w:r>
              <w:rPr>
                <w:color w:val="000000"/>
              </w:rPr>
              <w:t>-17.7883</w:t>
            </w:r>
          </w:p>
        </w:tc>
        <w:tc>
          <w:tcPr>
            <w:tcW w:w="1462" w:type="dxa"/>
            <w:vAlign w:val="center"/>
          </w:tcPr>
          <w:p w14:paraId="055B2FA7" w14:textId="77777777" w:rsidR="00871E1B" w:rsidRDefault="00871E1B" w:rsidP="00A26A46">
            <w:pPr>
              <w:jc w:val="both"/>
              <w:rPr>
                <w:color w:val="000000"/>
              </w:rPr>
            </w:pPr>
            <w:r>
              <w:rPr>
                <w:color w:val="000000"/>
              </w:rPr>
              <w:t>-2.25</w:t>
            </w:r>
          </w:p>
        </w:tc>
      </w:tr>
      <w:tr w:rsidR="00871E1B" w14:paraId="58BA4B12" w14:textId="77777777" w:rsidTr="00A26A46">
        <w:trPr>
          <w:trHeight w:val="260"/>
        </w:trPr>
        <w:tc>
          <w:tcPr>
            <w:tcW w:w="1519" w:type="dxa"/>
            <w:vAlign w:val="center"/>
          </w:tcPr>
          <w:p w14:paraId="27C50097" w14:textId="77777777" w:rsidR="00871E1B" w:rsidRDefault="00871E1B" w:rsidP="00A26A46">
            <w:pPr>
              <w:jc w:val="center"/>
              <w:rPr>
                <w:b/>
                <w:bCs/>
                <w:color w:val="000000"/>
              </w:rPr>
            </w:pPr>
            <w:r>
              <w:rPr>
                <w:b/>
                <w:bCs/>
                <w:color w:val="000000"/>
              </w:rPr>
              <w:t>Average</w:t>
            </w:r>
          </w:p>
        </w:tc>
        <w:tc>
          <w:tcPr>
            <w:tcW w:w="855" w:type="dxa"/>
            <w:vAlign w:val="center"/>
          </w:tcPr>
          <w:p w14:paraId="4BB46EC8" w14:textId="77777777" w:rsidR="00871E1B" w:rsidRDefault="00871E1B" w:rsidP="00A26A46">
            <w:pPr>
              <w:jc w:val="center"/>
              <w:rPr>
                <w:color w:val="000000"/>
              </w:rPr>
            </w:pPr>
            <w:r>
              <w:rPr>
                <w:rFonts w:ascii="Calibri" w:hAnsi="Calibri" w:cs="Calibri"/>
                <w:color w:val="000000"/>
              </w:rPr>
              <w:t>7.52</w:t>
            </w:r>
          </w:p>
        </w:tc>
        <w:tc>
          <w:tcPr>
            <w:tcW w:w="1207" w:type="dxa"/>
            <w:vAlign w:val="center"/>
          </w:tcPr>
          <w:p w14:paraId="640AC4E6" w14:textId="77777777" w:rsidR="00871E1B" w:rsidRDefault="00871E1B" w:rsidP="00A26A46">
            <w:pPr>
              <w:jc w:val="center"/>
              <w:rPr>
                <w:color w:val="000000"/>
              </w:rPr>
            </w:pPr>
            <w:r>
              <w:rPr>
                <w:rFonts w:ascii="Calibri" w:hAnsi="Calibri" w:cs="Calibri"/>
                <w:color w:val="000000"/>
              </w:rPr>
              <w:t>-3.4209</w:t>
            </w:r>
          </w:p>
        </w:tc>
        <w:tc>
          <w:tcPr>
            <w:tcW w:w="1524" w:type="dxa"/>
            <w:vAlign w:val="center"/>
          </w:tcPr>
          <w:p w14:paraId="0C308805" w14:textId="77777777" w:rsidR="00871E1B" w:rsidRDefault="00871E1B" w:rsidP="00A26A46">
            <w:pPr>
              <w:jc w:val="both"/>
              <w:rPr>
                <w:color w:val="000000"/>
              </w:rPr>
            </w:pPr>
            <w:r>
              <w:rPr>
                <w:rFonts w:ascii="Calibri" w:hAnsi="Calibri" w:cs="Calibri"/>
                <w:color w:val="000000"/>
              </w:rPr>
              <w:t>-3.5124</w:t>
            </w:r>
          </w:p>
        </w:tc>
        <w:tc>
          <w:tcPr>
            <w:tcW w:w="1172" w:type="dxa"/>
            <w:vAlign w:val="center"/>
          </w:tcPr>
          <w:p w14:paraId="3CDEE0D6" w14:textId="77777777" w:rsidR="00871E1B" w:rsidRDefault="00871E1B" w:rsidP="00A26A46">
            <w:pPr>
              <w:jc w:val="both"/>
              <w:rPr>
                <w:color w:val="000000"/>
              </w:rPr>
            </w:pPr>
            <w:r>
              <w:rPr>
                <w:rFonts w:ascii="Calibri" w:hAnsi="Calibri" w:cs="Calibri"/>
                <w:color w:val="000000"/>
              </w:rPr>
              <w:t>1.8216</w:t>
            </w:r>
          </w:p>
        </w:tc>
        <w:tc>
          <w:tcPr>
            <w:tcW w:w="1155" w:type="dxa"/>
            <w:vAlign w:val="center"/>
          </w:tcPr>
          <w:p w14:paraId="4D645459" w14:textId="77777777" w:rsidR="00871E1B" w:rsidRDefault="00871E1B" w:rsidP="00A26A46">
            <w:pPr>
              <w:jc w:val="both"/>
              <w:rPr>
                <w:color w:val="000000"/>
              </w:rPr>
            </w:pPr>
            <w:r>
              <w:rPr>
                <w:rFonts w:ascii="Calibri" w:hAnsi="Calibri" w:cs="Calibri"/>
                <w:color w:val="000000"/>
              </w:rPr>
              <w:t>-13.6577</w:t>
            </w:r>
          </w:p>
        </w:tc>
        <w:tc>
          <w:tcPr>
            <w:tcW w:w="1462" w:type="dxa"/>
            <w:vAlign w:val="center"/>
          </w:tcPr>
          <w:p w14:paraId="1D04B5AC" w14:textId="77777777" w:rsidR="00871E1B" w:rsidRDefault="00871E1B" w:rsidP="00A26A46">
            <w:pPr>
              <w:jc w:val="both"/>
              <w:rPr>
                <w:color w:val="000000"/>
              </w:rPr>
            </w:pPr>
            <w:r>
              <w:rPr>
                <w:rFonts w:ascii="Calibri" w:hAnsi="Calibri" w:cs="Calibri"/>
                <w:color w:val="000000"/>
              </w:rPr>
              <w:t>2.4086</w:t>
            </w:r>
          </w:p>
        </w:tc>
      </w:tr>
      <w:tr w:rsidR="00871E1B" w14:paraId="115371F8" w14:textId="77777777" w:rsidTr="00A26A46">
        <w:trPr>
          <w:trHeight w:val="260"/>
        </w:trPr>
        <w:tc>
          <w:tcPr>
            <w:tcW w:w="1519" w:type="dxa"/>
            <w:vAlign w:val="center"/>
          </w:tcPr>
          <w:p w14:paraId="7DDEC53B" w14:textId="77777777" w:rsidR="00871E1B" w:rsidRDefault="00871E1B" w:rsidP="00A26A46">
            <w:pPr>
              <w:jc w:val="center"/>
              <w:rPr>
                <w:b/>
                <w:bCs/>
                <w:color w:val="000000"/>
              </w:rPr>
            </w:pPr>
            <w:r>
              <w:rPr>
                <w:b/>
                <w:bCs/>
                <w:color w:val="000000"/>
              </w:rPr>
              <w:t>Standard deviation</w:t>
            </w:r>
          </w:p>
        </w:tc>
        <w:tc>
          <w:tcPr>
            <w:tcW w:w="855" w:type="dxa"/>
            <w:vAlign w:val="center"/>
          </w:tcPr>
          <w:p w14:paraId="66416483" w14:textId="77777777" w:rsidR="00871E1B" w:rsidRDefault="00871E1B" w:rsidP="00A26A46">
            <w:pPr>
              <w:jc w:val="center"/>
              <w:rPr>
                <w:color w:val="000000"/>
              </w:rPr>
            </w:pPr>
            <w:r>
              <w:rPr>
                <w:rFonts w:ascii="Calibri" w:hAnsi="Calibri" w:cs="Calibri"/>
                <w:color w:val="000000"/>
              </w:rPr>
              <w:t>0.00</w:t>
            </w:r>
          </w:p>
        </w:tc>
        <w:tc>
          <w:tcPr>
            <w:tcW w:w="1207" w:type="dxa"/>
            <w:vAlign w:val="center"/>
          </w:tcPr>
          <w:p w14:paraId="75B9EDFF" w14:textId="77777777" w:rsidR="00871E1B" w:rsidRDefault="00871E1B" w:rsidP="00A26A46">
            <w:pPr>
              <w:jc w:val="center"/>
              <w:rPr>
                <w:color w:val="000000"/>
              </w:rPr>
            </w:pPr>
            <w:r>
              <w:rPr>
                <w:rFonts w:ascii="Calibri" w:hAnsi="Calibri" w:cs="Calibri"/>
                <w:color w:val="000000"/>
              </w:rPr>
              <w:t>0.7923</w:t>
            </w:r>
          </w:p>
        </w:tc>
        <w:tc>
          <w:tcPr>
            <w:tcW w:w="1524" w:type="dxa"/>
            <w:vAlign w:val="center"/>
          </w:tcPr>
          <w:p w14:paraId="78EC4BDD" w14:textId="77777777" w:rsidR="00871E1B" w:rsidRDefault="00871E1B" w:rsidP="00A26A46">
            <w:pPr>
              <w:jc w:val="both"/>
              <w:rPr>
                <w:color w:val="000000"/>
              </w:rPr>
            </w:pPr>
            <w:r>
              <w:rPr>
                <w:rFonts w:ascii="Calibri" w:hAnsi="Calibri" w:cs="Calibri"/>
                <w:color w:val="000000"/>
              </w:rPr>
              <w:t>0.3708</w:t>
            </w:r>
          </w:p>
        </w:tc>
        <w:tc>
          <w:tcPr>
            <w:tcW w:w="1172" w:type="dxa"/>
            <w:vAlign w:val="center"/>
          </w:tcPr>
          <w:p w14:paraId="1C2763C9" w14:textId="77777777" w:rsidR="00871E1B" w:rsidRDefault="00871E1B" w:rsidP="00A26A46">
            <w:pPr>
              <w:jc w:val="both"/>
              <w:rPr>
                <w:color w:val="000000"/>
              </w:rPr>
            </w:pPr>
            <w:r>
              <w:rPr>
                <w:rFonts w:ascii="Calibri" w:hAnsi="Calibri" w:cs="Calibri"/>
                <w:color w:val="000000"/>
              </w:rPr>
              <w:t>5.1554</w:t>
            </w:r>
          </w:p>
        </w:tc>
        <w:tc>
          <w:tcPr>
            <w:tcW w:w="1155" w:type="dxa"/>
            <w:vAlign w:val="center"/>
          </w:tcPr>
          <w:p w14:paraId="2E2BCB4C" w14:textId="77777777" w:rsidR="00871E1B" w:rsidRDefault="00871E1B" w:rsidP="00A26A46">
            <w:pPr>
              <w:jc w:val="both"/>
              <w:rPr>
                <w:color w:val="000000"/>
              </w:rPr>
            </w:pPr>
            <w:r>
              <w:rPr>
                <w:rFonts w:ascii="Calibri" w:hAnsi="Calibri" w:cs="Calibri"/>
                <w:color w:val="000000"/>
              </w:rPr>
              <w:t>4.1861</w:t>
            </w:r>
          </w:p>
        </w:tc>
        <w:tc>
          <w:tcPr>
            <w:tcW w:w="1462" w:type="dxa"/>
            <w:vAlign w:val="center"/>
          </w:tcPr>
          <w:p w14:paraId="6122DBB4" w14:textId="77777777" w:rsidR="00871E1B" w:rsidRDefault="00871E1B" w:rsidP="00A26A46">
            <w:pPr>
              <w:jc w:val="both"/>
              <w:rPr>
                <w:color w:val="000000"/>
              </w:rPr>
            </w:pPr>
            <w:r>
              <w:rPr>
                <w:rFonts w:ascii="Calibri" w:hAnsi="Calibri" w:cs="Calibri"/>
                <w:color w:val="000000"/>
              </w:rPr>
              <w:t>5.3572</w:t>
            </w:r>
          </w:p>
        </w:tc>
      </w:tr>
      <w:tr w:rsidR="00871E1B" w14:paraId="7614D512" w14:textId="77777777" w:rsidTr="00A26A46">
        <w:trPr>
          <w:trHeight w:val="260"/>
        </w:trPr>
        <w:tc>
          <w:tcPr>
            <w:tcW w:w="1519" w:type="dxa"/>
            <w:vAlign w:val="center"/>
          </w:tcPr>
          <w:p w14:paraId="4947E7F2" w14:textId="77777777" w:rsidR="00871E1B" w:rsidRDefault="00871E1B" w:rsidP="00A26A46">
            <w:pPr>
              <w:jc w:val="center"/>
              <w:rPr>
                <w:b/>
                <w:bCs/>
                <w:color w:val="000000"/>
              </w:rPr>
            </w:pPr>
            <w:r>
              <w:rPr>
                <w:b/>
                <w:bCs/>
                <w:color w:val="000000"/>
              </w:rPr>
              <w:t>Maximum</w:t>
            </w:r>
          </w:p>
        </w:tc>
        <w:tc>
          <w:tcPr>
            <w:tcW w:w="855" w:type="dxa"/>
            <w:vAlign w:val="center"/>
          </w:tcPr>
          <w:p w14:paraId="669A193C" w14:textId="77777777" w:rsidR="00871E1B" w:rsidRDefault="00871E1B" w:rsidP="00A26A46">
            <w:pPr>
              <w:jc w:val="center"/>
              <w:rPr>
                <w:color w:val="000000"/>
              </w:rPr>
            </w:pPr>
            <w:r>
              <w:rPr>
                <w:rFonts w:ascii="Calibri" w:hAnsi="Calibri" w:cs="Calibri"/>
                <w:color w:val="000000"/>
              </w:rPr>
              <w:t>7.52</w:t>
            </w:r>
          </w:p>
        </w:tc>
        <w:tc>
          <w:tcPr>
            <w:tcW w:w="1207" w:type="dxa"/>
            <w:vAlign w:val="center"/>
          </w:tcPr>
          <w:p w14:paraId="40C70955" w14:textId="77777777" w:rsidR="00871E1B" w:rsidRDefault="00871E1B" w:rsidP="00A26A46">
            <w:pPr>
              <w:jc w:val="center"/>
              <w:rPr>
                <w:color w:val="000000"/>
              </w:rPr>
            </w:pPr>
            <w:r>
              <w:rPr>
                <w:rFonts w:ascii="Calibri" w:hAnsi="Calibri" w:cs="Calibri"/>
                <w:color w:val="000000"/>
              </w:rPr>
              <w:t>-1.4385</w:t>
            </w:r>
          </w:p>
        </w:tc>
        <w:tc>
          <w:tcPr>
            <w:tcW w:w="1524" w:type="dxa"/>
            <w:vAlign w:val="center"/>
          </w:tcPr>
          <w:p w14:paraId="2EBDE95B" w14:textId="77777777" w:rsidR="00871E1B" w:rsidRDefault="00871E1B" w:rsidP="00A26A46">
            <w:pPr>
              <w:jc w:val="both"/>
              <w:rPr>
                <w:color w:val="000000"/>
              </w:rPr>
            </w:pPr>
            <w:r>
              <w:rPr>
                <w:rFonts w:ascii="Calibri" w:hAnsi="Calibri" w:cs="Calibri"/>
                <w:color w:val="000000"/>
              </w:rPr>
              <w:t>-2.2129</w:t>
            </w:r>
          </w:p>
        </w:tc>
        <w:tc>
          <w:tcPr>
            <w:tcW w:w="1172" w:type="dxa"/>
            <w:vAlign w:val="center"/>
          </w:tcPr>
          <w:p w14:paraId="46AE1BFA" w14:textId="77777777" w:rsidR="00871E1B" w:rsidRDefault="00871E1B" w:rsidP="00A26A46">
            <w:pPr>
              <w:jc w:val="both"/>
              <w:rPr>
                <w:color w:val="000000"/>
              </w:rPr>
            </w:pPr>
            <w:r>
              <w:rPr>
                <w:rFonts w:ascii="Calibri" w:hAnsi="Calibri" w:cs="Calibri"/>
                <w:color w:val="000000"/>
              </w:rPr>
              <w:t>17.5113</w:t>
            </w:r>
          </w:p>
        </w:tc>
        <w:tc>
          <w:tcPr>
            <w:tcW w:w="1155" w:type="dxa"/>
            <w:vAlign w:val="center"/>
          </w:tcPr>
          <w:p w14:paraId="20743072" w14:textId="77777777" w:rsidR="00871E1B" w:rsidRDefault="00871E1B" w:rsidP="00A26A46">
            <w:pPr>
              <w:jc w:val="both"/>
              <w:rPr>
                <w:color w:val="000000"/>
              </w:rPr>
            </w:pPr>
            <w:r>
              <w:rPr>
                <w:rFonts w:ascii="Calibri" w:hAnsi="Calibri" w:cs="Calibri"/>
                <w:color w:val="000000"/>
              </w:rPr>
              <w:t>-4.2819</w:t>
            </w:r>
          </w:p>
        </w:tc>
        <w:tc>
          <w:tcPr>
            <w:tcW w:w="1462" w:type="dxa"/>
            <w:vAlign w:val="center"/>
          </w:tcPr>
          <w:p w14:paraId="24734B19" w14:textId="77777777" w:rsidR="00871E1B" w:rsidRDefault="00871E1B" w:rsidP="00A26A46">
            <w:pPr>
              <w:jc w:val="both"/>
              <w:rPr>
                <w:color w:val="000000"/>
              </w:rPr>
            </w:pPr>
            <w:r>
              <w:rPr>
                <w:rFonts w:ascii="Calibri" w:hAnsi="Calibri" w:cs="Calibri"/>
                <w:color w:val="000000"/>
              </w:rPr>
              <w:t>18.1300</w:t>
            </w:r>
          </w:p>
        </w:tc>
      </w:tr>
      <w:tr w:rsidR="00871E1B" w14:paraId="55593BE6" w14:textId="77777777" w:rsidTr="00A26A46">
        <w:trPr>
          <w:trHeight w:val="260"/>
        </w:trPr>
        <w:tc>
          <w:tcPr>
            <w:tcW w:w="1519" w:type="dxa"/>
            <w:vAlign w:val="center"/>
          </w:tcPr>
          <w:p w14:paraId="183F0F53" w14:textId="77777777" w:rsidR="00871E1B" w:rsidRDefault="00871E1B" w:rsidP="00A26A46">
            <w:pPr>
              <w:jc w:val="center"/>
              <w:rPr>
                <w:b/>
                <w:bCs/>
                <w:color w:val="000000"/>
              </w:rPr>
            </w:pPr>
            <w:r>
              <w:rPr>
                <w:b/>
                <w:bCs/>
                <w:color w:val="000000"/>
              </w:rPr>
              <w:t>Minimum</w:t>
            </w:r>
          </w:p>
        </w:tc>
        <w:tc>
          <w:tcPr>
            <w:tcW w:w="855" w:type="dxa"/>
            <w:vAlign w:val="center"/>
          </w:tcPr>
          <w:p w14:paraId="463B9953" w14:textId="77777777" w:rsidR="00871E1B" w:rsidRDefault="00871E1B" w:rsidP="00A26A46">
            <w:pPr>
              <w:jc w:val="center"/>
              <w:rPr>
                <w:color w:val="000000"/>
              </w:rPr>
            </w:pPr>
            <w:r>
              <w:rPr>
                <w:rFonts w:ascii="Calibri" w:hAnsi="Calibri" w:cs="Calibri"/>
                <w:color w:val="000000"/>
              </w:rPr>
              <w:t>7.52</w:t>
            </w:r>
          </w:p>
        </w:tc>
        <w:tc>
          <w:tcPr>
            <w:tcW w:w="1207" w:type="dxa"/>
            <w:vAlign w:val="center"/>
          </w:tcPr>
          <w:p w14:paraId="7775EB80" w14:textId="77777777" w:rsidR="00871E1B" w:rsidRDefault="00871E1B" w:rsidP="00A26A46">
            <w:pPr>
              <w:jc w:val="center"/>
              <w:rPr>
                <w:color w:val="000000"/>
              </w:rPr>
            </w:pPr>
            <w:r>
              <w:rPr>
                <w:rFonts w:ascii="Calibri" w:hAnsi="Calibri" w:cs="Calibri"/>
                <w:color w:val="000000"/>
              </w:rPr>
              <w:t>-4.6909</w:t>
            </w:r>
          </w:p>
        </w:tc>
        <w:tc>
          <w:tcPr>
            <w:tcW w:w="1524" w:type="dxa"/>
            <w:vAlign w:val="center"/>
          </w:tcPr>
          <w:p w14:paraId="01D8925A" w14:textId="77777777" w:rsidR="00871E1B" w:rsidRDefault="00871E1B" w:rsidP="00A26A46">
            <w:pPr>
              <w:jc w:val="both"/>
              <w:rPr>
                <w:color w:val="000000"/>
              </w:rPr>
            </w:pPr>
            <w:r>
              <w:rPr>
                <w:rFonts w:ascii="Calibri" w:hAnsi="Calibri" w:cs="Calibri"/>
                <w:color w:val="000000"/>
              </w:rPr>
              <w:t>-4.0517</w:t>
            </w:r>
          </w:p>
        </w:tc>
        <w:tc>
          <w:tcPr>
            <w:tcW w:w="1172" w:type="dxa"/>
            <w:vAlign w:val="center"/>
          </w:tcPr>
          <w:p w14:paraId="6C733C1E" w14:textId="77777777" w:rsidR="00871E1B" w:rsidRDefault="00871E1B" w:rsidP="00A26A46">
            <w:pPr>
              <w:jc w:val="both"/>
              <w:rPr>
                <w:color w:val="000000"/>
              </w:rPr>
            </w:pPr>
            <w:r>
              <w:rPr>
                <w:rFonts w:ascii="Calibri" w:hAnsi="Calibri" w:cs="Calibri"/>
                <w:color w:val="000000"/>
              </w:rPr>
              <w:t>-4.1677</w:t>
            </w:r>
          </w:p>
        </w:tc>
        <w:tc>
          <w:tcPr>
            <w:tcW w:w="1155" w:type="dxa"/>
            <w:vAlign w:val="center"/>
          </w:tcPr>
          <w:p w14:paraId="1BD6384C" w14:textId="77777777" w:rsidR="00871E1B" w:rsidRDefault="00871E1B" w:rsidP="00A26A46">
            <w:pPr>
              <w:jc w:val="both"/>
              <w:rPr>
                <w:color w:val="000000"/>
              </w:rPr>
            </w:pPr>
            <w:r>
              <w:rPr>
                <w:rFonts w:ascii="Calibri" w:hAnsi="Calibri" w:cs="Calibri"/>
                <w:color w:val="000000"/>
              </w:rPr>
              <w:t>-19.4948</w:t>
            </w:r>
          </w:p>
        </w:tc>
        <w:tc>
          <w:tcPr>
            <w:tcW w:w="1462" w:type="dxa"/>
            <w:vAlign w:val="center"/>
          </w:tcPr>
          <w:p w14:paraId="043A8DA9" w14:textId="77777777" w:rsidR="00871E1B" w:rsidRDefault="00871E1B" w:rsidP="00A26A46">
            <w:pPr>
              <w:jc w:val="both"/>
              <w:rPr>
                <w:color w:val="000000"/>
              </w:rPr>
            </w:pPr>
            <w:r>
              <w:rPr>
                <w:rFonts w:ascii="Calibri" w:hAnsi="Calibri" w:cs="Calibri"/>
                <w:color w:val="000000"/>
              </w:rPr>
              <w:t>-4.2500</w:t>
            </w:r>
          </w:p>
        </w:tc>
      </w:tr>
    </w:tbl>
    <w:p w14:paraId="5B5BC689" w14:textId="77777777" w:rsidR="00871E1B" w:rsidRPr="00325F90" w:rsidRDefault="00871E1B" w:rsidP="00871E1B">
      <w:pPr>
        <w:ind w:left="5760" w:firstLine="720"/>
        <w:jc w:val="both"/>
        <w:rPr>
          <w:rFonts w:ascii="Times New Roman" w:hAnsi="Times New Roman" w:cs="Times New Roman"/>
          <w:i/>
          <w:iCs/>
        </w:rPr>
      </w:pPr>
      <w:r w:rsidRPr="00325F90">
        <w:rPr>
          <w:rFonts w:ascii="Times New Roman" w:hAnsi="Times New Roman" w:cs="Times New Roman"/>
          <w:i/>
          <w:iCs/>
          <w:color w:val="000000"/>
          <w:kern w:val="0"/>
          <w:sz w:val="23"/>
          <w:szCs w:val="23"/>
        </w:rPr>
        <w:t xml:space="preserve">    </w:t>
      </w:r>
      <w:r w:rsidRPr="00325F90">
        <w:rPr>
          <w:rFonts w:ascii="Times New Roman" w:hAnsi="Times New Roman" w:cs="Times New Roman"/>
          <w:i/>
          <w:iCs/>
        </w:rPr>
        <w:t>Source: Authors calculation</w:t>
      </w:r>
    </w:p>
    <w:p w14:paraId="56BC3FF0" w14:textId="77777777" w:rsidR="00A15E61" w:rsidRDefault="00A15E61" w:rsidP="00A54CC1">
      <w:pPr>
        <w:spacing w:line="360" w:lineRule="auto"/>
        <w:jc w:val="both"/>
        <w:rPr>
          <w:rFonts w:ascii="Times New Roman" w:hAnsi="Times New Roman" w:cs="Times New Roman"/>
          <w:sz w:val="24"/>
          <w:szCs w:val="24"/>
        </w:rPr>
      </w:pPr>
      <w:r w:rsidRPr="00A15E61">
        <w:rPr>
          <w:rFonts w:ascii="Times New Roman" w:hAnsi="Times New Roman" w:cs="Times New Roman"/>
          <w:sz w:val="24"/>
          <w:szCs w:val="24"/>
        </w:rPr>
        <w:t>With the use of Fama's decomposition measure, Table 3 displays the breakdown of portfolio returns. The result indicates that all of the funds have negative values due to the fund manager's lack of selection. It therefore shows that the monies have not provided the benefits of professionalism. It indicates that fund managers have assumed risk that can be diversified and that the additional returns have not offset. Below is a discussion of the elements that make up the Fama decomposition model:</w:t>
      </w:r>
    </w:p>
    <w:p w14:paraId="2AF79647" w14:textId="5579708A" w:rsidR="00871E1B" w:rsidRPr="00A15E61" w:rsidRDefault="00871E1B" w:rsidP="00A54CC1">
      <w:pPr>
        <w:spacing w:line="360" w:lineRule="auto"/>
        <w:jc w:val="both"/>
        <w:rPr>
          <w:rFonts w:ascii="Times New Roman" w:hAnsi="Times New Roman" w:cs="Times New Roman"/>
          <w:sz w:val="24"/>
          <w:szCs w:val="24"/>
        </w:rPr>
      </w:pPr>
      <w:r w:rsidRPr="00325F90">
        <w:rPr>
          <w:rFonts w:ascii="Times New Roman" w:hAnsi="Times New Roman" w:cs="Times New Roman"/>
          <w:b/>
          <w:bCs/>
          <w:sz w:val="24"/>
          <w:szCs w:val="24"/>
        </w:rPr>
        <w:t xml:space="preserve">Performance of Risk: </w:t>
      </w:r>
      <w:r w:rsidR="00A15E61" w:rsidRPr="00A15E61">
        <w:rPr>
          <w:rFonts w:ascii="Times New Roman" w:hAnsi="Times New Roman" w:cs="Times New Roman"/>
          <w:sz w:val="24"/>
          <w:szCs w:val="24"/>
        </w:rPr>
        <w:t>As you can see, all mutual funds have negative risk performance information; none have reported good risk performance. In contrast, the 1STPRIMFMF Fund, with a value of -4.6909, exhibits the lowest degree of risk performance, while the AIBL1STIMF mutual fund, with the highest value of -1.4385, demonstrates the most positive performance risk.</w:t>
      </w:r>
    </w:p>
    <w:p w14:paraId="774CE048" w14:textId="07CAB56E" w:rsidR="00871E1B" w:rsidRPr="00325F90" w:rsidRDefault="00871E1B" w:rsidP="00A54CC1">
      <w:pPr>
        <w:spacing w:line="360" w:lineRule="auto"/>
        <w:jc w:val="both"/>
        <w:rPr>
          <w:rFonts w:ascii="Times New Roman" w:hAnsi="Times New Roman" w:cs="Times New Roman"/>
          <w:sz w:val="24"/>
          <w:szCs w:val="24"/>
        </w:rPr>
      </w:pPr>
      <w:r w:rsidRPr="00325F90">
        <w:rPr>
          <w:rFonts w:ascii="Times New Roman" w:hAnsi="Times New Roman" w:cs="Times New Roman"/>
          <w:b/>
          <w:bCs/>
          <w:sz w:val="24"/>
          <w:szCs w:val="24"/>
        </w:rPr>
        <w:t>Performance of Diversification:</w:t>
      </w:r>
      <w:r w:rsidRPr="00325F90">
        <w:rPr>
          <w:rFonts w:ascii="Times New Roman" w:hAnsi="Times New Roman" w:cs="Times New Roman"/>
          <w:sz w:val="24"/>
          <w:szCs w:val="24"/>
        </w:rPr>
        <w:t xml:space="preserve"> </w:t>
      </w:r>
      <w:r w:rsidR="00A15E61" w:rsidRPr="00A15E61">
        <w:rPr>
          <w:rFonts w:ascii="Times New Roman" w:hAnsi="Times New Roman" w:cs="Times New Roman"/>
          <w:sz w:val="24"/>
          <w:szCs w:val="24"/>
        </w:rPr>
        <w:t>Diversification and net selectivity are responsible for performance. The increased profits that investors receive in exchange for taking on diversified risk are measured by diversification. Thus, an effort has been made to investigate the impact of diversity on investment performance. According to Table 3, there is no positive diversification performance. The GRAMEENS2 has the lowest diversification performance, with a value of -4.0517, while the 1STPRIMFMF has the greatest, at -2.2129.</w:t>
      </w:r>
    </w:p>
    <w:p w14:paraId="5B4516BA" w14:textId="65A2B175" w:rsidR="00871E1B" w:rsidRPr="00A15E61" w:rsidRDefault="00871E1B" w:rsidP="00A54CC1">
      <w:pPr>
        <w:spacing w:line="360" w:lineRule="auto"/>
        <w:jc w:val="both"/>
        <w:rPr>
          <w:rFonts w:ascii="Times New Roman" w:hAnsi="Times New Roman" w:cs="Times New Roman"/>
          <w:color w:val="000000"/>
          <w:sz w:val="24"/>
          <w:szCs w:val="24"/>
        </w:rPr>
      </w:pPr>
      <w:r w:rsidRPr="00325F90">
        <w:rPr>
          <w:rFonts w:ascii="Times New Roman" w:hAnsi="Times New Roman" w:cs="Times New Roman"/>
          <w:b/>
          <w:bCs/>
          <w:color w:val="000000"/>
          <w:sz w:val="24"/>
          <w:szCs w:val="24"/>
        </w:rPr>
        <w:t xml:space="preserve">Return of selectivity: </w:t>
      </w:r>
      <w:r w:rsidR="00A15E61" w:rsidRPr="00A15E61">
        <w:rPr>
          <w:rFonts w:ascii="Times New Roman" w:hAnsi="Times New Roman" w:cs="Times New Roman"/>
          <w:color w:val="000000"/>
          <w:sz w:val="24"/>
          <w:szCs w:val="24"/>
        </w:rPr>
        <w:t xml:space="preserve">A portfolio manager's stronger stock selection skills result in an extra return, which is known as the return from pure selectivity. 10 funds have a negative selectivity </w:t>
      </w:r>
      <w:r w:rsidR="00A15E61" w:rsidRPr="00A15E61">
        <w:rPr>
          <w:rFonts w:ascii="Times New Roman" w:hAnsi="Times New Roman" w:cs="Times New Roman"/>
          <w:color w:val="000000"/>
          <w:sz w:val="24"/>
          <w:szCs w:val="24"/>
        </w:rPr>
        <w:lastRenderedPageBreak/>
        <w:t>performance, whereas 11 funds out of 21 funds have a positive pure selectivity performance, as shown in table 3. With a pure selectivity of 17.51, the 1STPRIMFMF fund has the best performance, while the ABB1STMF Fund has the lowest diversification performance, with a value of -4.1677.</w:t>
      </w:r>
    </w:p>
    <w:p w14:paraId="346F1E46" w14:textId="77777777" w:rsidR="00A15E61" w:rsidRPr="00A15E61" w:rsidRDefault="00871E1B" w:rsidP="00A54CC1">
      <w:pPr>
        <w:spacing w:line="360" w:lineRule="auto"/>
        <w:jc w:val="both"/>
        <w:rPr>
          <w:rFonts w:ascii="Times New Roman" w:hAnsi="Times New Roman" w:cs="Times New Roman"/>
          <w:sz w:val="24"/>
          <w:szCs w:val="24"/>
        </w:rPr>
      </w:pPr>
      <w:r w:rsidRPr="00325F90">
        <w:rPr>
          <w:rFonts w:ascii="Times New Roman" w:hAnsi="Times New Roman" w:cs="Times New Roman"/>
          <w:b/>
          <w:bCs/>
          <w:sz w:val="24"/>
          <w:szCs w:val="24"/>
        </w:rPr>
        <w:t xml:space="preserve">Performance of Net Selectivity: </w:t>
      </w:r>
      <w:r w:rsidRPr="00325F90">
        <w:rPr>
          <w:rFonts w:ascii="Times New Roman" w:hAnsi="Times New Roman" w:cs="Times New Roman"/>
          <w:sz w:val="24"/>
          <w:szCs w:val="24"/>
        </w:rPr>
        <w:t xml:space="preserve"> </w:t>
      </w:r>
      <w:r w:rsidR="00A15E61" w:rsidRPr="00A15E61">
        <w:rPr>
          <w:rFonts w:ascii="Times New Roman" w:hAnsi="Times New Roman" w:cs="Times New Roman"/>
          <w:sz w:val="24"/>
          <w:szCs w:val="24"/>
        </w:rPr>
        <w:t>Net selectivity calculates the percentage of return that comes from choosing securities that is higher than the returns that the diversification component contributes. A net selectivity number that is positive signifies better performance. None of the mutual funds in Table 3 have positive net selectivity; instead, they all perform negatively. The ABB1STMF fund has the lowest net selectivity performance value, -19.4948, while the RELIANCE1 mutual fund has the greatest, -4.2819.</w:t>
      </w:r>
    </w:p>
    <w:p w14:paraId="04451D19" w14:textId="25E945F6" w:rsidR="00871E1B" w:rsidRPr="00773ED1" w:rsidRDefault="00871E1B" w:rsidP="00A15E61">
      <w:pPr>
        <w:ind w:left="1440" w:firstLine="720"/>
        <w:jc w:val="both"/>
        <w:rPr>
          <w:rFonts w:ascii="Times New Roman" w:hAnsi="Times New Roman" w:cs="Times New Roman"/>
          <w:b/>
          <w:bCs/>
        </w:rPr>
      </w:pPr>
      <w:r w:rsidRPr="00773ED1">
        <w:rPr>
          <w:rFonts w:ascii="Times New Roman" w:hAnsi="Times New Roman" w:cs="Times New Roman"/>
          <w:b/>
          <w:bCs/>
        </w:rPr>
        <w:t>Table-4 Performance Analysis of Mutual Funds</w:t>
      </w:r>
    </w:p>
    <w:tbl>
      <w:tblPr>
        <w:tblStyle w:val="TableGrid"/>
        <w:tblW w:w="0" w:type="auto"/>
        <w:tblLook w:val="04A0" w:firstRow="1" w:lastRow="0" w:firstColumn="1" w:lastColumn="0" w:noHBand="0" w:noVBand="1"/>
      </w:tblPr>
      <w:tblGrid>
        <w:gridCol w:w="1801"/>
        <w:gridCol w:w="1387"/>
        <w:gridCol w:w="983"/>
        <w:gridCol w:w="1428"/>
        <w:gridCol w:w="1097"/>
        <w:gridCol w:w="1415"/>
        <w:gridCol w:w="1239"/>
      </w:tblGrid>
      <w:tr w:rsidR="00871E1B" w14:paraId="38DEB94A" w14:textId="77777777" w:rsidTr="00A26A46">
        <w:tc>
          <w:tcPr>
            <w:tcW w:w="1801" w:type="dxa"/>
            <w:vAlign w:val="center"/>
          </w:tcPr>
          <w:p w14:paraId="6A79FC88" w14:textId="77777777" w:rsidR="00871E1B" w:rsidRPr="00325F90" w:rsidRDefault="00871E1B" w:rsidP="00A26A46">
            <w:pPr>
              <w:jc w:val="center"/>
              <w:rPr>
                <w:rFonts w:ascii="Times New Roman" w:hAnsi="Times New Roman" w:cs="Times New Roman"/>
                <w:b/>
                <w:bCs/>
              </w:rPr>
            </w:pPr>
            <w:r w:rsidRPr="00325F90">
              <w:rPr>
                <w:rFonts w:ascii="Times New Roman" w:hAnsi="Times New Roman" w:cs="Times New Roman"/>
                <w:b/>
                <w:bCs/>
                <w:color w:val="000000"/>
                <w:sz w:val="28"/>
                <w:szCs w:val="28"/>
              </w:rPr>
              <w:t>Name</w:t>
            </w:r>
          </w:p>
        </w:tc>
        <w:tc>
          <w:tcPr>
            <w:tcW w:w="1387" w:type="dxa"/>
            <w:vAlign w:val="center"/>
          </w:tcPr>
          <w:p w14:paraId="64D9CCF0" w14:textId="77777777" w:rsidR="00871E1B" w:rsidRPr="00325F90" w:rsidRDefault="00871E1B" w:rsidP="00A26A46">
            <w:pPr>
              <w:jc w:val="center"/>
              <w:rPr>
                <w:rFonts w:ascii="Times New Roman" w:hAnsi="Times New Roman" w:cs="Times New Roman"/>
                <w:b/>
                <w:bCs/>
              </w:rPr>
            </w:pPr>
            <w:r w:rsidRPr="00325F90">
              <w:rPr>
                <w:rFonts w:ascii="Times New Roman" w:hAnsi="Times New Roman" w:cs="Times New Roman"/>
                <w:b/>
                <w:bCs/>
                <w:color w:val="000000"/>
              </w:rPr>
              <w:t>Sharpe Ratio</w:t>
            </w:r>
          </w:p>
        </w:tc>
        <w:tc>
          <w:tcPr>
            <w:tcW w:w="983" w:type="dxa"/>
          </w:tcPr>
          <w:p w14:paraId="129803BC" w14:textId="77777777" w:rsidR="00871E1B" w:rsidRPr="00325F90" w:rsidRDefault="00871E1B" w:rsidP="00A26A46">
            <w:pPr>
              <w:jc w:val="center"/>
              <w:rPr>
                <w:rFonts w:ascii="Times New Roman" w:hAnsi="Times New Roman" w:cs="Times New Roman"/>
                <w:b/>
                <w:bCs/>
                <w:color w:val="000000"/>
              </w:rPr>
            </w:pPr>
            <w:r w:rsidRPr="00325F90">
              <w:rPr>
                <w:rFonts w:ascii="Times New Roman" w:hAnsi="Times New Roman" w:cs="Times New Roman"/>
                <w:b/>
                <w:bCs/>
                <w:color w:val="000000"/>
              </w:rPr>
              <w:t>Rank</w:t>
            </w:r>
          </w:p>
        </w:tc>
        <w:tc>
          <w:tcPr>
            <w:tcW w:w="1428" w:type="dxa"/>
            <w:vAlign w:val="center"/>
          </w:tcPr>
          <w:p w14:paraId="6CD3F007" w14:textId="77777777" w:rsidR="00871E1B" w:rsidRPr="00325F90" w:rsidRDefault="00871E1B" w:rsidP="00A26A46">
            <w:pPr>
              <w:jc w:val="center"/>
              <w:rPr>
                <w:rFonts w:ascii="Times New Roman" w:hAnsi="Times New Roman" w:cs="Times New Roman"/>
                <w:b/>
                <w:bCs/>
              </w:rPr>
            </w:pPr>
            <w:r w:rsidRPr="00325F90">
              <w:rPr>
                <w:rFonts w:ascii="Times New Roman" w:hAnsi="Times New Roman" w:cs="Times New Roman"/>
                <w:b/>
                <w:bCs/>
                <w:color w:val="000000"/>
              </w:rPr>
              <w:t>Treynor Ratio</w:t>
            </w:r>
          </w:p>
        </w:tc>
        <w:tc>
          <w:tcPr>
            <w:tcW w:w="1097" w:type="dxa"/>
          </w:tcPr>
          <w:p w14:paraId="19AC273E" w14:textId="77777777" w:rsidR="00871E1B" w:rsidRPr="00325F90" w:rsidRDefault="00871E1B" w:rsidP="00A26A46">
            <w:pPr>
              <w:jc w:val="center"/>
              <w:rPr>
                <w:rFonts w:ascii="Times New Roman" w:hAnsi="Times New Roman" w:cs="Times New Roman"/>
                <w:b/>
                <w:bCs/>
                <w:color w:val="000000"/>
              </w:rPr>
            </w:pPr>
            <w:r w:rsidRPr="00325F90">
              <w:rPr>
                <w:rFonts w:ascii="Times New Roman" w:hAnsi="Times New Roman" w:cs="Times New Roman"/>
                <w:b/>
                <w:bCs/>
                <w:color w:val="000000"/>
              </w:rPr>
              <w:t>Rank</w:t>
            </w:r>
          </w:p>
        </w:tc>
        <w:tc>
          <w:tcPr>
            <w:tcW w:w="1415" w:type="dxa"/>
            <w:vAlign w:val="center"/>
          </w:tcPr>
          <w:p w14:paraId="7C6A422C" w14:textId="77777777" w:rsidR="00871E1B" w:rsidRPr="00325F90" w:rsidRDefault="00871E1B" w:rsidP="00A26A46">
            <w:pPr>
              <w:jc w:val="center"/>
              <w:rPr>
                <w:rFonts w:ascii="Times New Roman" w:hAnsi="Times New Roman" w:cs="Times New Roman"/>
                <w:b/>
                <w:bCs/>
              </w:rPr>
            </w:pPr>
            <w:r w:rsidRPr="00325F90">
              <w:rPr>
                <w:rFonts w:ascii="Times New Roman" w:hAnsi="Times New Roman" w:cs="Times New Roman"/>
                <w:b/>
                <w:bCs/>
                <w:color w:val="000000"/>
              </w:rPr>
              <w:t>Jensen Ratio</w:t>
            </w:r>
          </w:p>
        </w:tc>
        <w:tc>
          <w:tcPr>
            <w:tcW w:w="1239" w:type="dxa"/>
          </w:tcPr>
          <w:p w14:paraId="13798B39" w14:textId="77777777" w:rsidR="00871E1B" w:rsidRPr="00325F90" w:rsidRDefault="00871E1B" w:rsidP="00A26A46">
            <w:pPr>
              <w:jc w:val="center"/>
              <w:rPr>
                <w:rFonts w:ascii="Times New Roman" w:hAnsi="Times New Roman" w:cs="Times New Roman"/>
                <w:b/>
                <w:bCs/>
                <w:color w:val="000000"/>
              </w:rPr>
            </w:pPr>
            <w:r w:rsidRPr="00325F90">
              <w:rPr>
                <w:rFonts w:ascii="Times New Roman" w:hAnsi="Times New Roman" w:cs="Times New Roman"/>
                <w:b/>
                <w:bCs/>
                <w:color w:val="000000"/>
              </w:rPr>
              <w:t>Rank</w:t>
            </w:r>
          </w:p>
        </w:tc>
      </w:tr>
      <w:tr w:rsidR="00871E1B" w14:paraId="16CA73BE" w14:textId="77777777" w:rsidTr="00A26A46">
        <w:tc>
          <w:tcPr>
            <w:tcW w:w="1801" w:type="dxa"/>
            <w:vAlign w:val="center"/>
          </w:tcPr>
          <w:p w14:paraId="53770C78" w14:textId="77777777" w:rsidR="00871E1B" w:rsidRDefault="00871E1B" w:rsidP="00A26A46">
            <w:pPr>
              <w:jc w:val="center"/>
              <w:rPr>
                <w:b/>
                <w:bCs/>
              </w:rPr>
            </w:pPr>
            <w:r>
              <w:rPr>
                <w:rFonts w:ascii="Calibri" w:hAnsi="Calibri" w:cs="Calibri"/>
                <w:b/>
                <w:bCs/>
                <w:color w:val="000000"/>
              </w:rPr>
              <w:t>1JANATAMF</w:t>
            </w:r>
          </w:p>
        </w:tc>
        <w:tc>
          <w:tcPr>
            <w:tcW w:w="1387" w:type="dxa"/>
            <w:vAlign w:val="center"/>
          </w:tcPr>
          <w:p w14:paraId="19264777" w14:textId="77777777" w:rsidR="00871E1B" w:rsidRDefault="00871E1B" w:rsidP="00A26A46">
            <w:pPr>
              <w:jc w:val="center"/>
              <w:rPr>
                <w:b/>
                <w:bCs/>
              </w:rPr>
            </w:pPr>
            <w:r>
              <w:rPr>
                <w:color w:val="000000"/>
              </w:rPr>
              <w:t>-0.35</w:t>
            </w:r>
          </w:p>
        </w:tc>
        <w:tc>
          <w:tcPr>
            <w:tcW w:w="983" w:type="dxa"/>
            <w:vAlign w:val="bottom"/>
          </w:tcPr>
          <w:p w14:paraId="6C905AF9" w14:textId="77777777" w:rsidR="00871E1B" w:rsidRDefault="00871E1B" w:rsidP="00A26A46">
            <w:pPr>
              <w:jc w:val="center"/>
              <w:rPr>
                <w:color w:val="000000"/>
              </w:rPr>
            </w:pPr>
            <w:r>
              <w:rPr>
                <w:rFonts w:ascii="Calibri" w:hAnsi="Calibri" w:cs="Calibri"/>
                <w:color w:val="000000"/>
              </w:rPr>
              <w:t>16</w:t>
            </w:r>
          </w:p>
        </w:tc>
        <w:tc>
          <w:tcPr>
            <w:tcW w:w="1428" w:type="dxa"/>
            <w:vAlign w:val="center"/>
          </w:tcPr>
          <w:p w14:paraId="78FEEBE1" w14:textId="77777777" w:rsidR="00871E1B" w:rsidRDefault="00871E1B" w:rsidP="00A26A46">
            <w:pPr>
              <w:jc w:val="center"/>
              <w:rPr>
                <w:b/>
                <w:bCs/>
              </w:rPr>
            </w:pPr>
            <w:r>
              <w:rPr>
                <w:color w:val="000000"/>
              </w:rPr>
              <w:t>-0.12</w:t>
            </w:r>
          </w:p>
        </w:tc>
        <w:tc>
          <w:tcPr>
            <w:tcW w:w="1097" w:type="dxa"/>
            <w:vAlign w:val="bottom"/>
          </w:tcPr>
          <w:p w14:paraId="66AC0674" w14:textId="77777777" w:rsidR="00871E1B" w:rsidRDefault="00871E1B" w:rsidP="00A26A46">
            <w:pPr>
              <w:jc w:val="center"/>
              <w:rPr>
                <w:color w:val="000000"/>
              </w:rPr>
            </w:pPr>
            <w:r>
              <w:rPr>
                <w:rFonts w:ascii="Calibri" w:hAnsi="Calibri" w:cs="Calibri"/>
                <w:color w:val="000000"/>
              </w:rPr>
              <w:t>14</w:t>
            </w:r>
          </w:p>
        </w:tc>
        <w:tc>
          <w:tcPr>
            <w:tcW w:w="1415" w:type="dxa"/>
            <w:vAlign w:val="center"/>
          </w:tcPr>
          <w:p w14:paraId="708089BF" w14:textId="77777777" w:rsidR="00871E1B" w:rsidRDefault="00871E1B" w:rsidP="00A26A46">
            <w:pPr>
              <w:jc w:val="center"/>
              <w:rPr>
                <w:b/>
                <w:bCs/>
              </w:rPr>
            </w:pPr>
            <w:r>
              <w:rPr>
                <w:color w:val="000000"/>
              </w:rPr>
              <w:t>-0.06</w:t>
            </w:r>
          </w:p>
        </w:tc>
        <w:tc>
          <w:tcPr>
            <w:tcW w:w="1239" w:type="dxa"/>
            <w:vAlign w:val="bottom"/>
          </w:tcPr>
          <w:p w14:paraId="0E315D06" w14:textId="77777777" w:rsidR="00871E1B" w:rsidRDefault="00871E1B" w:rsidP="00A26A46">
            <w:pPr>
              <w:jc w:val="center"/>
              <w:rPr>
                <w:color w:val="000000"/>
              </w:rPr>
            </w:pPr>
            <w:r>
              <w:rPr>
                <w:rFonts w:ascii="Calibri" w:hAnsi="Calibri" w:cs="Calibri"/>
                <w:color w:val="000000"/>
              </w:rPr>
              <w:t>17</w:t>
            </w:r>
          </w:p>
        </w:tc>
      </w:tr>
      <w:tr w:rsidR="00871E1B" w14:paraId="1461E6C9" w14:textId="77777777" w:rsidTr="00A26A46">
        <w:tc>
          <w:tcPr>
            <w:tcW w:w="1801" w:type="dxa"/>
            <w:vAlign w:val="center"/>
          </w:tcPr>
          <w:p w14:paraId="6FC6FB37" w14:textId="77777777" w:rsidR="00871E1B" w:rsidRDefault="00871E1B" w:rsidP="00A26A46">
            <w:pPr>
              <w:jc w:val="center"/>
              <w:rPr>
                <w:b/>
                <w:bCs/>
              </w:rPr>
            </w:pPr>
            <w:r>
              <w:rPr>
                <w:b/>
                <w:bCs/>
                <w:color w:val="000000"/>
              </w:rPr>
              <w:t>1STPRIMFMF</w:t>
            </w:r>
          </w:p>
        </w:tc>
        <w:tc>
          <w:tcPr>
            <w:tcW w:w="1387" w:type="dxa"/>
            <w:vAlign w:val="center"/>
          </w:tcPr>
          <w:p w14:paraId="3FA059DA" w14:textId="77777777" w:rsidR="00871E1B" w:rsidRDefault="00871E1B" w:rsidP="00A26A46">
            <w:pPr>
              <w:jc w:val="center"/>
              <w:rPr>
                <w:b/>
                <w:bCs/>
              </w:rPr>
            </w:pPr>
            <w:r>
              <w:rPr>
                <w:color w:val="000000"/>
              </w:rPr>
              <w:t>0.20</w:t>
            </w:r>
          </w:p>
        </w:tc>
        <w:tc>
          <w:tcPr>
            <w:tcW w:w="983" w:type="dxa"/>
            <w:vAlign w:val="bottom"/>
          </w:tcPr>
          <w:p w14:paraId="05A3D731" w14:textId="77777777" w:rsidR="00871E1B" w:rsidRDefault="00871E1B" w:rsidP="00A26A46">
            <w:pPr>
              <w:jc w:val="center"/>
              <w:rPr>
                <w:color w:val="000000"/>
              </w:rPr>
            </w:pPr>
            <w:r>
              <w:rPr>
                <w:rFonts w:ascii="Calibri" w:hAnsi="Calibri" w:cs="Calibri"/>
                <w:color w:val="000000"/>
              </w:rPr>
              <w:t>1</w:t>
            </w:r>
          </w:p>
        </w:tc>
        <w:tc>
          <w:tcPr>
            <w:tcW w:w="1428" w:type="dxa"/>
            <w:vAlign w:val="center"/>
          </w:tcPr>
          <w:p w14:paraId="798321DA" w14:textId="77777777" w:rsidR="00871E1B" w:rsidRDefault="00871E1B" w:rsidP="00A26A46">
            <w:pPr>
              <w:jc w:val="center"/>
              <w:rPr>
                <w:b/>
                <w:bCs/>
              </w:rPr>
            </w:pPr>
            <w:r>
              <w:rPr>
                <w:color w:val="000000"/>
              </w:rPr>
              <w:t>0.10</w:t>
            </w:r>
          </w:p>
        </w:tc>
        <w:tc>
          <w:tcPr>
            <w:tcW w:w="1097" w:type="dxa"/>
            <w:vAlign w:val="bottom"/>
          </w:tcPr>
          <w:p w14:paraId="36B6AB19" w14:textId="77777777" w:rsidR="00871E1B" w:rsidRDefault="00871E1B" w:rsidP="00A26A46">
            <w:pPr>
              <w:jc w:val="center"/>
              <w:rPr>
                <w:color w:val="000000"/>
              </w:rPr>
            </w:pPr>
            <w:r>
              <w:rPr>
                <w:rFonts w:ascii="Calibri" w:hAnsi="Calibri" w:cs="Calibri"/>
                <w:color w:val="000000"/>
              </w:rPr>
              <w:t>1</w:t>
            </w:r>
          </w:p>
        </w:tc>
        <w:tc>
          <w:tcPr>
            <w:tcW w:w="1415" w:type="dxa"/>
            <w:vAlign w:val="center"/>
          </w:tcPr>
          <w:p w14:paraId="18CE9E26" w14:textId="77777777" w:rsidR="00871E1B" w:rsidRDefault="00871E1B" w:rsidP="00A26A46">
            <w:pPr>
              <w:jc w:val="center"/>
              <w:rPr>
                <w:b/>
                <w:bCs/>
              </w:rPr>
            </w:pPr>
            <w:r>
              <w:rPr>
                <w:color w:val="000000"/>
              </w:rPr>
              <w:t>0.15</w:t>
            </w:r>
          </w:p>
        </w:tc>
        <w:tc>
          <w:tcPr>
            <w:tcW w:w="1239" w:type="dxa"/>
            <w:vAlign w:val="bottom"/>
          </w:tcPr>
          <w:p w14:paraId="4995D6E5" w14:textId="77777777" w:rsidR="00871E1B" w:rsidRDefault="00871E1B" w:rsidP="00A26A46">
            <w:pPr>
              <w:jc w:val="center"/>
              <w:rPr>
                <w:color w:val="000000"/>
              </w:rPr>
            </w:pPr>
            <w:r>
              <w:rPr>
                <w:rFonts w:ascii="Calibri" w:hAnsi="Calibri" w:cs="Calibri"/>
                <w:color w:val="000000"/>
              </w:rPr>
              <w:t>1</w:t>
            </w:r>
          </w:p>
        </w:tc>
      </w:tr>
      <w:tr w:rsidR="00871E1B" w14:paraId="7D222484" w14:textId="77777777" w:rsidTr="00A26A46">
        <w:tc>
          <w:tcPr>
            <w:tcW w:w="1801" w:type="dxa"/>
            <w:vAlign w:val="center"/>
          </w:tcPr>
          <w:p w14:paraId="0ADF6D76" w14:textId="77777777" w:rsidR="00871E1B" w:rsidRDefault="00871E1B" w:rsidP="00A26A46">
            <w:pPr>
              <w:jc w:val="center"/>
              <w:rPr>
                <w:b/>
                <w:bCs/>
              </w:rPr>
            </w:pPr>
            <w:r>
              <w:rPr>
                <w:rFonts w:ascii="Calibri" w:hAnsi="Calibri" w:cs="Calibri"/>
                <w:b/>
                <w:bCs/>
                <w:color w:val="000000"/>
              </w:rPr>
              <w:t>ABB1STMF</w:t>
            </w:r>
          </w:p>
        </w:tc>
        <w:tc>
          <w:tcPr>
            <w:tcW w:w="1387" w:type="dxa"/>
            <w:vAlign w:val="center"/>
          </w:tcPr>
          <w:p w14:paraId="38770370" w14:textId="77777777" w:rsidR="00871E1B" w:rsidRDefault="00871E1B" w:rsidP="00A26A46">
            <w:pPr>
              <w:jc w:val="center"/>
              <w:rPr>
                <w:b/>
                <w:bCs/>
              </w:rPr>
            </w:pPr>
            <w:r>
              <w:rPr>
                <w:color w:val="000000"/>
              </w:rPr>
              <w:t>-0.46</w:t>
            </w:r>
          </w:p>
        </w:tc>
        <w:tc>
          <w:tcPr>
            <w:tcW w:w="983" w:type="dxa"/>
            <w:vAlign w:val="bottom"/>
          </w:tcPr>
          <w:p w14:paraId="48CBA2AC" w14:textId="77777777" w:rsidR="00871E1B" w:rsidRDefault="00871E1B" w:rsidP="00A26A46">
            <w:pPr>
              <w:jc w:val="center"/>
              <w:rPr>
                <w:color w:val="000000"/>
              </w:rPr>
            </w:pPr>
            <w:r>
              <w:rPr>
                <w:rFonts w:ascii="Calibri" w:hAnsi="Calibri" w:cs="Calibri"/>
                <w:color w:val="000000"/>
              </w:rPr>
              <w:t>21</w:t>
            </w:r>
          </w:p>
        </w:tc>
        <w:tc>
          <w:tcPr>
            <w:tcW w:w="1428" w:type="dxa"/>
            <w:vAlign w:val="center"/>
          </w:tcPr>
          <w:p w14:paraId="472C8929" w14:textId="77777777" w:rsidR="00871E1B" w:rsidRDefault="00871E1B" w:rsidP="00A26A46">
            <w:pPr>
              <w:jc w:val="center"/>
              <w:rPr>
                <w:b/>
                <w:bCs/>
              </w:rPr>
            </w:pPr>
            <w:r>
              <w:rPr>
                <w:color w:val="000000"/>
              </w:rPr>
              <w:t>-0.14</w:t>
            </w:r>
          </w:p>
        </w:tc>
        <w:tc>
          <w:tcPr>
            <w:tcW w:w="1097" w:type="dxa"/>
            <w:vAlign w:val="bottom"/>
          </w:tcPr>
          <w:p w14:paraId="1296BA39" w14:textId="77777777" w:rsidR="00871E1B" w:rsidRDefault="00871E1B" w:rsidP="00A26A46">
            <w:pPr>
              <w:jc w:val="center"/>
              <w:rPr>
                <w:color w:val="000000"/>
              </w:rPr>
            </w:pPr>
            <w:r>
              <w:rPr>
                <w:rFonts w:ascii="Calibri" w:hAnsi="Calibri" w:cs="Calibri"/>
                <w:color w:val="000000"/>
              </w:rPr>
              <w:t>20</w:t>
            </w:r>
          </w:p>
        </w:tc>
        <w:tc>
          <w:tcPr>
            <w:tcW w:w="1415" w:type="dxa"/>
            <w:vAlign w:val="center"/>
          </w:tcPr>
          <w:p w14:paraId="3B72C565" w14:textId="77777777" w:rsidR="00871E1B" w:rsidRDefault="00871E1B" w:rsidP="00A26A46">
            <w:pPr>
              <w:jc w:val="center"/>
              <w:rPr>
                <w:b/>
                <w:bCs/>
              </w:rPr>
            </w:pPr>
            <w:r>
              <w:rPr>
                <w:color w:val="000000"/>
              </w:rPr>
              <w:t>-0.08</w:t>
            </w:r>
          </w:p>
        </w:tc>
        <w:tc>
          <w:tcPr>
            <w:tcW w:w="1239" w:type="dxa"/>
            <w:vAlign w:val="bottom"/>
          </w:tcPr>
          <w:p w14:paraId="3D0B7F5F" w14:textId="77777777" w:rsidR="00871E1B" w:rsidRDefault="00871E1B" w:rsidP="00A26A46">
            <w:pPr>
              <w:jc w:val="center"/>
              <w:rPr>
                <w:color w:val="000000"/>
              </w:rPr>
            </w:pPr>
            <w:r>
              <w:rPr>
                <w:rFonts w:ascii="Calibri" w:hAnsi="Calibri" w:cs="Calibri"/>
                <w:color w:val="000000"/>
              </w:rPr>
              <w:t>21</w:t>
            </w:r>
          </w:p>
        </w:tc>
      </w:tr>
      <w:tr w:rsidR="00871E1B" w14:paraId="65A98A6E" w14:textId="77777777" w:rsidTr="00A26A46">
        <w:tc>
          <w:tcPr>
            <w:tcW w:w="1801" w:type="dxa"/>
            <w:vAlign w:val="center"/>
          </w:tcPr>
          <w:p w14:paraId="21DFE752" w14:textId="77777777" w:rsidR="00871E1B" w:rsidRDefault="00871E1B" w:rsidP="00A26A46">
            <w:pPr>
              <w:jc w:val="center"/>
              <w:rPr>
                <w:b/>
                <w:bCs/>
              </w:rPr>
            </w:pPr>
            <w:r>
              <w:rPr>
                <w:rFonts w:ascii="Calibri" w:hAnsi="Calibri" w:cs="Calibri"/>
                <w:b/>
                <w:bCs/>
                <w:color w:val="000000"/>
              </w:rPr>
              <w:t>AIBL1STIMF</w:t>
            </w:r>
          </w:p>
        </w:tc>
        <w:tc>
          <w:tcPr>
            <w:tcW w:w="1387" w:type="dxa"/>
            <w:vAlign w:val="center"/>
          </w:tcPr>
          <w:p w14:paraId="25BA08EF" w14:textId="77777777" w:rsidR="00871E1B" w:rsidRDefault="00871E1B" w:rsidP="00A26A46">
            <w:pPr>
              <w:jc w:val="center"/>
              <w:rPr>
                <w:b/>
                <w:bCs/>
              </w:rPr>
            </w:pPr>
            <w:r>
              <w:rPr>
                <w:color w:val="000000"/>
              </w:rPr>
              <w:t>-0.08</w:t>
            </w:r>
          </w:p>
        </w:tc>
        <w:tc>
          <w:tcPr>
            <w:tcW w:w="983" w:type="dxa"/>
            <w:vAlign w:val="bottom"/>
          </w:tcPr>
          <w:p w14:paraId="6CF591FD" w14:textId="77777777" w:rsidR="00871E1B" w:rsidRDefault="00871E1B" w:rsidP="00A26A46">
            <w:pPr>
              <w:jc w:val="center"/>
              <w:rPr>
                <w:color w:val="000000"/>
              </w:rPr>
            </w:pPr>
            <w:r>
              <w:rPr>
                <w:rFonts w:ascii="Calibri" w:hAnsi="Calibri" w:cs="Calibri"/>
                <w:color w:val="000000"/>
              </w:rPr>
              <w:t>6</w:t>
            </w:r>
          </w:p>
        </w:tc>
        <w:tc>
          <w:tcPr>
            <w:tcW w:w="1428" w:type="dxa"/>
            <w:vAlign w:val="center"/>
          </w:tcPr>
          <w:p w14:paraId="23EE7698" w14:textId="77777777" w:rsidR="00871E1B" w:rsidRDefault="00871E1B" w:rsidP="00A26A46">
            <w:pPr>
              <w:jc w:val="center"/>
              <w:rPr>
                <w:b/>
                <w:bCs/>
              </w:rPr>
            </w:pPr>
            <w:r>
              <w:rPr>
                <w:color w:val="000000"/>
              </w:rPr>
              <w:t>-0.07</w:t>
            </w:r>
          </w:p>
        </w:tc>
        <w:tc>
          <w:tcPr>
            <w:tcW w:w="1097" w:type="dxa"/>
            <w:vAlign w:val="bottom"/>
          </w:tcPr>
          <w:p w14:paraId="0E487D6A" w14:textId="77777777" w:rsidR="00871E1B" w:rsidRDefault="00871E1B" w:rsidP="00A26A46">
            <w:pPr>
              <w:jc w:val="center"/>
              <w:rPr>
                <w:color w:val="000000"/>
              </w:rPr>
            </w:pPr>
            <w:r>
              <w:rPr>
                <w:rFonts w:ascii="Calibri" w:hAnsi="Calibri" w:cs="Calibri"/>
                <w:color w:val="000000"/>
              </w:rPr>
              <w:t>8</w:t>
            </w:r>
          </w:p>
        </w:tc>
        <w:tc>
          <w:tcPr>
            <w:tcW w:w="1415" w:type="dxa"/>
            <w:vAlign w:val="center"/>
          </w:tcPr>
          <w:p w14:paraId="0DFFF6F8" w14:textId="77777777" w:rsidR="00871E1B" w:rsidRDefault="00871E1B" w:rsidP="00A26A46">
            <w:pPr>
              <w:jc w:val="center"/>
              <w:rPr>
                <w:b/>
                <w:bCs/>
              </w:rPr>
            </w:pPr>
            <w:r>
              <w:rPr>
                <w:color w:val="000000"/>
              </w:rPr>
              <w:t>-0.01</w:t>
            </w:r>
          </w:p>
        </w:tc>
        <w:tc>
          <w:tcPr>
            <w:tcW w:w="1239" w:type="dxa"/>
            <w:vAlign w:val="bottom"/>
          </w:tcPr>
          <w:p w14:paraId="2FB2490F" w14:textId="77777777" w:rsidR="00871E1B" w:rsidRDefault="00871E1B" w:rsidP="00A26A46">
            <w:pPr>
              <w:jc w:val="center"/>
              <w:rPr>
                <w:color w:val="000000"/>
              </w:rPr>
            </w:pPr>
            <w:r>
              <w:rPr>
                <w:rFonts w:ascii="Calibri" w:hAnsi="Calibri" w:cs="Calibri"/>
                <w:color w:val="000000"/>
              </w:rPr>
              <w:t>6</w:t>
            </w:r>
          </w:p>
        </w:tc>
      </w:tr>
      <w:tr w:rsidR="00871E1B" w14:paraId="40D5E08A" w14:textId="77777777" w:rsidTr="00A26A46">
        <w:tc>
          <w:tcPr>
            <w:tcW w:w="1801" w:type="dxa"/>
            <w:vAlign w:val="center"/>
          </w:tcPr>
          <w:p w14:paraId="343090D4" w14:textId="77777777" w:rsidR="00871E1B" w:rsidRDefault="00871E1B" w:rsidP="00A26A46">
            <w:pPr>
              <w:jc w:val="center"/>
              <w:rPr>
                <w:b/>
                <w:bCs/>
              </w:rPr>
            </w:pPr>
            <w:r>
              <w:rPr>
                <w:b/>
                <w:bCs/>
                <w:color w:val="000000"/>
              </w:rPr>
              <w:t>DBH1STMF</w:t>
            </w:r>
          </w:p>
        </w:tc>
        <w:tc>
          <w:tcPr>
            <w:tcW w:w="1387" w:type="dxa"/>
            <w:vAlign w:val="center"/>
          </w:tcPr>
          <w:p w14:paraId="4630D9F3" w14:textId="77777777" w:rsidR="00871E1B" w:rsidRDefault="00871E1B" w:rsidP="00A26A46">
            <w:pPr>
              <w:jc w:val="center"/>
              <w:rPr>
                <w:b/>
                <w:bCs/>
              </w:rPr>
            </w:pPr>
            <w:r>
              <w:rPr>
                <w:color w:val="000000"/>
              </w:rPr>
              <w:t>-0.37</w:t>
            </w:r>
          </w:p>
        </w:tc>
        <w:tc>
          <w:tcPr>
            <w:tcW w:w="983" w:type="dxa"/>
            <w:vAlign w:val="bottom"/>
          </w:tcPr>
          <w:p w14:paraId="5B261D50" w14:textId="77777777" w:rsidR="00871E1B" w:rsidRDefault="00871E1B" w:rsidP="00A26A46">
            <w:pPr>
              <w:jc w:val="center"/>
              <w:rPr>
                <w:color w:val="000000"/>
              </w:rPr>
            </w:pPr>
            <w:r>
              <w:rPr>
                <w:rFonts w:ascii="Calibri" w:hAnsi="Calibri" w:cs="Calibri"/>
                <w:color w:val="000000"/>
              </w:rPr>
              <w:t>17</w:t>
            </w:r>
          </w:p>
        </w:tc>
        <w:tc>
          <w:tcPr>
            <w:tcW w:w="1428" w:type="dxa"/>
            <w:vAlign w:val="center"/>
          </w:tcPr>
          <w:p w14:paraId="603F5E54" w14:textId="77777777" w:rsidR="00871E1B" w:rsidRDefault="00871E1B" w:rsidP="00A26A46">
            <w:pPr>
              <w:jc w:val="center"/>
              <w:rPr>
                <w:b/>
                <w:bCs/>
              </w:rPr>
            </w:pPr>
            <w:r>
              <w:rPr>
                <w:color w:val="000000"/>
              </w:rPr>
              <w:t>-0.15</w:t>
            </w:r>
          </w:p>
        </w:tc>
        <w:tc>
          <w:tcPr>
            <w:tcW w:w="1097" w:type="dxa"/>
            <w:vAlign w:val="bottom"/>
          </w:tcPr>
          <w:p w14:paraId="7A12954D" w14:textId="77777777" w:rsidR="00871E1B" w:rsidRDefault="00871E1B" w:rsidP="00A26A46">
            <w:pPr>
              <w:jc w:val="center"/>
              <w:rPr>
                <w:color w:val="000000"/>
              </w:rPr>
            </w:pPr>
            <w:r>
              <w:rPr>
                <w:rFonts w:ascii="Calibri" w:hAnsi="Calibri" w:cs="Calibri"/>
                <w:color w:val="000000"/>
              </w:rPr>
              <w:t>21</w:t>
            </w:r>
          </w:p>
        </w:tc>
        <w:tc>
          <w:tcPr>
            <w:tcW w:w="1415" w:type="dxa"/>
            <w:vAlign w:val="center"/>
          </w:tcPr>
          <w:p w14:paraId="35F6B48B" w14:textId="77777777" w:rsidR="00871E1B" w:rsidRDefault="00871E1B" w:rsidP="00A26A46">
            <w:pPr>
              <w:jc w:val="center"/>
              <w:rPr>
                <w:b/>
                <w:bCs/>
              </w:rPr>
            </w:pPr>
            <w:r>
              <w:rPr>
                <w:color w:val="000000"/>
              </w:rPr>
              <w:t>-0.06</w:t>
            </w:r>
          </w:p>
        </w:tc>
        <w:tc>
          <w:tcPr>
            <w:tcW w:w="1239" w:type="dxa"/>
            <w:vAlign w:val="bottom"/>
          </w:tcPr>
          <w:p w14:paraId="5478FEDA" w14:textId="77777777" w:rsidR="00871E1B" w:rsidRDefault="00871E1B" w:rsidP="00A26A46">
            <w:pPr>
              <w:jc w:val="center"/>
              <w:rPr>
                <w:color w:val="000000"/>
              </w:rPr>
            </w:pPr>
            <w:r>
              <w:rPr>
                <w:rFonts w:ascii="Calibri" w:hAnsi="Calibri" w:cs="Calibri"/>
                <w:color w:val="000000"/>
              </w:rPr>
              <w:t>16</w:t>
            </w:r>
          </w:p>
        </w:tc>
      </w:tr>
      <w:tr w:rsidR="00871E1B" w14:paraId="1515AD10" w14:textId="77777777" w:rsidTr="00A26A46">
        <w:tc>
          <w:tcPr>
            <w:tcW w:w="1801" w:type="dxa"/>
            <w:vAlign w:val="center"/>
          </w:tcPr>
          <w:p w14:paraId="6813E4D3" w14:textId="77777777" w:rsidR="00871E1B" w:rsidRDefault="00871E1B" w:rsidP="00A26A46">
            <w:pPr>
              <w:jc w:val="center"/>
              <w:rPr>
                <w:b/>
                <w:bCs/>
              </w:rPr>
            </w:pPr>
            <w:r>
              <w:rPr>
                <w:b/>
                <w:bCs/>
                <w:color w:val="000000"/>
              </w:rPr>
              <w:t>EBL1STMF</w:t>
            </w:r>
          </w:p>
        </w:tc>
        <w:tc>
          <w:tcPr>
            <w:tcW w:w="1387" w:type="dxa"/>
            <w:vAlign w:val="center"/>
          </w:tcPr>
          <w:p w14:paraId="5E3E528F" w14:textId="77777777" w:rsidR="00871E1B" w:rsidRDefault="00871E1B" w:rsidP="00A26A46">
            <w:pPr>
              <w:jc w:val="center"/>
              <w:rPr>
                <w:b/>
                <w:bCs/>
              </w:rPr>
            </w:pPr>
            <w:r>
              <w:rPr>
                <w:color w:val="000000"/>
              </w:rPr>
              <w:t>-0.25</w:t>
            </w:r>
          </w:p>
        </w:tc>
        <w:tc>
          <w:tcPr>
            <w:tcW w:w="983" w:type="dxa"/>
            <w:vAlign w:val="bottom"/>
          </w:tcPr>
          <w:p w14:paraId="17F224F9" w14:textId="77777777" w:rsidR="00871E1B" w:rsidRDefault="00871E1B" w:rsidP="00A26A46">
            <w:pPr>
              <w:jc w:val="center"/>
              <w:rPr>
                <w:color w:val="000000"/>
              </w:rPr>
            </w:pPr>
            <w:r>
              <w:rPr>
                <w:rFonts w:ascii="Calibri" w:hAnsi="Calibri" w:cs="Calibri"/>
                <w:color w:val="000000"/>
              </w:rPr>
              <w:t>10</w:t>
            </w:r>
          </w:p>
        </w:tc>
        <w:tc>
          <w:tcPr>
            <w:tcW w:w="1428" w:type="dxa"/>
            <w:vAlign w:val="center"/>
          </w:tcPr>
          <w:p w14:paraId="3F8122F3" w14:textId="77777777" w:rsidR="00871E1B" w:rsidRDefault="00871E1B" w:rsidP="00A26A46">
            <w:pPr>
              <w:jc w:val="center"/>
              <w:rPr>
                <w:b/>
                <w:bCs/>
              </w:rPr>
            </w:pPr>
            <w:r>
              <w:rPr>
                <w:color w:val="000000"/>
              </w:rPr>
              <w:t>-0.08</w:t>
            </w:r>
          </w:p>
        </w:tc>
        <w:tc>
          <w:tcPr>
            <w:tcW w:w="1097" w:type="dxa"/>
            <w:vAlign w:val="bottom"/>
          </w:tcPr>
          <w:p w14:paraId="58268A7C" w14:textId="77777777" w:rsidR="00871E1B" w:rsidRDefault="00871E1B" w:rsidP="00A26A46">
            <w:pPr>
              <w:jc w:val="center"/>
              <w:rPr>
                <w:color w:val="000000"/>
              </w:rPr>
            </w:pPr>
            <w:r>
              <w:rPr>
                <w:rFonts w:ascii="Calibri" w:hAnsi="Calibri" w:cs="Calibri"/>
                <w:color w:val="000000"/>
              </w:rPr>
              <w:t>11</w:t>
            </w:r>
          </w:p>
        </w:tc>
        <w:tc>
          <w:tcPr>
            <w:tcW w:w="1415" w:type="dxa"/>
            <w:vAlign w:val="center"/>
          </w:tcPr>
          <w:p w14:paraId="599B9874" w14:textId="77777777" w:rsidR="00871E1B" w:rsidRDefault="00871E1B" w:rsidP="00A26A46">
            <w:pPr>
              <w:jc w:val="center"/>
              <w:rPr>
                <w:b/>
                <w:bCs/>
              </w:rPr>
            </w:pPr>
            <w:r>
              <w:rPr>
                <w:color w:val="000000"/>
              </w:rPr>
              <w:t>-0.03</w:t>
            </w:r>
          </w:p>
        </w:tc>
        <w:tc>
          <w:tcPr>
            <w:tcW w:w="1239" w:type="dxa"/>
            <w:vAlign w:val="bottom"/>
          </w:tcPr>
          <w:p w14:paraId="41347913" w14:textId="77777777" w:rsidR="00871E1B" w:rsidRDefault="00871E1B" w:rsidP="00A26A46">
            <w:pPr>
              <w:jc w:val="center"/>
              <w:rPr>
                <w:color w:val="000000"/>
              </w:rPr>
            </w:pPr>
            <w:r>
              <w:rPr>
                <w:rFonts w:ascii="Calibri" w:hAnsi="Calibri" w:cs="Calibri"/>
                <w:color w:val="000000"/>
              </w:rPr>
              <w:t>11</w:t>
            </w:r>
          </w:p>
        </w:tc>
      </w:tr>
      <w:tr w:rsidR="00871E1B" w14:paraId="0B034E91" w14:textId="77777777" w:rsidTr="00A26A46">
        <w:tc>
          <w:tcPr>
            <w:tcW w:w="1801" w:type="dxa"/>
            <w:vAlign w:val="center"/>
          </w:tcPr>
          <w:p w14:paraId="7B9D0C83" w14:textId="77777777" w:rsidR="00871E1B" w:rsidRDefault="00871E1B" w:rsidP="00A26A46">
            <w:pPr>
              <w:jc w:val="center"/>
              <w:rPr>
                <w:b/>
                <w:bCs/>
              </w:rPr>
            </w:pPr>
            <w:r>
              <w:rPr>
                <w:b/>
                <w:bCs/>
                <w:color w:val="000000"/>
              </w:rPr>
              <w:t>EBLNRBMF</w:t>
            </w:r>
          </w:p>
        </w:tc>
        <w:tc>
          <w:tcPr>
            <w:tcW w:w="1387" w:type="dxa"/>
            <w:vAlign w:val="center"/>
          </w:tcPr>
          <w:p w14:paraId="52F5E54A" w14:textId="77777777" w:rsidR="00871E1B" w:rsidRDefault="00871E1B" w:rsidP="00A26A46">
            <w:pPr>
              <w:jc w:val="center"/>
              <w:rPr>
                <w:b/>
                <w:bCs/>
              </w:rPr>
            </w:pPr>
            <w:r>
              <w:rPr>
                <w:color w:val="000000"/>
              </w:rPr>
              <w:t>-0.27</w:t>
            </w:r>
          </w:p>
        </w:tc>
        <w:tc>
          <w:tcPr>
            <w:tcW w:w="983" w:type="dxa"/>
            <w:vAlign w:val="bottom"/>
          </w:tcPr>
          <w:p w14:paraId="3E6A30B5" w14:textId="77777777" w:rsidR="00871E1B" w:rsidRDefault="00871E1B" w:rsidP="00A26A46">
            <w:pPr>
              <w:jc w:val="center"/>
              <w:rPr>
                <w:color w:val="000000"/>
              </w:rPr>
            </w:pPr>
            <w:r>
              <w:rPr>
                <w:rFonts w:ascii="Calibri" w:hAnsi="Calibri" w:cs="Calibri"/>
                <w:color w:val="000000"/>
              </w:rPr>
              <w:t>12</w:t>
            </w:r>
          </w:p>
        </w:tc>
        <w:tc>
          <w:tcPr>
            <w:tcW w:w="1428" w:type="dxa"/>
            <w:vAlign w:val="center"/>
          </w:tcPr>
          <w:p w14:paraId="0ADB6E04" w14:textId="77777777" w:rsidR="00871E1B" w:rsidRDefault="00871E1B" w:rsidP="00A26A46">
            <w:pPr>
              <w:jc w:val="center"/>
              <w:rPr>
                <w:b/>
                <w:bCs/>
              </w:rPr>
            </w:pPr>
            <w:r>
              <w:rPr>
                <w:color w:val="000000"/>
              </w:rPr>
              <w:t>-0.09</w:t>
            </w:r>
          </w:p>
        </w:tc>
        <w:tc>
          <w:tcPr>
            <w:tcW w:w="1097" w:type="dxa"/>
            <w:vAlign w:val="bottom"/>
          </w:tcPr>
          <w:p w14:paraId="1F185643" w14:textId="77777777" w:rsidR="00871E1B" w:rsidRDefault="00871E1B" w:rsidP="00A26A46">
            <w:pPr>
              <w:jc w:val="center"/>
              <w:rPr>
                <w:color w:val="000000"/>
              </w:rPr>
            </w:pPr>
            <w:r>
              <w:rPr>
                <w:rFonts w:ascii="Calibri" w:hAnsi="Calibri" w:cs="Calibri"/>
                <w:color w:val="000000"/>
              </w:rPr>
              <w:t>12</w:t>
            </w:r>
          </w:p>
        </w:tc>
        <w:tc>
          <w:tcPr>
            <w:tcW w:w="1415" w:type="dxa"/>
            <w:vAlign w:val="center"/>
          </w:tcPr>
          <w:p w14:paraId="03B214C5" w14:textId="77777777" w:rsidR="00871E1B" w:rsidRDefault="00871E1B" w:rsidP="00A26A46">
            <w:pPr>
              <w:jc w:val="center"/>
              <w:rPr>
                <w:b/>
                <w:bCs/>
              </w:rPr>
            </w:pPr>
            <w:r>
              <w:rPr>
                <w:color w:val="000000"/>
              </w:rPr>
              <w:t>-0.04</w:t>
            </w:r>
          </w:p>
        </w:tc>
        <w:tc>
          <w:tcPr>
            <w:tcW w:w="1239" w:type="dxa"/>
            <w:vAlign w:val="bottom"/>
          </w:tcPr>
          <w:p w14:paraId="61D38788" w14:textId="77777777" w:rsidR="00871E1B" w:rsidRDefault="00871E1B" w:rsidP="00A26A46">
            <w:pPr>
              <w:jc w:val="center"/>
              <w:rPr>
                <w:color w:val="000000"/>
              </w:rPr>
            </w:pPr>
            <w:r>
              <w:rPr>
                <w:rFonts w:ascii="Calibri" w:hAnsi="Calibri" w:cs="Calibri"/>
                <w:color w:val="000000"/>
              </w:rPr>
              <w:t>12</w:t>
            </w:r>
          </w:p>
        </w:tc>
      </w:tr>
      <w:tr w:rsidR="00871E1B" w14:paraId="3B8DBDAE" w14:textId="77777777" w:rsidTr="00A26A46">
        <w:tc>
          <w:tcPr>
            <w:tcW w:w="1801" w:type="dxa"/>
            <w:vAlign w:val="center"/>
          </w:tcPr>
          <w:p w14:paraId="18E9C235" w14:textId="77777777" w:rsidR="00871E1B" w:rsidRDefault="00871E1B" w:rsidP="00A26A46">
            <w:pPr>
              <w:jc w:val="center"/>
              <w:rPr>
                <w:b/>
                <w:bCs/>
              </w:rPr>
            </w:pPr>
            <w:r>
              <w:rPr>
                <w:b/>
                <w:bCs/>
                <w:color w:val="000000"/>
              </w:rPr>
              <w:t>GRAMEENS2</w:t>
            </w:r>
          </w:p>
        </w:tc>
        <w:tc>
          <w:tcPr>
            <w:tcW w:w="1387" w:type="dxa"/>
            <w:vAlign w:val="center"/>
          </w:tcPr>
          <w:p w14:paraId="5ACC2133" w14:textId="77777777" w:rsidR="00871E1B" w:rsidRDefault="00871E1B" w:rsidP="00A26A46">
            <w:pPr>
              <w:jc w:val="center"/>
              <w:rPr>
                <w:b/>
                <w:bCs/>
              </w:rPr>
            </w:pPr>
            <w:r>
              <w:rPr>
                <w:color w:val="000000"/>
              </w:rPr>
              <w:t>-0.27</w:t>
            </w:r>
          </w:p>
        </w:tc>
        <w:tc>
          <w:tcPr>
            <w:tcW w:w="983" w:type="dxa"/>
            <w:vAlign w:val="bottom"/>
          </w:tcPr>
          <w:p w14:paraId="64229956" w14:textId="77777777" w:rsidR="00871E1B" w:rsidRDefault="00871E1B" w:rsidP="00A26A46">
            <w:pPr>
              <w:jc w:val="center"/>
              <w:rPr>
                <w:color w:val="000000"/>
              </w:rPr>
            </w:pPr>
            <w:r>
              <w:rPr>
                <w:rFonts w:ascii="Calibri" w:hAnsi="Calibri" w:cs="Calibri"/>
                <w:color w:val="000000"/>
              </w:rPr>
              <w:t>11</w:t>
            </w:r>
          </w:p>
        </w:tc>
        <w:tc>
          <w:tcPr>
            <w:tcW w:w="1428" w:type="dxa"/>
            <w:vAlign w:val="center"/>
          </w:tcPr>
          <w:p w14:paraId="1E616318" w14:textId="77777777" w:rsidR="00871E1B" w:rsidRDefault="00871E1B" w:rsidP="00A26A46">
            <w:pPr>
              <w:jc w:val="center"/>
              <w:rPr>
                <w:b/>
                <w:bCs/>
              </w:rPr>
            </w:pPr>
            <w:r>
              <w:rPr>
                <w:color w:val="000000"/>
              </w:rPr>
              <w:t>-0.07</w:t>
            </w:r>
          </w:p>
        </w:tc>
        <w:tc>
          <w:tcPr>
            <w:tcW w:w="1097" w:type="dxa"/>
            <w:vAlign w:val="bottom"/>
          </w:tcPr>
          <w:p w14:paraId="192343F2" w14:textId="77777777" w:rsidR="00871E1B" w:rsidRDefault="00871E1B" w:rsidP="00A26A46">
            <w:pPr>
              <w:jc w:val="center"/>
              <w:rPr>
                <w:color w:val="000000"/>
              </w:rPr>
            </w:pPr>
            <w:r>
              <w:rPr>
                <w:rFonts w:ascii="Calibri" w:hAnsi="Calibri" w:cs="Calibri"/>
                <w:color w:val="000000"/>
              </w:rPr>
              <w:t>7</w:t>
            </w:r>
          </w:p>
        </w:tc>
        <w:tc>
          <w:tcPr>
            <w:tcW w:w="1415" w:type="dxa"/>
            <w:vAlign w:val="center"/>
          </w:tcPr>
          <w:p w14:paraId="78F2658A" w14:textId="77777777" w:rsidR="00871E1B" w:rsidRDefault="00871E1B" w:rsidP="00A26A46">
            <w:pPr>
              <w:jc w:val="center"/>
              <w:rPr>
                <w:b/>
                <w:bCs/>
              </w:rPr>
            </w:pPr>
            <w:r>
              <w:rPr>
                <w:color w:val="000000"/>
              </w:rPr>
              <w:t>-0.02</w:t>
            </w:r>
          </w:p>
        </w:tc>
        <w:tc>
          <w:tcPr>
            <w:tcW w:w="1239" w:type="dxa"/>
            <w:vAlign w:val="bottom"/>
          </w:tcPr>
          <w:p w14:paraId="062E5C0B" w14:textId="77777777" w:rsidR="00871E1B" w:rsidRDefault="00871E1B" w:rsidP="00A26A46">
            <w:pPr>
              <w:jc w:val="center"/>
              <w:rPr>
                <w:color w:val="000000"/>
              </w:rPr>
            </w:pPr>
            <w:r>
              <w:rPr>
                <w:rFonts w:ascii="Calibri" w:hAnsi="Calibri" w:cs="Calibri"/>
                <w:color w:val="000000"/>
              </w:rPr>
              <w:t>10</w:t>
            </w:r>
          </w:p>
        </w:tc>
      </w:tr>
      <w:tr w:rsidR="00871E1B" w14:paraId="6925B28C" w14:textId="77777777" w:rsidTr="00A26A46">
        <w:tc>
          <w:tcPr>
            <w:tcW w:w="1801" w:type="dxa"/>
            <w:vAlign w:val="center"/>
          </w:tcPr>
          <w:p w14:paraId="47B29214" w14:textId="77777777" w:rsidR="00871E1B" w:rsidRDefault="00871E1B" w:rsidP="00A26A46">
            <w:pPr>
              <w:jc w:val="center"/>
              <w:rPr>
                <w:b/>
                <w:bCs/>
              </w:rPr>
            </w:pPr>
            <w:r>
              <w:rPr>
                <w:b/>
                <w:bCs/>
                <w:color w:val="000000"/>
              </w:rPr>
              <w:t>GREENDELMF</w:t>
            </w:r>
          </w:p>
        </w:tc>
        <w:tc>
          <w:tcPr>
            <w:tcW w:w="1387" w:type="dxa"/>
            <w:vAlign w:val="center"/>
          </w:tcPr>
          <w:p w14:paraId="289AE940" w14:textId="77777777" w:rsidR="00871E1B" w:rsidRDefault="00871E1B" w:rsidP="00A26A46">
            <w:pPr>
              <w:jc w:val="center"/>
              <w:rPr>
                <w:b/>
                <w:bCs/>
              </w:rPr>
            </w:pPr>
            <w:r>
              <w:rPr>
                <w:color w:val="000000"/>
              </w:rPr>
              <w:t>-0.31</w:t>
            </w:r>
          </w:p>
        </w:tc>
        <w:tc>
          <w:tcPr>
            <w:tcW w:w="983" w:type="dxa"/>
            <w:vAlign w:val="bottom"/>
          </w:tcPr>
          <w:p w14:paraId="59F309E0" w14:textId="77777777" w:rsidR="00871E1B" w:rsidRDefault="00871E1B" w:rsidP="00A26A46">
            <w:pPr>
              <w:jc w:val="center"/>
              <w:rPr>
                <w:color w:val="000000"/>
              </w:rPr>
            </w:pPr>
            <w:r>
              <w:rPr>
                <w:rFonts w:ascii="Calibri" w:hAnsi="Calibri" w:cs="Calibri"/>
                <w:color w:val="000000"/>
              </w:rPr>
              <w:t>13</w:t>
            </w:r>
          </w:p>
        </w:tc>
        <w:tc>
          <w:tcPr>
            <w:tcW w:w="1428" w:type="dxa"/>
            <w:vAlign w:val="center"/>
          </w:tcPr>
          <w:p w14:paraId="5BCEB71B" w14:textId="77777777" w:rsidR="00871E1B" w:rsidRDefault="00871E1B" w:rsidP="00A26A46">
            <w:pPr>
              <w:jc w:val="center"/>
              <w:rPr>
                <w:b/>
                <w:bCs/>
              </w:rPr>
            </w:pPr>
            <w:r>
              <w:rPr>
                <w:color w:val="000000"/>
              </w:rPr>
              <w:t>-0.14</w:t>
            </w:r>
          </w:p>
        </w:tc>
        <w:tc>
          <w:tcPr>
            <w:tcW w:w="1097" w:type="dxa"/>
            <w:vAlign w:val="bottom"/>
          </w:tcPr>
          <w:p w14:paraId="245373C2" w14:textId="77777777" w:rsidR="00871E1B" w:rsidRDefault="00871E1B" w:rsidP="00A26A46">
            <w:pPr>
              <w:jc w:val="center"/>
              <w:rPr>
                <w:color w:val="000000"/>
              </w:rPr>
            </w:pPr>
            <w:r>
              <w:rPr>
                <w:rFonts w:ascii="Calibri" w:hAnsi="Calibri" w:cs="Calibri"/>
                <w:color w:val="000000"/>
              </w:rPr>
              <w:t>19</w:t>
            </w:r>
          </w:p>
        </w:tc>
        <w:tc>
          <w:tcPr>
            <w:tcW w:w="1415" w:type="dxa"/>
            <w:vAlign w:val="center"/>
          </w:tcPr>
          <w:p w14:paraId="308C9100" w14:textId="77777777" w:rsidR="00871E1B" w:rsidRDefault="00871E1B" w:rsidP="00A26A46">
            <w:pPr>
              <w:jc w:val="center"/>
              <w:rPr>
                <w:b/>
                <w:bCs/>
              </w:rPr>
            </w:pPr>
            <w:r>
              <w:rPr>
                <w:color w:val="000000"/>
              </w:rPr>
              <w:t>-0.05</w:t>
            </w:r>
          </w:p>
        </w:tc>
        <w:tc>
          <w:tcPr>
            <w:tcW w:w="1239" w:type="dxa"/>
            <w:vAlign w:val="bottom"/>
          </w:tcPr>
          <w:p w14:paraId="1BA37755" w14:textId="77777777" w:rsidR="00871E1B" w:rsidRDefault="00871E1B" w:rsidP="00A26A46">
            <w:pPr>
              <w:jc w:val="center"/>
              <w:rPr>
                <w:color w:val="000000"/>
              </w:rPr>
            </w:pPr>
            <w:r>
              <w:rPr>
                <w:rFonts w:ascii="Calibri" w:hAnsi="Calibri" w:cs="Calibri"/>
                <w:color w:val="000000"/>
              </w:rPr>
              <w:t>14</w:t>
            </w:r>
          </w:p>
        </w:tc>
      </w:tr>
      <w:tr w:rsidR="00871E1B" w14:paraId="11C97D40" w14:textId="77777777" w:rsidTr="00A26A46">
        <w:tc>
          <w:tcPr>
            <w:tcW w:w="1801" w:type="dxa"/>
            <w:vAlign w:val="center"/>
          </w:tcPr>
          <w:p w14:paraId="663F8750" w14:textId="77777777" w:rsidR="00871E1B" w:rsidRDefault="00871E1B" w:rsidP="00A26A46">
            <w:pPr>
              <w:jc w:val="center"/>
              <w:rPr>
                <w:b/>
                <w:bCs/>
              </w:rPr>
            </w:pPr>
            <w:r>
              <w:rPr>
                <w:b/>
                <w:bCs/>
                <w:color w:val="000000"/>
              </w:rPr>
              <w:t>ICB3RDNRB</w:t>
            </w:r>
          </w:p>
        </w:tc>
        <w:tc>
          <w:tcPr>
            <w:tcW w:w="1387" w:type="dxa"/>
            <w:vAlign w:val="center"/>
          </w:tcPr>
          <w:p w14:paraId="2E36FBD4" w14:textId="77777777" w:rsidR="00871E1B" w:rsidRDefault="00871E1B" w:rsidP="00A26A46">
            <w:pPr>
              <w:jc w:val="center"/>
              <w:rPr>
                <w:b/>
                <w:bCs/>
              </w:rPr>
            </w:pPr>
            <w:r>
              <w:rPr>
                <w:color w:val="000000"/>
              </w:rPr>
              <w:t>-0.21</w:t>
            </w:r>
          </w:p>
        </w:tc>
        <w:tc>
          <w:tcPr>
            <w:tcW w:w="983" w:type="dxa"/>
            <w:vAlign w:val="bottom"/>
          </w:tcPr>
          <w:p w14:paraId="0E67BFD9" w14:textId="77777777" w:rsidR="00871E1B" w:rsidRDefault="00871E1B" w:rsidP="00A26A46">
            <w:pPr>
              <w:jc w:val="center"/>
              <w:rPr>
                <w:color w:val="000000"/>
              </w:rPr>
            </w:pPr>
            <w:r>
              <w:rPr>
                <w:rFonts w:ascii="Calibri" w:hAnsi="Calibri" w:cs="Calibri"/>
                <w:color w:val="000000"/>
              </w:rPr>
              <w:t>9</w:t>
            </w:r>
          </w:p>
        </w:tc>
        <w:tc>
          <w:tcPr>
            <w:tcW w:w="1428" w:type="dxa"/>
            <w:vAlign w:val="center"/>
          </w:tcPr>
          <w:p w14:paraId="3D37946A" w14:textId="77777777" w:rsidR="00871E1B" w:rsidRDefault="00871E1B" w:rsidP="00A26A46">
            <w:pPr>
              <w:jc w:val="center"/>
              <w:rPr>
                <w:b/>
                <w:bCs/>
              </w:rPr>
            </w:pPr>
            <w:r>
              <w:rPr>
                <w:color w:val="000000"/>
              </w:rPr>
              <w:t>-0.07</w:t>
            </w:r>
          </w:p>
        </w:tc>
        <w:tc>
          <w:tcPr>
            <w:tcW w:w="1097" w:type="dxa"/>
            <w:vAlign w:val="bottom"/>
          </w:tcPr>
          <w:p w14:paraId="18458346" w14:textId="77777777" w:rsidR="00871E1B" w:rsidRDefault="00871E1B" w:rsidP="00A26A46">
            <w:pPr>
              <w:jc w:val="center"/>
              <w:rPr>
                <w:color w:val="000000"/>
              </w:rPr>
            </w:pPr>
            <w:r>
              <w:rPr>
                <w:rFonts w:ascii="Calibri" w:hAnsi="Calibri" w:cs="Calibri"/>
                <w:color w:val="000000"/>
              </w:rPr>
              <w:t>6</w:t>
            </w:r>
          </w:p>
        </w:tc>
        <w:tc>
          <w:tcPr>
            <w:tcW w:w="1415" w:type="dxa"/>
            <w:vAlign w:val="center"/>
          </w:tcPr>
          <w:p w14:paraId="3DC9C2F6" w14:textId="77777777" w:rsidR="00871E1B" w:rsidRDefault="00871E1B" w:rsidP="00A26A46">
            <w:pPr>
              <w:jc w:val="center"/>
              <w:rPr>
                <w:b/>
                <w:bCs/>
              </w:rPr>
            </w:pPr>
            <w:r>
              <w:rPr>
                <w:color w:val="000000"/>
              </w:rPr>
              <w:t>-0.02</w:t>
            </w:r>
          </w:p>
        </w:tc>
        <w:tc>
          <w:tcPr>
            <w:tcW w:w="1239" w:type="dxa"/>
            <w:vAlign w:val="bottom"/>
          </w:tcPr>
          <w:p w14:paraId="0049297E" w14:textId="77777777" w:rsidR="00871E1B" w:rsidRDefault="00871E1B" w:rsidP="00A26A46">
            <w:pPr>
              <w:jc w:val="center"/>
              <w:rPr>
                <w:color w:val="000000"/>
              </w:rPr>
            </w:pPr>
            <w:r>
              <w:rPr>
                <w:rFonts w:ascii="Calibri" w:hAnsi="Calibri" w:cs="Calibri"/>
                <w:color w:val="000000"/>
              </w:rPr>
              <w:t>7</w:t>
            </w:r>
          </w:p>
        </w:tc>
      </w:tr>
      <w:tr w:rsidR="00871E1B" w14:paraId="2E8F0CEF" w14:textId="77777777" w:rsidTr="00A26A46">
        <w:tc>
          <w:tcPr>
            <w:tcW w:w="1801" w:type="dxa"/>
            <w:vAlign w:val="center"/>
          </w:tcPr>
          <w:p w14:paraId="79D6B5BF" w14:textId="77777777" w:rsidR="00871E1B" w:rsidRDefault="00871E1B" w:rsidP="00A26A46">
            <w:pPr>
              <w:jc w:val="center"/>
              <w:rPr>
                <w:b/>
                <w:bCs/>
              </w:rPr>
            </w:pPr>
            <w:r>
              <w:rPr>
                <w:b/>
                <w:bCs/>
                <w:color w:val="000000"/>
              </w:rPr>
              <w:t>ICBAMCL2ND</w:t>
            </w:r>
          </w:p>
        </w:tc>
        <w:tc>
          <w:tcPr>
            <w:tcW w:w="1387" w:type="dxa"/>
            <w:vAlign w:val="center"/>
          </w:tcPr>
          <w:p w14:paraId="3D07631E" w14:textId="77777777" w:rsidR="00871E1B" w:rsidRDefault="00871E1B" w:rsidP="00A26A46">
            <w:pPr>
              <w:jc w:val="center"/>
              <w:rPr>
                <w:b/>
                <w:bCs/>
              </w:rPr>
            </w:pPr>
            <w:r>
              <w:rPr>
                <w:color w:val="000000"/>
              </w:rPr>
              <w:t>-0.07</w:t>
            </w:r>
          </w:p>
        </w:tc>
        <w:tc>
          <w:tcPr>
            <w:tcW w:w="983" w:type="dxa"/>
            <w:vAlign w:val="bottom"/>
          </w:tcPr>
          <w:p w14:paraId="5F72562E" w14:textId="77777777" w:rsidR="00871E1B" w:rsidRDefault="00871E1B" w:rsidP="00A26A46">
            <w:pPr>
              <w:jc w:val="center"/>
              <w:rPr>
                <w:color w:val="000000"/>
              </w:rPr>
            </w:pPr>
            <w:r>
              <w:rPr>
                <w:rFonts w:ascii="Calibri" w:hAnsi="Calibri" w:cs="Calibri"/>
                <w:color w:val="000000"/>
              </w:rPr>
              <w:t>5</w:t>
            </w:r>
          </w:p>
        </w:tc>
        <w:tc>
          <w:tcPr>
            <w:tcW w:w="1428" w:type="dxa"/>
            <w:vAlign w:val="center"/>
          </w:tcPr>
          <w:p w14:paraId="40610C36" w14:textId="77777777" w:rsidR="00871E1B" w:rsidRDefault="00871E1B" w:rsidP="00A26A46">
            <w:pPr>
              <w:jc w:val="center"/>
              <w:rPr>
                <w:b/>
                <w:bCs/>
              </w:rPr>
            </w:pPr>
            <w:r>
              <w:rPr>
                <w:color w:val="000000"/>
              </w:rPr>
              <w:t>-0.02</w:t>
            </w:r>
          </w:p>
        </w:tc>
        <w:tc>
          <w:tcPr>
            <w:tcW w:w="1097" w:type="dxa"/>
            <w:vAlign w:val="bottom"/>
          </w:tcPr>
          <w:p w14:paraId="661E43DD" w14:textId="77777777" w:rsidR="00871E1B" w:rsidRDefault="00871E1B" w:rsidP="00A26A46">
            <w:pPr>
              <w:jc w:val="center"/>
              <w:rPr>
                <w:color w:val="000000"/>
              </w:rPr>
            </w:pPr>
            <w:r>
              <w:rPr>
                <w:rFonts w:ascii="Calibri" w:hAnsi="Calibri" w:cs="Calibri"/>
                <w:color w:val="000000"/>
              </w:rPr>
              <w:t>5</w:t>
            </w:r>
          </w:p>
        </w:tc>
        <w:tc>
          <w:tcPr>
            <w:tcW w:w="1415" w:type="dxa"/>
            <w:vAlign w:val="center"/>
          </w:tcPr>
          <w:p w14:paraId="321E63BB" w14:textId="77777777" w:rsidR="00871E1B" w:rsidRDefault="00871E1B" w:rsidP="00A26A46">
            <w:pPr>
              <w:jc w:val="center"/>
              <w:rPr>
                <w:b/>
                <w:bCs/>
              </w:rPr>
            </w:pPr>
            <w:r>
              <w:rPr>
                <w:color w:val="000000"/>
              </w:rPr>
              <w:t>0.02</w:t>
            </w:r>
          </w:p>
        </w:tc>
        <w:tc>
          <w:tcPr>
            <w:tcW w:w="1239" w:type="dxa"/>
            <w:vAlign w:val="bottom"/>
          </w:tcPr>
          <w:p w14:paraId="52E4CCBB" w14:textId="77777777" w:rsidR="00871E1B" w:rsidRDefault="00871E1B" w:rsidP="00A26A46">
            <w:pPr>
              <w:jc w:val="center"/>
              <w:rPr>
                <w:color w:val="000000"/>
              </w:rPr>
            </w:pPr>
            <w:r>
              <w:rPr>
                <w:rFonts w:ascii="Calibri" w:hAnsi="Calibri" w:cs="Calibri"/>
                <w:color w:val="000000"/>
              </w:rPr>
              <w:t>5</w:t>
            </w:r>
          </w:p>
        </w:tc>
      </w:tr>
      <w:tr w:rsidR="00871E1B" w14:paraId="2755BBA7" w14:textId="77777777" w:rsidTr="00A26A46">
        <w:tc>
          <w:tcPr>
            <w:tcW w:w="1801" w:type="dxa"/>
            <w:vAlign w:val="center"/>
          </w:tcPr>
          <w:p w14:paraId="40EFEEFC" w14:textId="77777777" w:rsidR="00871E1B" w:rsidRDefault="00871E1B" w:rsidP="00A26A46">
            <w:pPr>
              <w:jc w:val="center"/>
              <w:rPr>
                <w:b/>
                <w:bCs/>
              </w:rPr>
            </w:pPr>
            <w:r>
              <w:rPr>
                <w:b/>
                <w:bCs/>
                <w:color w:val="000000"/>
              </w:rPr>
              <w:t>ICBEPMF1S1</w:t>
            </w:r>
          </w:p>
        </w:tc>
        <w:tc>
          <w:tcPr>
            <w:tcW w:w="1387" w:type="dxa"/>
            <w:vAlign w:val="center"/>
          </w:tcPr>
          <w:p w14:paraId="4FB0224C" w14:textId="77777777" w:rsidR="00871E1B" w:rsidRDefault="00871E1B" w:rsidP="00A26A46">
            <w:pPr>
              <w:jc w:val="center"/>
              <w:rPr>
                <w:b/>
                <w:bCs/>
              </w:rPr>
            </w:pPr>
            <w:r>
              <w:rPr>
                <w:color w:val="000000"/>
              </w:rPr>
              <w:t>-0.15</w:t>
            </w:r>
          </w:p>
        </w:tc>
        <w:tc>
          <w:tcPr>
            <w:tcW w:w="983" w:type="dxa"/>
            <w:vAlign w:val="bottom"/>
          </w:tcPr>
          <w:p w14:paraId="332094E7" w14:textId="77777777" w:rsidR="00871E1B" w:rsidRDefault="00871E1B" w:rsidP="00A26A46">
            <w:pPr>
              <w:jc w:val="center"/>
              <w:rPr>
                <w:color w:val="000000"/>
              </w:rPr>
            </w:pPr>
            <w:r>
              <w:rPr>
                <w:rFonts w:ascii="Calibri" w:hAnsi="Calibri" w:cs="Calibri"/>
                <w:color w:val="000000"/>
              </w:rPr>
              <w:t>7</w:t>
            </w:r>
          </w:p>
        </w:tc>
        <w:tc>
          <w:tcPr>
            <w:tcW w:w="1428" w:type="dxa"/>
            <w:vAlign w:val="center"/>
          </w:tcPr>
          <w:p w14:paraId="03FD2CDA" w14:textId="77777777" w:rsidR="00871E1B" w:rsidRDefault="00871E1B" w:rsidP="00A26A46">
            <w:pPr>
              <w:jc w:val="center"/>
              <w:rPr>
                <w:b/>
                <w:bCs/>
              </w:rPr>
            </w:pPr>
            <w:r>
              <w:rPr>
                <w:color w:val="000000"/>
              </w:rPr>
              <w:t>-0.07</w:t>
            </w:r>
          </w:p>
        </w:tc>
        <w:tc>
          <w:tcPr>
            <w:tcW w:w="1097" w:type="dxa"/>
            <w:vAlign w:val="bottom"/>
          </w:tcPr>
          <w:p w14:paraId="22AE4CE3" w14:textId="77777777" w:rsidR="00871E1B" w:rsidRDefault="00871E1B" w:rsidP="00A26A46">
            <w:pPr>
              <w:jc w:val="center"/>
              <w:rPr>
                <w:color w:val="000000"/>
              </w:rPr>
            </w:pPr>
            <w:r>
              <w:rPr>
                <w:rFonts w:ascii="Calibri" w:hAnsi="Calibri" w:cs="Calibri"/>
                <w:color w:val="000000"/>
              </w:rPr>
              <w:t>10</w:t>
            </w:r>
          </w:p>
        </w:tc>
        <w:tc>
          <w:tcPr>
            <w:tcW w:w="1415" w:type="dxa"/>
            <w:vAlign w:val="center"/>
          </w:tcPr>
          <w:p w14:paraId="13C861F5" w14:textId="77777777" w:rsidR="00871E1B" w:rsidRDefault="00871E1B" w:rsidP="00A26A46">
            <w:pPr>
              <w:jc w:val="center"/>
              <w:rPr>
                <w:b/>
                <w:bCs/>
              </w:rPr>
            </w:pPr>
            <w:r>
              <w:rPr>
                <w:color w:val="000000"/>
              </w:rPr>
              <w:t>-0.02</w:t>
            </w:r>
          </w:p>
        </w:tc>
        <w:tc>
          <w:tcPr>
            <w:tcW w:w="1239" w:type="dxa"/>
            <w:vAlign w:val="bottom"/>
          </w:tcPr>
          <w:p w14:paraId="09629E0B" w14:textId="77777777" w:rsidR="00871E1B" w:rsidRDefault="00871E1B" w:rsidP="00A26A46">
            <w:pPr>
              <w:jc w:val="center"/>
              <w:rPr>
                <w:color w:val="000000"/>
              </w:rPr>
            </w:pPr>
            <w:r>
              <w:rPr>
                <w:rFonts w:ascii="Calibri" w:hAnsi="Calibri" w:cs="Calibri"/>
                <w:color w:val="000000"/>
              </w:rPr>
              <w:t>8</w:t>
            </w:r>
          </w:p>
        </w:tc>
      </w:tr>
      <w:tr w:rsidR="00871E1B" w14:paraId="505BE9B9" w14:textId="77777777" w:rsidTr="00A26A46">
        <w:tc>
          <w:tcPr>
            <w:tcW w:w="1801" w:type="dxa"/>
            <w:vAlign w:val="center"/>
          </w:tcPr>
          <w:p w14:paraId="1F0CBD3A" w14:textId="77777777" w:rsidR="00871E1B" w:rsidRDefault="00871E1B" w:rsidP="00A26A46">
            <w:pPr>
              <w:jc w:val="center"/>
              <w:rPr>
                <w:b/>
                <w:bCs/>
              </w:rPr>
            </w:pPr>
            <w:r>
              <w:rPr>
                <w:b/>
                <w:bCs/>
                <w:color w:val="000000"/>
              </w:rPr>
              <w:t>IFIC1STMF</w:t>
            </w:r>
          </w:p>
        </w:tc>
        <w:tc>
          <w:tcPr>
            <w:tcW w:w="1387" w:type="dxa"/>
            <w:vAlign w:val="center"/>
          </w:tcPr>
          <w:p w14:paraId="46C41F74" w14:textId="77777777" w:rsidR="00871E1B" w:rsidRDefault="00871E1B" w:rsidP="00A26A46">
            <w:pPr>
              <w:jc w:val="center"/>
              <w:rPr>
                <w:b/>
                <w:bCs/>
              </w:rPr>
            </w:pPr>
            <w:r>
              <w:rPr>
                <w:color w:val="000000"/>
              </w:rPr>
              <w:t>-0.37</w:t>
            </w:r>
          </w:p>
        </w:tc>
        <w:tc>
          <w:tcPr>
            <w:tcW w:w="983" w:type="dxa"/>
            <w:vAlign w:val="bottom"/>
          </w:tcPr>
          <w:p w14:paraId="6CF7869F" w14:textId="77777777" w:rsidR="00871E1B" w:rsidRDefault="00871E1B" w:rsidP="00A26A46">
            <w:pPr>
              <w:jc w:val="center"/>
              <w:rPr>
                <w:color w:val="000000"/>
              </w:rPr>
            </w:pPr>
            <w:r>
              <w:rPr>
                <w:rFonts w:ascii="Calibri" w:hAnsi="Calibri" w:cs="Calibri"/>
                <w:color w:val="000000"/>
              </w:rPr>
              <w:t>19</w:t>
            </w:r>
          </w:p>
        </w:tc>
        <w:tc>
          <w:tcPr>
            <w:tcW w:w="1428" w:type="dxa"/>
            <w:vAlign w:val="center"/>
          </w:tcPr>
          <w:p w14:paraId="6EF467A9" w14:textId="77777777" w:rsidR="00871E1B" w:rsidRDefault="00871E1B" w:rsidP="00A26A46">
            <w:pPr>
              <w:jc w:val="center"/>
              <w:rPr>
                <w:b/>
                <w:bCs/>
              </w:rPr>
            </w:pPr>
            <w:r>
              <w:rPr>
                <w:color w:val="000000"/>
              </w:rPr>
              <w:t>-0.13</w:t>
            </w:r>
          </w:p>
        </w:tc>
        <w:tc>
          <w:tcPr>
            <w:tcW w:w="1097" w:type="dxa"/>
            <w:vAlign w:val="bottom"/>
          </w:tcPr>
          <w:p w14:paraId="3139BFCC" w14:textId="77777777" w:rsidR="00871E1B" w:rsidRDefault="00871E1B" w:rsidP="00A26A46">
            <w:pPr>
              <w:jc w:val="center"/>
              <w:rPr>
                <w:color w:val="000000"/>
              </w:rPr>
            </w:pPr>
            <w:r>
              <w:rPr>
                <w:rFonts w:ascii="Calibri" w:hAnsi="Calibri" w:cs="Calibri"/>
                <w:color w:val="000000"/>
              </w:rPr>
              <w:t>16</w:t>
            </w:r>
          </w:p>
        </w:tc>
        <w:tc>
          <w:tcPr>
            <w:tcW w:w="1415" w:type="dxa"/>
            <w:vAlign w:val="center"/>
          </w:tcPr>
          <w:p w14:paraId="0F7FC343" w14:textId="77777777" w:rsidR="00871E1B" w:rsidRDefault="00871E1B" w:rsidP="00A26A46">
            <w:pPr>
              <w:jc w:val="center"/>
              <w:rPr>
                <w:b/>
                <w:bCs/>
              </w:rPr>
            </w:pPr>
            <w:r>
              <w:rPr>
                <w:color w:val="000000"/>
              </w:rPr>
              <w:t>-0.06</w:t>
            </w:r>
          </w:p>
        </w:tc>
        <w:tc>
          <w:tcPr>
            <w:tcW w:w="1239" w:type="dxa"/>
            <w:vAlign w:val="bottom"/>
          </w:tcPr>
          <w:p w14:paraId="3372A620" w14:textId="77777777" w:rsidR="00871E1B" w:rsidRDefault="00871E1B" w:rsidP="00A26A46">
            <w:pPr>
              <w:jc w:val="center"/>
              <w:rPr>
                <w:color w:val="000000"/>
              </w:rPr>
            </w:pPr>
            <w:r>
              <w:rPr>
                <w:rFonts w:ascii="Calibri" w:hAnsi="Calibri" w:cs="Calibri"/>
                <w:color w:val="000000"/>
              </w:rPr>
              <w:t>18</w:t>
            </w:r>
          </w:p>
        </w:tc>
      </w:tr>
      <w:tr w:rsidR="00871E1B" w14:paraId="03E3DB75" w14:textId="77777777" w:rsidTr="00A26A46">
        <w:tc>
          <w:tcPr>
            <w:tcW w:w="1801" w:type="dxa"/>
            <w:vAlign w:val="center"/>
          </w:tcPr>
          <w:p w14:paraId="71223EB6" w14:textId="77777777" w:rsidR="00871E1B" w:rsidRDefault="00871E1B" w:rsidP="00A26A46">
            <w:pPr>
              <w:jc w:val="center"/>
              <w:rPr>
                <w:b/>
                <w:bCs/>
              </w:rPr>
            </w:pPr>
            <w:r>
              <w:rPr>
                <w:b/>
                <w:bCs/>
                <w:color w:val="000000"/>
              </w:rPr>
              <w:t>IFILISLMF1</w:t>
            </w:r>
          </w:p>
        </w:tc>
        <w:tc>
          <w:tcPr>
            <w:tcW w:w="1387" w:type="dxa"/>
            <w:vAlign w:val="center"/>
          </w:tcPr>
          <w:p w14:paraId="49CCCA85" w14:textId="77777777" w:rsidR="00871E1B" w:rsidRDefault="00871E1B" w:rsidP="00A26A46">
            <w:pPr>
              <w:jc w:val="center"/>
              <w:rPr>
                <w:b/>
                <w:bCs/>
              </w:rPr>
            </w:pPr>
            <w:r>
              <w:rPr>
                <w:color w:val="000000"/>
              </w:rPr>
              <w:t>-0.34</w:t>
            </w:r>
          </w:p>
        </w:tc>
        <w:tc>
          <w:tcPr>
            <w:tcW w:w="983" w:type="dxa"/>
            <w:vAlign w:val="bottom"/>
          </w:tcPr>
          <w:p w14:paraId="50823AA4" w14:textId="77777777" w:rsidR="00871E1B" w:rsidRDefault="00871E1B" w:rsidP="00A26A46">
            <w:pPr>
              <w:jc w:val="center"/>
              <w:rPr>
                <w:color w:val="000000"/>
              </w:rPr>
            </w:pPr>
            <w:r>
              <w:rPr>
                <w:rFonts w:ascii="Calibri" w:hAnsi="Calibri" w:cs="Calibri"/>
                <w:color w:val="000000"/>
              </w:rPr>
              <w:t>15</w:t>
            </w:r>
          </w:p>
        </w:tc>
        <w:tc>
          <w:tcPr>
            <w:tcW w:w="1428" w:type="dxa"/>
            <w:vAlign w:val="center"/>
          </w:tcPr>
          <w:p w14:paraId="2F1075C1" w14:textId="77777777" w:rsidR="00871E1B" w:rsidRDefault="00871E1B" w:rsidP="00A26A46">
            <w:pPr>
              <w:jc w:val="center"/>
              <w:rPr>
                <w:b/>
                <w:bCs/>
              </w:rPr>
            </w:pPr>
            <w:r>
              <w:rPr>
                <w:color w:val="000000"/>
              </w:rPr>
              <w:t>-0.11</w:t>
            </w:r>
          </w:p>
        </w:tc>
        <w:tc>
          <w:tcPr>
            <w:tcW w:w="1097" w:type="dxa"/>
            <w:vAlign w:val="bottom"/>
          </w:tcPr>
          <w:p w14:paraId="25822E3A" w14:textId="77777777" w:rsidR="00871E1B" w:rsidRDefault="00871E1B" w:rsidP="00A26A46">
            <w:pPr>
              <w:jc w:val="center"/>
              <w:rPr>
                <w:color w:val="000000"/>
              </w:rPr>
            </w:pPr>
            <w:r>
              <w:rPr>
                <w:rFonts w:ascii="Calibri" w:hAnsi="Calibri" w:cs="Calibri"/>
                <w:color w:val="000000"/>
              </w:rPr>
              <w:t>13</w:t>
            </w:r>
          </w:p>
        </w:tc>
        <w:tc>
          <w:tcPr>
            <w:tcW w:w="1415" w:type="dxa"/>
            <w:vAlign w:val="center"/>
          </w:tcPr>
          <w:p w14:paraId="0E343AFE" w14:textId="77777777" w:rsidR="00871E1B" w:rsidRDefault="00871E1B" w:rsidP="00A26A46">
            <w:pPr>
              <w:jc w:val="center"/>
              <w:rPr>
                <w:b/>
                <w:bCs/>
              </w:rPr>
            </w:pPr>
            <w:r>
              <w:rPr>
                <w:color w:val="000000"/>
              </w:rPr>
              <w:t>-0.04</w:t>
            </w:r>
          </w:p>
        </w:tc>
        <w:tc>
          <w:tcPr>
            <w:tcW w:w="1239" w:type="dxa"/>
            <w:vAlign w:val="bottom"/>
          </w:tcPr>
          <w:p w14:paraId="04C7E689" w14:textId="77777777" w:rsidR="00871E1B" w:rsidRDefault="00871E1B" w:rsidP="00A26A46">
            <w:pPr>
              <w:jc w:val="center"/>
              <w:rPr>
                <w:color w:val="000000"/>
              </w:rPr>
            </w:pPr>
            <w:r>
              <w:rPr>
                <w:rFonts w:ascii="Calibri" w:hAnsi="Calibri" w:cs="Calibri"/>
                <w:color w:val="000000"/>
              </w:rPr>
              <w:t>13</w:t>
            </w:r>
          </w:p>
        </w:tc>
      </w:tr>
      <w:tr w:rsidR="00871E1B" w14:paraId="387507CF" w14:textId="77777777" w:rsidTr="00A26A46">
        <w:tc>
          <w:tcPr>
            <w:tcW w:w="1801" w:type="dxa"/>
            <w:vAlign w:val="center"/>
          </w:tcPr>
          <w:p w14:paraId="5766C822" w14:textId="77777777" w:rsidR="00871E1B" w:rsidRDefault="00871E1B" w:rsidP="00A26A46">
            <w:pPr>
              <w:jc w:val="center"/>
              <w:rPr>
                <w:b/>
                <w:bCs/>
              </w:rPr>
            </w:pPr>
            <w:r>
              <w:rPr>
                <w:b/>
                <w:bCs/>
                <w:color w:val="000000"/>
              </w:rPr>
              <w:t>MBL1STMF</w:t>
            </w:r>
          </w:p>
        </w:tc>
        <w:tc>
          <w:tcPr>
            <w:tcW w:w="1387" w:type="dxa"/>
            <w:vAlign w:val="center"/>
          </w:tcPr>
          <w:p w14:paraId="1D1895C6" w14:textId="77777777" w:rsidR="00871E1B" w:rsidRDefault="00871E1B" w:rsidP="00A26A46">
            <w:pPr>
              <w:jc w:val="center"/>
              <w:rPr>
                <w:b/>
                <w:bCs/>
              </w:rPr>
            </w:pPr>
            <w:r>
              <w:rPr>
                <w:color w:val="000000"/>
              </w:rPr>
              <w:t>-0.17</w:t>
            </w:r>
          </w:p>
        </w:tc>
        <w:tc>
          <w:tcPr>
            <w:tcW w:w="983" w:type="dxa"/>
            <w:vAlign w:val="bottom"/>
          </w:tcPr>
          <w:p w14:paraId="5336831A" w14:textId="77777777" w:rsidR="00871E1B" w:rsidRDefault="00871E1B" w:rsidP="00A26A46">
            <w:pPr>
              <w:jc w:val="center"/>
              <w:rPr>
                <w:color w:val="000000"/>
              </w:rPr>
            </w:pPr>
            <w:r>
              <w:rPr>
                <w:rFonts w:ascii="Calibri" w:hAnsi="Calibri" w:cs="Calibri"/>
                <w:color w:val="000000"/>
              </w:rPr>
              <w:t>8</w:t>
            </w:r>
          </w:p>
        </w:tc>
        <w:tc>
          <w:tcPr>
            <w:tcW w:w="1428" w:type="dxa"/>
            <w:vAlign w:val="center"/>
          </w:tcPr>
          <w:p w14:paraId="6D5062CB" w14:textId="77777777" w:rsidR="00871E1B" w:rsidRDefault="00871E1B" w:rsidP="00A26A46">
            <w:pPr>
              <w:jc w:val="center"/>
              <w:rPr>
                <w:b/>
                <w:bCs/>
              </w:rPr>
            </w:pPr>
            <w:r>
              <w:rPr>
                <w:color w:val="000000"/>
              </w:rPr>
              <w:t>-0.07</w:t>
            </w:r>
          </w:p>
        </w:tc>
        <w:tc>
          <w:tcPr>
            <w:tcW w:w="1097" w:type="dxa"/>
            <w:vAlign w:val="bottom"/>
          </w:tcPr>
          <w:p w14:paraId="3FEB0A98" w14:textId="77777777" w:rsidR="00871E1B" w:rsidRDefault="00871E1B" w:rsidP="00A26A46">
            <w:pPr>
              <w:jc w:val="center"/>
              <w:rPr>
                <w:color w:val="000000"/>
              </w:rPr>
            </w:pPr>
            <w:r>
              <w:rPr>
                <w:rFonts w:ascii="Calibri" w:hAnsi="Calibri" w:cs="Calibri"/>
                <w:color w:val="000000"/>
              </w:rPr>
              <w:t>9</w:t>
            </w:r>
          </w:p>
        </w:tc>
        <w:tc>
          <w:tcPr>
            <w:tcW w:w="1415" w:type="dxa"/>
            <w:vAlign w:val="center"/>
          </w:tcPr>
          <w:p w14:paraId="37024502" w14:textId="77777777" w:rsidR="00871E1B" w:rsidRDefault="00871E1B" w:rsidP="00A26A46">
            <w:pPr>
              <w:jc w:val="center"/>
              <w:rPr>
                <w:b/>
                <w:bCs/>
              </w:rPr>
            </w:pPr>
            <w:r>
              <w:rPr>
                <w:color w:val="000000"/>
              </w:rPr>
              <w:t>-0.02</w:t>
            </w:r>
          </w:p>
        </w:tc>
        <w:tc>
          <w:tcPr>
            <w:tcW w:w="1239" w:type="dxa"/>
            <w:vAlign w:val="bottom"/>
          </w:tcPr>
          <w:p w14:paraId="6D1E24C2" w14:textId="77777777" w:rsidR="00871E1B" w:rsidRDefault="00871E1B" w:rsidP="00A26A46">
            <w:pPr>
              <w:jc w:val="center"/>
              <w:rPr>
                <w:color w:val="000000"/>
              </w:rPr>
            </w:pPr>
            <w:r>
              <w:rPr>
                <w:rFonts w:ascii="Calibri" w:hAnsi="Calibri" w:cs="Calibri"/>
                <w:color w:val="000000"/>
              </w:rPr>
              <w:t>9</w:t>
            </w:r>
          </w:p>
        </w:tc>
      </w:tr>
      <w:tr w:rsidR="00871E1B" w14:paraId="79D428B7" w14:textId="77777777" w:rsidTr="00A26A46">
        <w:tc>
          <w:tcPr>
            <w:tcW w:w="1801" w:type="dxa"/>
            <w:vAlign w:val="center"/>
          </w:tcPr>
          <w:p w14:paraId="7CB9683D" w14:textId="77777777" w:rsidR="00871E1B" w:rsidRDefault="00871E1B" w:rsidP="00A26A46">
            <w:pPr>
              <w:jc w:val="center"/>
              <w:rPr>
                <w:b/>
                <w:bCs/>
              </w:rPr>
            </w:pPr>
            <w:r>
              <w:rPr>
                <w:b/>
                <w:bCs/>
                <w:color w:val="000000"/>
              </w:rPr>
              <w:t>PF1STMF</w:t>
            </w:r>
          </w:p>
        </w:tc>
        <w:tc>
          <w:tcPr>
            <w:tcW w:w="1387" w:type="dxa"/>
            <w:vAlign w:val="center"/>
          </w:tcPr>
          <w:p w14:paraId="6FE0D668" w14:textId="77777777" w:rsidR="00871E1B" w:rsidRDefault="00871E1B" w:rsidP="00A26A46">
            <w:pPr>
              <w:jc w:val="center"/>
              <w:rPr>
                <w:b/>
                <w:bCs/>
              </w:rPr>
            </w:pPr>
            <w:r>
              <w:rPr>
                <w:color w:val="000000"/>
              </w:rPr>
              <w:t>0.07</w:t>
            </w:r>
          </w:p>
        </w:tc>
        <w:tc>
          <w:tcPr>
            <w:tcW w:w="983" w:type="dxa"/>
            <w:vAlign w:val="bottom"/>
          </w:tcPr>
          <w:p w14:paraId="1F8E4380" w14:textId="77777777" w:rsidR="00871E1B" w:rsidRDefault="00871E1B" w:rsidP="00A26A46">
            <w:pPr>
              <w:jc w:val="center"/>
              <w:rPr>
                <w:color w:val="000000"/>
              </w:rPr>
            </w:pPr>
            <w:r>
              <w:rPr>
                <w:rFonts w:ascii="Calibri" w:hAnsi="Calibri" w:cs="Calibri"/>
                <w:color w:val="000000"/>
              </w:rPr>
              <w:t>3</w:t>
            </w:r>
          </w:p>
        </w:tc>
        <w:tc>
          <w:tcPr>
            <w:tcW w:w="1428" w:type="dxa"/>
            <w:vAlign w:val="center"/>
          </w:tcPr>
          <w:p w14:paraId="2FC058BF" w14:textId="77777777" w:rsidR="00871E1B" w:rsidRDefault="00871E1B" w:rsidP="00A26A46">
            <w:pPr>
              <w:jc w:val="center"/>
              <w:rPr>
                <w:b/>
                <w:bCs/>
              </w:rPr>
            </w:pPr>
            <w:r>
              <w:rPr>
                <w:color w:val="000000"/>
              </w:rPr>
              <w:t>0.03</w:t>
            </w:r>
          </w:p>
        </w:tc>
        <w:tc>
          <w:tcPr>
            <w:tcW w:w="1097" w:type="dxa"/>
            <w:vAlign w:val="bottom"/>
          </w:tcPr>
          <w:p w14:paraId="011969AA" w14:textId="77777777" w:rsidR="00871E1B" w:rsidRDefault="00871E1B" w:rsidP="00A26A46">
            <w:pPr>
              <w:jc w:val="center"/>
              <w:rPr>
                <w:color w:val="000000"/>
              </w:rPr>
            </w:pPr>
            <w:r>
              <w:rPr>
                <w:rFonts w:ascii="Calibri" w:hAnsi="Calibri" w:cs="Calibri"/>
                <w:color w:val="000000"/>
              </w:rPr>
              <w:t>3</w:t>
            </w:r>
          </w:p>
        </w:tc>
        <w:tc>
          <w:tcPr>
            <w:tcW w:w="1415" w:type="dxa"/>
            <w:vAlign w:val="center"/>
          </w:tcPr>
          <w:p w14:paraId="46F73CCE" w14:textId="77777777" w:rsidR="00871E1B" w:rsidRDefault="00871E1B" w:rsidP="00A26A46">
            <w:pPr>
              <w:jc w:val="center"/>
              <w:rPr>
                <w:b/>
                <w:bCs/>
              </w:rPr>
            </w:pPr>
            <w:r>
              <w:rPr>
                <w:color w:val="000000"/>
              </w:rPr>
              <w:t>0.06</w:t>
            </w:r>
          </w:p>
        </w:tc>
        <w:tc>
          <w:tcPr>
            <w:tcW w:w="1239" w:type="dxa"/>
            <w:vAlign w:val="bottom"/>
          </w:tcPr>
          <w:p w14:paraId="15E47E76" w14:textId="77777777" w:rsidR="00871E1B" w:rsidRDefault="00871E1B" w:rsidP="00A26A46">
            <w:pPr>
              <w:jc w:val="center"/>
              <w:rPr>
                <w:color w:val="000000"/>
              </w:rPr>
            </w:pPr>
            <w:r>
              <w:rPr>
                <w:rFonts w:ascii="Calibri" w:hAnsi="Calibri" w:cs="Calibri"/>
                <w:color w:val="000000"/>
              </w:rPr>
              <w:t>2</w:t>
            </w:r>
          </w:p>
        </w:tc>
      </w:tr>
      <w:tr w:rsidR="00871E1B" w14:paraId="31FFA110" w14:textId="77777777" w:rsidTr="00A26A46">
        <w:tc>
          <w:tcPr>
            <w:tcW w:w="1801" w:type="dxa"/>
            <w:vAlign w:val="center"/>
          </w:tcPr>
          <w:p w14:paraId="5B2AE8FE" w14:textId="77777777" w:rsidR="00871E1B" w:rsidRDefault="00871E1B" w:rsidP="00A26A46">
            <w:pPr>
              <w:jc w:val="center"/>
              <w:rPr>
                <w:b/>
                <w:bCs/>
              </w:rPr>
            </w:pPr>
            <w:r>
              <w:rPr>
                <w:b/>
                <w:bCs/>
                <w:color w:val="000000"/>
              </w:rPr>
              <w:t>PHPMF1</w:t>
            </w:r>
          </w:p>
        </w:tc>
        <w:tc>
          <w:tcPr>
            <w:tcW w:w="1387" w:type="dxa"/>
            <w:vAlign w:val="center"/>
          </w:tcPr>
          <w:p w14:paraId="18394380" w14:textId="77777777" w:rsidR="00871E1B" w:rsidRDefault="00871E1B" w:rsidP="00A26A46">
            <w:pPr>
              <w:jc w:val="center"/>
              <w:rPr>
                <w:b/>
                <w:bCs/>
              </w:rPr>
            </w:pPr>
            <w:r>
              <w:rPr>
                <w:color w:val="000000"/>
              </w:rPr>
              <w:t>-0.32</w:t>
            </w:r>
          </w:p>
        </w:tc>
        <w:tc>
          <w:tcPr>
            <w:tcW w:w="983" w:type="dxa"/>
            <w:vAlign w:val="bottom"/>
          </w:tcPr>
          <w:p w14:paraId="67DF3634" w14:textId="77777777" w:rsidR="00871E1B" w:rsidRDefault="00871E1B" w:rsidP="00A26A46">
            <w:pPr>
              <w:jc w:val="center"/>
              <w:rPr>
                <w:color w:val="000000"/>
              </w:rPr>
            </w:pPr>
            <w:r>
              <w:rPr>
                <w:rFonts w:ascii="Calibri" w:hAnsi="Calibri" w:cs="Calibri"/>
                <w:color w:val="000000"/>
              </w:rPr>
              <w:t>14</w:t>
            </w:r>
          </w:p>
        </w:tc>
        <w:tc>
          <w:tcPr>
            <w:tcW w:w="1428" w:type="dxa"/>
            <w:vAlign w:val="center"/>
          </w:tcPr>
          <w:p w14:paraId="792F4546" w14:textId="77777777" w:rsidR="00871E1B" w:rsidRDefault="00871E1B" w:rsidP="00A26A46">
            <w:pPr>
              <w:jc w:val="center"/>
              <w:rPr>
                <w:b/>
                <w:bCs/>
              </w:rPr>
            </w:pPr>
            <w:r>
              <w:rPr>
                <w:color w:val="000000"/>
              </w:rPr>
              <w:t>-0.12</w:t>
            </w:r>
          </w:p>
        </w:tc>
        <w:tc>
          <w:tcPr>
            <w:tcW w:w="1097" w:type="dxa"/>
            <w:vAlign w:val="bottom"/>
          </w:tcPr>
          <w:p w14:paraId="25818D36" w14:textId="77777777" w:rsidR="00871E1B" w:rsidRDefault="00871E1B" w:rsidP="00A26A46">
            <w:pPr>
              <w:jc w:val="center"/>
              <w:rPr>
                <w:color w:val="000000"/>
              </w:rPr>
            </w:pPr>
            <w:r>
              <w:rPr>
                <w:rFonts w:ascii="Calibri" w:hAnsi="Calibri" w:cs="Calibri"/>
                <w:color w:val="000000"/>
              </w:rPr>
              <w:t>15</w:t>
            </w:r>
          </w:p>
        </w:tc>
        <w:tc>
          <w:tcPr>
            <w:tcW w:w="1415" w:type="dxa"/>
            <w:vAlign w:val="center"/>
          </w:tcPr>
          <w:p w14:paraId="761310FA" w14:textId="77777777" w:rsidR="00871E1B" w:rsidRDefault="00871E1B" w:rsidP="00A26A46">
            <w:pPr>
              <w:jc w:val="center"/>
              <w:rPr>
                <w:b/>
                <w:bCs/>
              </w:rPr>
            </w:pPr>
            <w:r>
              <w:rPr>
                <w:color w:val="000000"/>
              </w:rPr>
              <w:t>-0.05</w:t>
            </w:r>
          </w:p>
        </w:tc>
        <w:tc>
          <w:tcPr>
            <w:tcW w:w="1239" w:type="dxa"/>
            <w:vAlign w:val="bottom"/>
          </w:tcPr>
          <w:p w14:paraId="547F4825" w14:textId="77777777" w:rsidR="00871E1B" w:rsidRDefault="00871E1B" w:rsidP="00A26A46">
            <w:pPr>
              <w:jc w:val="center"/>
              <w:rPr>
                <w:color w:val="000000"/>
              </w:rPr>
            </w:pPr>
            <w:r>
              <w:rPr>
                <w:rFonts w:ascii="Calibri" w:hAnsi="Calibri" w:cs="Calibri"/>
                <w:color w:val="000000"/>
              </w:rPr>
              <w:t>15</w:t>
            </w:r>
          </w:p>
        </w:tc>
      </w:tr>
      <w:tr w:rsidR="00871E1B" w14:paraId="74CC5954" w14:textId="77777777" w:rsidTr="00A26A46">
        <w:tc>
          <w:tcPr>
            <w:tcW w:w="1801" w:type="dxa"/>
            <w:vAlign w:val="center"/>
          </w:tcPr>
          <w:p w14:paraId="36D2B2B0" w14:textId="77777777" w:rsidR="00871E1B" w:rsidRDefault="00871E1B" w:rsidP="00A26A46">
            <w:pPr>
              <w:jc w:val="center"/>
              <w:rPr>
                <w:b/>
                <w:bCs/>
              </w:rPr>
            </w:pPr>
            <w:r>
              <w:rPr>
                <w:b/>
                <w:bCs/>
                <w:color w:val="000000"/>
              </w:rPr>
              <w:t>POPULAR1MF</w:t>
            </w:r>
          </w:p>
        </w:tc>
        <w:tc>
          <w:tcPr>
            <w:tcW w:w="1387" w:type="dxa"/>
            <w:vAlign w:val="center"/>
          </w:tcPr>
          <w:p w14:paraId="4C1DD58A" w14:textId="77777777" w:rsidR="00871E1B" w:rsidRDefault="00871E1B" w:rsidP="00A26A46">
            <w:pPr>
              <w:jc w:val="center"/>
              <w:rPr>
                <w:b/>
                <w:bCs/>
              </w:rPr>
            </w:pPr>
            <w:r>
              <w:rPr>
                <w:color w:val="000000"/>
              </w:rPr>
              <w:t>-0.40</w:t>
            </w:r>
          </w:p>
        </w:tc>
        <w:tc>
          <w:tcPr>
            <w:tcW w:w="983" w:type="dxa"/>
            <w:vAlign w:val="bottom"/>
          </w:tcPr>
          <w:p w14:paraId="2F95F38A" w14:textId="77777777" w:rsidR="00871E1B" w:rsidRDefault="00871E1B" w:rsidP="00A26A46">
            <w:pPr>
              <w:jc w:val="center"/>
              <w:rPr>
                <w:color w:val="000000"/>
              </w:rPr>
            </w:pPr>
            <w:r>
              <w:rPr>
                <w:rFonts w:ascii="Calibri" w:hAnsi="Calibri" w:cs="Calibri"/>
                <w:color w:val="000000"/>
              </w:rPr>
              <w:t>20</w:t>
            </w:r>
          </w:p>
        </w:tc>
        <w:tc>
          <w:tcPr>
            <w:tcW w:w="1428" w:type="dxa"/>
            <w:vAlign w:val="center"/>
          </w:tcPr>
          <w:p w14:paraId="26ACB7E5" w14:textId="77777777" w:rsidR="00871E1B" w:rsidRDefault="00871E1B" w:rsidP="00A26A46">
            <w:pPr>
              <w:jc w:val="center"/>
              <w:rPr>
                <w:b/>
                <w:bCs/>
              </w:rPr>
            </w:pPr>
            <w:r>
              <w:rPr>
                <w:color w:val="000000"/>
              </w:rPr>
              <w:t>-0.13</w:t>
            </w:r>
          </w:p>
        </w:tc>
        <w:tc>
          <w:tcPr>
            <w:tcW w:w="1097" w:type="dxa"/>
            <w:vAlign w:val="bottom"/>
          </w:tcPr>
          <w:p w14:paraId="4B179FF6" w14:textId="77777777" w:rsidR="00871E1B" w:rsidRDefault="00871E1B" w:rsidP="00A26A46">
            <w:pPr>
              <w:jc w:val="center"/>
              <w:rPr>
                <w:color w:val="000000"/>
              </w:rPr>
            </w:pPr>
            <w:r>
              <w:rPr>
                <w:rFonts w:ascii="Calibri" w:hAnsi="Calibri" w:cs="Calibri"/>
                <w:color w:val="000000"/>
              </w:rPr>
              <w:t>17</w:t>
            </w:r>
          </w:p>
        </w:tc>
        <w:tc>
          <w:tcPr>
            <w:tcW w:w="1415" w:type="dxa"/>
            <w:vAlign w:val="center"/>
          </w:tcPr>
          <w:p w14:paraId="64607D0D" w14:textId="77777777" w:rsidR="00871E1B" w:rsidRDefault="00871E1B" w:rsidP="00A26A46">
            <w:pPr>
              <w:jc w:val="center"/>
              <w:rPr>
                <w:b/>
                <w:bCs/>
              </w:rPr>
            </w:pPr>
            <w:r>
              <w:rPr>
                <w:color w:val="000000"/>
              </w:rPr>
              <w:t>-0.06</w:t>
            </w:r>
          </w:p>
        </w:tc>
        <w:tc>
          <w:tcPr>
            <w:tcW w:w="1239" w:type="dxa"/>
            <w:vAlign w:val="bottom"/>
          </w:tcPr>
          <w:p w14:paraId="64AA5002" w14:textId="77777777" w:rsidR="00871E1B" w:rsidRDefault="00871E1B" w:rsidP="00A26A46">
            <w:pPr>
              <w:jc w:val="center"/>
              <w:rPr>
                <w:color w:val="000000"/>
              </w:rPr>
            </w:pPr>
            <w:r>
              <w:rPr>
                <w:rFonts w:ascii="Calibri" w:hAnsi="Calibri" w:cs="Calibri"/>
                <w:color w:val="000000"/>
              </w:rPr>
              <w:t>20</w:t>
            </w:r>
          </w:p>
        </w:tc>
      </w:tr>
      <w:tr w:rsidR="00871E1B" w14:paraId="5676701E" w14:textId="77777777" w:rsidTr="00A26A46">
        <w:tc>
          <w:tcPr>
            <w:tcW w:w="1801" w:type="dxa"/>
            <w:vAlign w:val="center"/>
          </w:tcPr>
          <w:p w14:paraId="5E8BEE57" w14:textId="77777777" w:rsidR="00871E1B" w:rsidRDefault="00871E1B" w:rsidP="00A26A46">
            <w:pPr>
              <w:jc w:val="center"/>
              <w:rPr>
                <w:b/>
                <w:bCs/>
              </w:rPr>
            </w:pPr>
            <w:r>
              <w:rPr>
                <w:b/>
                <w:bCs/>
                <w:color w:val="000000"/>
              </w:rPr>
              <w:t>PRIME1ICBA</w:t>
            </w:r>
          </w:p>
        </w:tc>
        <w:tc>
          <w:tcPr>
            <w:tcW w:w="1387" w:type="dxa"/>
            <w:vAlign w:val="center"/>
          </w:tcPr>
          <w:p w14:paraId="39435F24" w14:textId="77777777" w:rsidR="00871E1B" w:rsidRDefault="00871E1B" w:rsidP="00A26A46">
            <w:pPr>
              <w:jc w:val="center"/>
              <w:rPr>
                <w:b/>
                <w:bCs/>
              </w:rPr>
            </w:pPr>
            <w:r>
              <w:rPr>
                <w:color w:val="000000"/>
              </w:rPr>
              <w:t>-0.05</w:t>
            </w:r>
          </w:p>
        </w:tc>
        <w:tc>
          <w:tcPr>
            <w:tcW w:w="983" w:type="dxa"/>
            <w:vAlign w:val="bottom"/>
          </w:tcPr>
          <w:p w14:paraId="68A5B241" w14:textId="77777777" w:rsidR="00871E1B" w:rsidRDefault="00871E1B" w:rsidP="00A26A46">
            <w:pPr>
              <w:jc w:val="center"/>
              <w:rPr>
                <w:color w:val="000000"/>
              </w:rPr>
            </w:pPr>
            <w:r>
              <w:rPr>
                <w:rFonts w:ascii="Calibri" w:hAnsi="Calibri" w:cs="Calibri"/>
                <w:color w:val="000000"/>
              </w:rPr>
              <w:t>4</w:t>
            </w:r>
          </w:p>
        </w:tc>
        <w:tc>
          <w:tcPr>
            <w:tcW w:w="1428" w:type="dxa"/>
            <w:vAlign w:val="center"/>
          </w:tcPr>
          <w:p w14:paraId="37B46113" w14:textId="77777777" w:rsidR="00871E1B" w:rsidRDefault="00871E1B" w:rsidP="00A26A46">
            <w:pPr>
              <w:jc w:val="center"/>
              <w:rPr>
                <w:b/>
                <w:bCs/>
              </w:rPr>
            </w:pPr>
            <w:r>
              <w:rPr>
                <w:color w:val="000000"/>
              </w:rPr>
              <w:t>-0.02</w:t>
            </w:r>
          </w:p>
        </w:tc>
        <w:tc>
          <w:tcPr>
            <w:tcW w:w="1097" w:type="dxa"/>
            <w:vAlign w:val="bottom"/>
          </w:tcPr>
          <w:p w14:paraId="1DFCDA3D" w14:textId="77777777" w:rsidR="00871E1B" w:rsidRDefault="00871E1B" w:rsidP="00A26A46">
            <w:pPr>
              <w:jc w:val="center"/>
              <w:rPr>
                <w:color w:val="000000"/>
              </w:rPr>
            </w:pPr>
            <w:r>
              <w:rPr>
                <w:rFonts w:ascii="Calibri" w:hAnsi="Calibri" w:cs="Calibri"/>
                <w:color w:val="000000"/>
              </w:rPr>
              <w:t>4</w:t>
            </w:r>
          </w:p>
        </w:tc>
        <w:tc>
          <w:tcPr>
            <w:tcW w:w="1415" w:type="dxa"/>
            <w:vAlign w:val="center"/>
          </w:tcPr>
          <w:p w14:paraId="084D22D1" w14:textId="77777777" w:rsidR="00871E1B" w:rsidRDefault="00871E1B" w:rsidP="00A26A46">
            <w:pPr>
              <w:jc w:val="center"/>
              <w:rPr>
                <w:b/>
                <w:bCs/>
              </w:rPr>
            </w:pPr>
            <w:r>
              <w:rPr>
                <w:color w:val="000000"/>
              </w:rPr>
              <w:t>0.03</w:t>
            </w:r>
          </w:p>
        </w:tc>
        <w:tc>
          <w:tcPr>
            <w:tcW w:w="1239" w:type="dxa"/>
            <w:vAlign w:val="bottom"/>
          </w:tcPr>
          <w:p w14:paraId="123D5870" w14:textId="77777777" w:rsidR="00871E1B" w:rsidRDefault="00871E1B" w:rsidP="00A26A46">
            <w:pPr>
              <w:jc w:val="center"/>
              <w:rPr>
                <w:color w:val="000000"/>
              </w:rPr>
            </w:pPr>
            <w:r>
              <w:rPr>
                <w:rFonts w:ascii="Calibri" w:hAnsi="Calibri" w:cs="Calibri"/>
                <w:color w:val="000000"/>
              </w:rPr>
              <w:t>4</w:t>
            </w:r>
          </w:p>
        </w:tc>
      </w:tr>
      <w:tr w:rsidR="00871E1B" w14:paraId="158EC9C2" w14:textId="77777777" w:rsidTr="00A26A46">
        <w:tc>
          <w:tcPr>
            <w:tcW w:w="1801" w:type="dxa"/>
            <w:vAlign w:val="center"/>
          </w:tcPr>
          <w:p w14:paraId="18B807EA" w14:textId="77777777" w:rsidR="00871E1B" w:rsidRDefault="00871E1B" w:rsidP="00A26A46">
            <w:pPr>
              <w:jc w:val="center"/>
              <w:rPr>
                <w:b/>
                <w:bCs/>
                <w:color w:val="000000"/>
              </w:rPr>
            </w:pPr>
            <w:r>
              <w:rPr>
                <w:b/>
                <w:bCs/>
                <w:color w:val="000000"/>
              </w:rPr>
              <w:t>RELIANCE1 </w:t>
            </w:r>
          </w:p>
        </w:tc>
        <w:tc>
          <w:tcPr>
            <w:tcW w:w="1387" w:type="dxa"/>
            <w:vAlign w:val="center"/>
          </w:tcPr>
          <w:p w14:paraId="67146DC1" w14:textId="77777777" w:rsidR="00871E1B" w:rsidRDefault="00871E1B" w:rsidP="00A26A46">
            <w:pPr>
              <w:jc w:val="center"/>
              <w:rPr>
                <w:b/>
                <w:bCs/>
              </w:rPr>
            </w:pPr>
            <w:r>
              <w:rPr>
                <w:color w:val="000000"/>
              </w:rPr>
              <w:t>0.14</w:t>
            </w:r>
          </w:p>
        </w:tc>
        <w:tc>
          <w:tcPr>
            <w:tcW w:w="983" w:type="dxa"/>
            <w:vAlign w:val="bottom"/>
          </w:tcPr>
          <w:p w14:paraId="15C36579" w14:textId="77777777" w:rsidR="00871E1B" w:rsidRDefault="00871E1B" w:rsidP="00A26A46">
            <w:pPr>
              <w:jc w:val="center"/>
              <w:rPr>
                <w:color w:val="000000"/>
              </w:rPr>
            </w:pPr>
            <w:r>
              <w:rPr>
                <w:rFonts w:ascii="Calibri" w:hAnsi="Calibri" w:cs="Calibri"/>
                <w:color w:val="000000"/>
              </w:rPr>
              <w:t>2</w:t>
            </w:r>
          </w:p>
        </w:tc>
        <w:tc>
          <w:tcPr>
            <w:tcW w:w="1428" w:type="dxa"/>
            <w:vAlign w:val="center"/>
          </w:tcPr>
          <w:p w14:paraId="04189D11" w14:textId="77777777" w:rsidR="00871E1B" w:rsidRDefault="00871E1B" w:rsidP="00A26A46">
            <w:pPr>
              <w:jc w:val="center"/>
              <w:rPr>
                <w:b/>
                <w:bCs/>
              </w:rPr>
            </w:pPr>
            <w:bookmarkStart w:id="1" w:name="_Hlk179697564"/>
            <w:r>
              <w:rPr>
                <w:color w:val="000000"/>
              </w:rPr>
              <w:t>0.08</w:t>
            </w:r>
            <w:bookmarkEnd w:id="1"/>
          </w:p>
        </w:tc>
        <w:tc>
          <w:tcPr>
            <w:tcW w:w="1097" w:type="dxa"/>
            <w:vAlign w:val="bottom"/>
          </w:tcPr>
          <w:p w14:paraId="3F4E3AF1" w14:textId="77777777" w:rsidR="00871E1B" w:rsidRDefault="00871E1B" w:rsidP="00A26A46">
            <w:pPr>
              <w:jc w:val="center"/>
              <w:rPr>
                <w:color w:val="000000"/>
              </w:rPr>
            </w:pPr>
            <w:r>
              <w:rPr>
                <w:rFonts w:ascii="Calibri" w:hAnsi="Calibri" w:cs="Calibri"/>
                <w:color w:val="000000"/>
              </w:rPr>
              <w:t>2</w:t>
            </w:r>
          </w:p>
        </w:tc>
        <w:tc>
          <w:tcPr>
            <w:tcW w:w="1415" w:type="dxa"/>
            <w:vAlign w:val="center"/>
          </w:tcPr>
          <w:p w14:paraId="3737F802" w14:textId="77777777" w:rsidR="00871E1B" w:rsidRDefault="00871E1B" w:rsidP="00A26A46">
            <w:pPr>
              <w:jc w:val="center"/>
              <w:rPr>
                <w:b/>
                <w:bCs/>
              </w:rPr>
            </w:pPr>
            <w:r>
              <w:rPr>
                <w:color w:val="000000"/>
              </w:rPr>
              <w:t>0.06</w:t>
            </w:r>
          </w:p>
        </w:tc>
        <w:tc>
          <w:tcPr>
            <w:tcW w:w="1239" w:type="dxa"/>
            <w:vAlign w:val="bottom"/>
          </w:tcPr>
          <w:p w14:paraId="79323100" w14:textId="77777777" w:rsidR="00871E1B" w:rsidRDefault="00871E1B" w:rsidP="00A26A46">
            <w:pPr>
              <w:jc w:val="center"/>
              <w:rPr>
                <w:color w:val="000000"/>
              </w:rPr>
            </w:pPr>
            <w:r>
              <w:rPr>
                <w:rFonts w:ascii="Calibri" w:hAnsi="Calibri" w:cs="Calibri"/>
                <w:color w:val="000000"/>
              </w:rPr>
              <w:t>3</w:t>
            </w:r>
          </w:p>
        </w:tc>
      </w:tr>
      <w:tr w:rsidR="00871E1B" w14:paraId="0E10EBB9" w14:textId="77777777" w:rsidTr="00A26A46">
        <w:tc>
          <w:tcPr>
            <w:tcW w:w="1801" w:type="dxa"/>
            <w:vAlign w:val="center"/>
          </w:tcPr>
          <w:p w14:paraId="21DEDB97" w14:textId="77777777" w:rsidR="00871E1B" w:rsidRDefault="00871E1B" w:rsidP="00A26A46">
            <w:pPr>
              <w:jc w:val="center"/>
              <w:rPr>
                <w:b/>
                <w:bCs/>
                <w:color w:val="000000"/>
              </w:rPr>
            </w:pPr>
            <w:r>
              <w:rPr>
                <w:b/>
                <w:bCs/>
                <w:color w:val="000000"/>
              </w:rPr>
              <w:t>TRUSTB1MF</w:t>
            </w:r>
          </w:p>
        </w:tc>
        <w:tc>
          <w:tcPr>
            <w:tcW w:w="1387" w:type="dxa"/>
            <w:vAlign w:val="center"/>
          </w:tcPr>
          <w:p w14:paraId="7D9AE799" w14:textId="77777777" w:rsidR="00871E1B" w:rsidRDefault="00871E1B" w:rsidP="00A26A46">
            <w:pPr>
              <w:jc w:val="center"/>
              <w:rPr>
                <w:b/>
                <w:bCs/>
              </w:rPr>
            </w:pPr>
            <w:r>
              <w:rPr>
                <w:color w:val="000000"/>
              </w:rPr>
              <w:t>-0.37</w:t>
            </w:r>
          </w:p>
        </w:tc>
        <w:tc>
          <w:tcPr>
            <w:tcW w:w="983" w:type="dxa"/>
            <w:vAlign w:val="bottom"/>
          </w:tcPr>
          <w:p w14:paraId="3AB3DE2E" w14:textId="77777777" w:rsidR="00871E1B" w:rsidRDefault="00871E1B" w:rsidP="00A26A46">
            <w:pPr>
              <w:jc w:val="center"/>
              <w:rPr>
                <w:color w:val="000000"/>
              </w:rPr>
            </w:pPr>
            <w:r>
              <w:rPr>
                <w:rFonts w:ascii="Calibri" w:hAnsi="Calibri" w:cs="Calibri"/>
                <w:color w:val="000000"/>
              </w:rPr>
              <w:t>18</w:t>
            </w:r>
          </w:p>
        </w:tc>
        <w:tc>
          <w:tcPr>
            <w:tcW w:w="1428" w:type="dxa"/>
            <w:vAlign w:val="center"/>
          </w:tcPr>
          <w:p w14:paraId="215F5F75" w14:textId="77777777" w:rsidR="00871E1B" w:rsidRDefault="00871E1B" w:rsidP="00A26A46">
            <w:pPr>
              <w:jc w:val="center"/>
              <w:rPr>
                <w:b/>
                <w:bCs/>
              </w:rPr>
            </w:pPr>
            <w:r>
              <w:rPr>
                <w:color w:val="000000"/>
              </w:rPr>
              <w:t>-0.13</w:t>
            </w:r>
          </w:p>
        </w:tc>
        <w:tc>
          <w:tcPr>
            <w:tcW w:w="1097" w:type="dxa"/>
            <w:vAlign w:val="bottom"/>
          </w:tcPr>
          <w:p w14:paraId="62DDCFB0" w14:textId="77777777" w:rsidR="00871E1B" w:rsidRDefault="00871E1B" w:rsidP="00A26A46">
            <w:pPr>
              <w:jc w:val="center"/>
              <w:rPr>
                <w:color w:val="000000"/>
              </w:rPr>
            </w:pPr>
            <w:r>
              <w:rPr>
                <w:rFonts w:ascii="Calibri" w:hAnsi="Calibri" w:cs="Calibri"/>
                <w:color w:val="000000"/>
              </w:rPr>
              <w:t>18</w:t>
            </w:r>
          </w:p>
        </w:tc>
        <w:tc>
          <w:tcPr>
            <w:tcW w:w="1415" w:type="dxa"/>
            <w:vAlign w:val="center"/>
          </w:tcPr>
          <w:p w14:paraId="72757803" w14:textId="77777777" w:rsidR="00871E1B" w:rsidRDefault="00871E1B" w:rsidP="00A26A46">
            <w:pPr>
              <w:jc w:val="center"/>
              <w:rPr>
                <w:b/>
                <w:bCs/>
              </w:rPr>
            </w:pPr>
            <w:r>
              <w:rPr>
                <w:color w:val="000000"/>
              </w:rPr>
              <w:t>-0.06</w:t>
            </w:r>
          </w:p>
        </w:tc>
        <w:tc>
          <w:tcPr>
            <w:tcW w:w="1239" w:type="dxa"/>
            <w:vAlign w:val="bottom"/>
          </w:tcPr>
          <w:p w14:paraId="1F8A0C91" w14:textId="77777777" w:rsidR="00871E1B" w:rsidRDefault="00871E1B" w:rsidP="00A26A46">
            <w:pPr>
              <w:jc w:val="center"/>
              <w:rPr>
                <w:color w:val="000000"/>
              </w:rPr>
            </w:pPr>
            <w:r>
              <w:rPr>
                <w:rFonts w:ascii="Calibri" w:hAnsi="Calibri" w:cs="Calibri"/>
                <w:color w:val="000000"/>
              </w:rPr>
              <w:t>19</w:t>
            </w:r>
          </w:p>
        </w:tc>
      </w:tr>
      <w:tr w:rsidR="00871E1B" w14:paraId="05DEAE7A" w14:textId="77777777" w:rsidTr="00A26A46">
        <w:tc>
          <w:tcPr>
            <w:tcW w:w="1801" w:type="dxa"/>
            <w:vAlign w:val="center"/>
          </w:tcPr>
          <w:p w14:paraId="3A2FD1E7" w14:textId="77777777" w:rsidR="00871E1B" w:rsidRDefault="00871E1B" w:rsidP="00A26A46">
            <w:pPr>
              <w:jc w:val="center"/>
              <w:rPr>
                <w:b/>
                <w:bCs/>
                <w:color w:val="000000"/>
              </w:rPr>
            </w:pPr>
            <w:r>
              <w:rPr>
                <w:b/>
                <w:bCs/>
                <w:color w:val="000000"/>
              </w:rPr>
              <w:t>Market</w:t>
            </w:r>
          </w:p>
        </w:tc>
        <w:tc>
          <w:tcPr>
            <w:tcW w:w="1387" w:type="dxa"/>
            <w:vAlign w:val="center"/>
          </w:tcPr>
          <w:p w14:paraId="57945F83" w14:textId="77777777" w:rsidR="00871E1B" w:rsidRPr="00957E96" w:rsidRDefault="00871E1B" w:rsidP="00A26A46">
            <w:pPr>
              <w:rPr>
                <w:rFonts w:ascii="Calibri" w:hAnsi="Calibri" w:cs="Calibri"/>
                <w:color w:val="000000"/>
              </w:rPr>
            </w:pPr>
            <w:r>
              <w:rPr>
                <w:rFonts w:ascii="Calibri" w:hAnsi="Calibri" w:cs="Calibri"/>
                <w:color w:val="000000"/>
              </w:rPr>
              <w:t xml:space="preserve">      -1.1876</w:t>
            </w:r>
          </w:p>
        </w:tc>
        <w:tc>
          <w:tcPr>
            <w:tcW w:w="983" w:type="dxa"/>
            <w:vAlign w:val="bottom"/>
          </w:tcPr>
          <w:p w14:paraId="72210133" w14:textId="77777777" w:rsidR="00871E1B" w:rsidRDefault="00871E1B" w:rsidP="00A26A46">
            <w:pPr>
              <w:jc w:val="center"/>
              <w:rPr>
                <w:rFonts w:ascii="Calibri" w:hAnsi="Calibri" w:cs="Calibri"/>
                <w:color w:val="000000"/>
              </w:rPr>
            </w:pPr>
          </w:p>
        </w:tc>
        <w:tc>
          <w:tcPr>
            <w:tcW w:w="1428" w:type="dxa"/>
            <w:vAlign w:val="center"/>
          </w:tcPr>
          <w:p w14:paraId="7737EED8" w14:textId="77777777" w:rsidR="00871E1B" w:rsidRPr="00957E96" w:rsidRDefault="00871E1B" w:rsidP="00A26A46">
            <w:pPr>
              <w:jc w:val="center"/>
              <w:rPr>
                <w:rFonts w:ascii="Calibri" w:hAnsi="Calibri" w:cs="Calibri"/>
                <w:color w:val="000000"/>
              </w:rPr>
            </w:pPr>
            <w:r>
              <w:rPr>
                <w:rFonts w:ascii="Calibri" w:hAnsi="Calibri" w:cs="Calibri"/>
                <w:color w:val="000000"/>
              </w:rPr>
              <w:t>-4.62</w:t>
            </w:r>
          </w:p>
        </w:tc>
        <w:tc>
          <w:tcPr>
            <w:tcW w:w="1097" w:type="dxa"/>
            <w:vAlign w:val="bottom"/>
          </w:tcPr>
          <w:p w14:paraId="37D2D545" w14:textId="77777777" w:rsidR="00871E1B" w:rsidRDefault="00871E1B" w:rsidP="00A26A46">
            <w:pPr>
              <w:jc w:val="center"/>
              <w:rPr>
                <w:rFonts w:ascii="Calibri" w:hAnsi="Calibri" w:cs="Calibri"/>
                <w:color w:val="000000"/>
              </w:rPr>
            </w:pPr>
          </w:p>
        </w:tc>
        <w:tc>
          <w:tcPr>
            <w:tcW w:w="1415" w:type="dxa"/>
            <w:vAlign w:val="center"/>
          </w:tcPr>
          <w:p w14:paraId="2E4C9B33" w14:textId="77777777" w:rsidR="00871E1B" w:rsidRDefault="00871E1B" w:rsidP="00A26A46">
            <w:pPr>
              <w:jc w:val="center"/>
              <w:rPr>
                <w:color w:val="000000"/>
              </w:rPr>
            </w:pPr>
          </w:p>
        </w:tc>
        <w:tc>
          <w:tcPr>
            <w:tcW w:w="1239" w:type="dxa"/>
            <w:vAlign w:val="bottom"/>
          </w:tcPr>
          <w:p w14:paraId="4BEAB2EB" w14:textId="77777777" w:rsidR="00871E1B" w:rsidRDefault="00871E1B" w:rsidP="00A26A46">
            <w:pPr>
              <w:jc w:val="center"/>
              <w:rPr>
                <w:rFonts w:ascii="Calibri" w:hAnsi="Calibri" w:cs="Calibri"/>
                <w:color w:val="000000"/>
              </w:rPr>
            </w:pPr>
          </w:p>
        </w:tc>
      </w:tr>
    </w:tbl>
    <w:p w14:paraId="4AD82E46" w14:textId="77777777" w:rsidR="00871E1B" w:rsidRPr="00325F90" w:rsidRDefault="00871E1B" w:rsidP="00871E1B">
      <w:pPr>
        <w:ind w:left="5760" w:firstLine="720"/>
        <w:jc w:val="both"/>
        <w:rPr>
          <w:rFonts w:ascii="Times New Roman" w:hAnsi="Times New Roman" w:cs="Times New Roman"/>
          <w:i/>
          <w:iCs/>
        </w:rPr>
      </w:pPr>
      <w:r w:rsidRPr="00325F90">
        <w:rPr>
          <w:rFonts w:ascii="Times New Roman" w:hAnsi="Times New Roman" w:cs="Times New Roman"/>
          <w:i/>
          <w:iCs/>
          <w:color w:val="000000"/>
          <w:kern w:val="0"/>
          <w:sz w:val="23"/>
          <w:szCs w:val="23"/>
        </w:rPr>
        <w:t xml:space="preserve">    </w:t>
      </w:r>
      <w:r w:rsidRPr="00325F90">
        <w:rPr>
          <w:rFonts w:ascii="Times New Roman" w:hAnsi="Times New Roman" w:cs="Times New Roman"/>
          <w:i/>
          <w:iCs/>
        </w:rPr>
        <w:t>Source: Authors calculation</w:t>
      </w:r>
    </w:p>
    <w:p w14:paraId="697506B6" w14:textId="77777777" w:rsidR="00A15E61" w:rsidRPr="00A15E61" w:rsidRDefault="00871E1B" w:rsidP="00A54CC1">
      <w:pPr>
        <w:spacing w:line="360" w:lineRule="auto"/>
        <w:jc w:val="both"/>
        <w:rPr>
          <w:rFonts w:ascii="Times New Roman" w:hAnsi="Times New Roman" w:cs="Times New Roman"/>
          <w:sz w:val="24"/>
          <w:szCs w:val="24"/>
        </w:rPr>
      </w:pPr>
      <w:r>
        <w:rPr>
          <w:b/>
          <w:bCs/>
        </w:rPr>
        <w:tab/>
      </w:r>
      <w:bookmarkStart w:id="2" w:name="_Hlk180390438"/>
      <w:r w:rsidR="00A15E61" w:rsidRPr="00A15E61">
        <w:rPr>
          <w:rFonts w:ascii="Times New Roman" w:hAnsi="Times New Roman" w:cs="Times New Roman"/>
          <w:sz w:val="24"/>
          <w:szCs w:val="24"/>
        </w:rPr>
        <w:t xml:space="preserve">Additionally, the Treynor Index and Sharpe ratio are computed to assess the 21 mutual funds' performance. The gains produced over the risk-free rate per unit of risk are known as the </w:t>
      </w:r>
      <w:r w:rsidR="00A15E61" w:rsidRPr="00A15E61">
        <w:rPr>
          <w:rFonts w:ascii="Times New Roman" w:hAnsi="Times New Roman" w:cs="Times New Roman"/>
          <w:sz w:val="24"/>
          <w:szCs w:val="24"/>
        </w:rPr>
        <w:lastRenderedPageBreak/>
        <w:t>Sharpe ratio. In this case, risk is assumed to equal the standard deviation of the fund. With the exception of two or three mutual funds, the majority of mutual funds have negative TREYNOR Index and SHARPE ratios.</w:t>
      </w:r>
    </w:p>
    <w:bookmarkEnd w:id="2"/>
    <w:p w14:paraId="3A8D4873" w14:textId="77777777" w:rsidR="00A15E61" w:rsidRPr="00A15E61" w:rsidRDefault="00A15E61" w:rsidP="00A54CC1">
      <w:pPr>
        <w:spacing w:line="360" w:lineRule="auto"/>
        <w:jc w:val="both"/>
        <w:rPr>
          <w:rFonts w:ascii="Times New Roman" w:hAnsi="Times New Roman" w:cs="Times New Roman"/>
          <w:sz w:val="24"/>
          <w:szCs w:val="24"/>
        </w:rPr>
      </w:pPr>
      <w:r w:rsidRPr="00A15E61">
        <w:rPr>
          <w:rFonts w:ascii="Times New Roman" w:hAnsi="Times New Roman" w:cs="Times New Roman"/>
          <w:sz w:val="24"/>
          <w:szCs w:val="24"/>
        </w:rPr>
        <w:t xml:space="preserve">The industry as a whole had poor performance, according to the Sharpe ratio. The 1STPRIMFMF fund outperformed all other mutual funds, with a Sharpe ratio of 0.20. ABB1STMF, on the other hand, had the lowest Sharpe ratio, at -0.46. RELIANCE1 and PF1STMF both exhibit positive Sharpe ratios of 0.14 and 0.07, respectively. Risk adjusted return, or excess return above risk-free rate per unit of systematic risk implies beta, is shown by the Treynor index. Different mutual fund schemes' Treynor indexes are displayed in Table 04 above. First, 1STPRIMFMF (0.10) has the highest Treynor index, followed by RELIANCE1 (0.08) and DBH1STMF (-0.15). </w:t>
      </w:r>
    </w:p>
    <w:p w14:paraId="01640D21" w14:textId="54B51CB5" w:rsidR="00A15E61" w:rsidRPr="00A15E61" w:rsidRDefault="00A15E61" w:rsidP="00A54CC1">
      <w:pPr>
        <w:spacing w:line="360" w:lineRule="auto"/>
        <w:jc w:val="both"/>
        <w:rPr>
          <w:rFonts w:ascii="Times New Roman" w:eastAsia="Times New Roman" w:hAnsi="Times New Roman" w:cs="Times New Roman"/>
          <w:color w:val="000000"/>
          <w:kern w:val="0"/>
          <w:sz w:val="24"/>
          <w:szCs w:val="24"/>
          <w14:ligatures w14:val="none"/>
        </w:rPr>
      </w:pPr>
      <w:r w:rsidRPr="00A15E61">
        <w:rPr>
          <w:rFonts w:ascii="Times New Roman" w:eastAsia="Times New Roman" w:hAnsi="Times New Roman" w:cs="Times New Roman"/>
          <w:color w:val="000000"/>
          <w:kern w:val="0"/>
          <w:sz w:val="24"/>
          <w:szCs w:val="24"/>
          <w14:ligatures w14:val="none"/>
        </w:rPr>
        <w:t>Despite being an exception to the Sharpe ratio, a greater Treynor ratio should be displayed by a higher Sharpe ratio showing scheme. A greater positive Treynor index value indicates superior performance, according to the Sharpe ratio.</w:t>
      </w:r>
      <w:r w:rsidR="00C96D6B">
        <w:rPr>
          <w:rFonts w:ascii="Times New Roman" w:eastAsia="Times New Roman" w:hAnsi="Times New Roman" w:cs="Times New Roman"/>
          <w:color w:val="000000"/>
          <w:kern w:val="0"/>
          <w:sz w:val="24"/>
          <w:szCs w:val="24"/>
          <w14:ligatures w14:val="none"/>
        </w:rPr>
        <w:t xml:space="preserve"> </w:t>
      </w:r>
      <w:r w:rsidRPr="00A15E61">
        <w:rPr>
          <w:rFonts w:ascii="Times New Roman" w:eastAsia="Times New Roman" w:hAnsi="Times New Roman" w:cs="Times New Roman"/>
          <w:color w:val="000000"/>
          <w:kern w:val="0"/>
          <w:sz w:val="24"/>
          <w:szCs w:val="24"/>
          <w14:ligatures w14:val="none"/>
        </w:rPr>
        <w:t>As you can see, the Jensen ratio indicated poor industry-wide performance. A positive alpha indicates that the portfolio has outperformed its benchmark, whereas a negative alpha indicates that it has not. The mutual fund that performed the best, 1STPRIMFMF, had a Jensen ratio of 0.15, while ABB1STMF had the lowest, with a Jensen ratio of -0.08.</w:t>
      </w:r>
      <w:r w:rsidR="00C71DFB">
        <w:rPr>
          <w:rFonts w:ascii="Times New Roman" w:eastAsia="Times New Roman" w:hAnsi="Times New Roman" w:cs="Times New Roman"/>
          <w:color w:val="000000"/>
          <w:kern w:val="0"/>
          <w:sz w:val="24"/>
          <w:szCs w:val="24"/>
          <w14:ligatures w14:val="none"/>
        </w:rPr>
        <w:t xml:space="preserve"> </w:t>
      </w:r>
      <w:r w:rsidRPr="00A15E61">
        <w:rPr>
          <w:rFonts w:ascii="Times New Roman" w:eastAsia="Times New Roman" w:hAnsi="Times New Roman" w:cs="Times New Roman"/>
          <w:color w:val="000000"/>
          <w:kern w:val="0"/>
          <w:sz w:val="24"/>
          <w:szCs w:val="24"/>
          <w14:ligatures w14:val="none"/>
        </w:rPr>
        <w:t xml:space="preserve">PRIME1ICBA, PF1STMF, RELIANCE1, and 1STPRIMFMF all show positive Jensen ratio indexes, which denote subpar performance in comparison to market return. </w:t>
      </w:r>
    </w:p>
    <w:p w14:paraId="71B37E45" w14:textId="784236F3" w:rsidR="005F063B" w:rsidRPr="00267BB4" w:rsidRDefault="00A15E61" w:rsidP="00A54CC1">
      <w:pPr>
        <w:spacing w:line="360" w:lineRule="auto"/>
        <w:jc w:val="both"/>
        <w:rPr>
          <w:rFonts w:ascii="Times New Roman" w:eastAsia="Times New Roman" w:hAnsi="Times New Roman" w:cs="Times New Roman"/>
          <w:color w:val="000000"/>
          <w:kern w:val="0"/>
          <w:sz w:val="24"/>
          <w:szCs w:val="24"/>
          <w14:ligatures w14:val="none"/>
        </w:rPr>
      </w:pPr>
      <w:r w:rsidRPr="00A15E61">
        <w:rPr>
          <w:rFonts w:ascii="Times New Roman" w:eastAsia="Times New Roman" w:hAnsi="Times New Roman" w:cs="Times New Roman"/>
          <w:color w:val="000000"/>
          <w:kern w:val="0"/>
          <w:sz w:val="24"/>
          <w:szCs w:val="24"/>
          <w14:ligatures w14:val="none"/>
        </w:rPr>
        <w:t>This high number indicates the market's outstanding performance. Table 4's overall conclusion is that the majority of the funds have outperformed their passive benchmark. Furthermore, Table 4 shows that, on average, mutual funds in Bangladesh have performed better than the benchmark index during the study period.</w:t>
      </w:r>
    </w:p>
    <w:p w14:paraId="0E000778" w14:textId="77777777" w:rsidR="005F063B" w:rsidRPr="00773ED1" w:rsidRDefault="005F063B" w:rsidP="005F063B">
      <w:pPr>
        <w:ind w:left="1440" w:firstLine="720"/>
        <w:rPr>
          <w:rFonts w:ascii="Times New Roman" w:hAnsi="Times New Roman" w:cs="Times New Roman"/>
          <w:b/>
          <w:bCs/>
        </w:rPr>
      </w:pPr>
      <w:r w:rsidRPr="00773ED1">
        <w:rPr>
          <w:rFonts w:ascii="Times New Roman" w:hAnsi="Times New Roman" w:cs="Times New Roman"/>
          <w:b/>
          <w:bCs/>
        </w:rPr>
        <w:t>Table -5 Correlation of risk adjusted measures</w:t>
      </w:r>
    </w:p>
    <w:tbl>
      <w:tblPr>
        <w:tblStyle w:val="TableGrid"/>
        <w:tblW w:w="0" w:type="auto"/>
        <w:tblLook w:val="04A0" w:firstRow="1" w:lastRow="0" w:firstColumn="1" w:lastColumn="0" w:noHBand="0" w:noVBand="1"/>
      </w:tblPr>
      <w:tblGrid>
        <w:gridCol w:w="2063"/>
        <w:gridCol w:w="2344"/>
        <w:gridCol w:w="2281"/>
        <w:gridCol w:w="2446"/>
      </w:tblGrid>
      <w:tr w:rsidR="005F063B" w:rsidRPr="00A76738" w14:paraId="069DAC1D" w14:textId="77777777" w:rsidTr="00A26A46">
        <w:trPr>
          <w:trHeight w:val="310"/>
        </w:trPr>
        <w:tc>
          <w:tcPr>
            <w:tcW w:w="2063" w:type="dxa"/>
            <w:noWrap/>
            <w:hideMark/>
          </w:tcPr>
          <w:p w14:paraId="322B3760" w14:textId="77777777" w:rsidR="005F063B" w:rsidRPr="00A76738" w:rsidRDefault="005F063B" w:rsidP="00A26A46">
            <w:pPr>
              <w:rPr>
                <w:b/>
                <w:bCs/>
                <w:i/>
                <w:iCs/>
              </w:rPr>
            </w:pPr>
            <w:r w:rsidRPr="00A76738">
              <w:rPr>
                <w:b/>
                <w:bCs/>
                <w:i/>
                <w:iCs/>
              </w:rPr>
              <w:t> </w:t>
            </w:r>
          </w:p>
        </w:tc>
        <w:tc>
          <w:tcPr>
            <w:tcW w:w="2344" w:type="dxa"/>
            <w:noWrap/>
            <w:hideMark/>
          </w:tcPr>
          <w:p w14:paraId="3EF81ADE" w14:textId="77777777" w:rsidR="005F063B" w:rsidRPr="00325F90" w:rsidRDefault="005F063B" w:rsidP="00A26A46">
            <w:pPr>
              <w:rPr>
                <w:rFonts w:ascii="Times New Roman" w:hAnsi="Times New Roman" w:cs="Times New Roman"/>
                <w:b/>
                <w:bCs/>
                <w:i/>
                <w:iCs/>
              </w:rPr>
            </w:pPr>
            <w:r w:rsidRPr="00325F90">
              <w:rPr>
                <w:rFonts w:ascii="Times New Roman" w:hAnsi="Times New Roman" w:cs="Times New Roman"/>
                <w:b/>
                <w:bCs/>
                <w:i/>
                <w:iCs/>
              </w:rPr>
              <w:t>Sharpe Ratio</w:t>
            </w:r>
          </w:p>
        </w:tc>
        <w:tc>
          <w:tcPr>
            <w:tcW w:w="2281" w:type="dxa"/>
            <w:noWrap/>
            <w:hideMark/>
          </w:tcPr>
          <w:p w14:paraId="4F2B8AF1" w14:textId="77777777" w:rsidR="005F063B" w:rsidRPr="00325F90" w:rsidRDefault="005F063B" w:rsidP="00A26A46">
            <w:pPr>
              <w:rPr>
                <w:rFonts w:ascii="Times New Roman" w:hAnsi="Times New Roman" w:cs="Times New Roman"/>
                <w:b/>
                <w:bCs/>
                <w:i/>
                <w:iCs/>
              </w:rPr>
            </w:pPr>
            <w:r w:rsidRPr="00325F90">
              <w:rPr>
                <w:rFonts w:ascii="Times New Roman" w:hAnsi="Times New Roman" w:cs="Times New Roman"/>
                <w:b/>
                <w:bCs/>
                <w:i/>
                <w:iCs/>
              </w:rPr>
              <w:t>Treynor Ratio</w:t>
            </w:r>
          </w:p>
        </w:tc>
        <w:tc>
          <w:tcPr>
            <w:tcW w:w="2446" w:type="dxa"/>
            <w:noWrap/>
            <w:hideMark/>
          </w:tcPr>
          <w:p w14:paraId="547E26A7" w14:textId="77777777" w:rsidR="005F063B" w:rsidRPr="00325F90" w:rsidRDefault="005F063B" w:rsidP="00A26A46">
            <w:pPr>
              <w:rPr>
                <w:rFonts w:ascii="Times New Roman" w:hAnsi="Times New Roman" w:cs="Times New Roman"/>
                <w:b/>
                <w:bCs/>
                <w:i/>
                <w:iCs/>
              </w:rPr>
            </w:pPr>
            <w:r w:rsidRPr="00325F90">
              <w:rPr>
                <w:rFonts w:ascii="Times New Roman" w:hAnsi="Times New Roman" w:cs="Times New Roman"/>
                <w:b/>
                <w:bCs/>
                <w:i/>
                <w:iCs/>
              </w:rPr>
              <w:t>Jensen Ratio</w:t>
            </w:r>
          </w:p>
        </w:tc>
      </w:tr>
      <w:tr w:rsidR="005F063B" w:rsidRPr="00A76738" w14:paraId="5B119E59" w14:textId="77777777" w:rsidTr="00A26A46">
        <w:trPr>
          <w:trHeight w:val="310"/>
        </w:trPr>
        <w:tc>
          <w:tcPr>
            <w:tcW w:w="2063" w:type="dxa"/>
            <w:noWrap/>
            <w:hideMark/>
          </w:tcPr>
          <w:p w14:paraId="69E08709" w14:textId="77777777" w:rsidR="005F063B" w:rsidRPr="00325F90" w:rsidRDefault="005F063B" w:rsidP="00A26A46">
            <w:pPr>
              <w:rPr>
                <w:rFonts w:ascii="Times New Roman" w:hAnsi="Times New Roman" w:cs="Times New Roman"/>
                <w:b/>
                <w:bCs/>
              </w:rPr>
            </w:pPr>
            <w:r w:rsidRPr="00325F90">
              <w:rPr>
                <w:rFonts w:ascii="Times New Roman" w:hAnsi="Times New Roman" w:cs="Times New Roman"/>
                <w:b/>
                <w:bCs/>
              </w:rPr>
              <w:t>Sharpe Ratio</w:t>
            </w:r>
          </w:p>
        </w:tc>
        <w:tc>
          <w:tcPr>
            <w:tcW w:w="2344" w:type="dxa"/>
            <w:noWrap/>
            <w:hideMark/>
          </w:tcPr>
          <w:p w14:paraId="65A94E71" w14:textId="77777777" w:rsidR="005F063B" w:rsidRPr="00702530" w:rsidRDefault="005F063B" w:rsidP="00A26A46">
            <w:r w:rsidRPr="00702530">
              <w:t>1</w:t>
            </w:r>
          </w:p>
        </w:tc>
        <w:tc>
          <w:tcPr>
            <w:tcW w:w="2281" w:type="dxa"/>
            <w:noWrap/>
            <w:hideMark/>
          </w:tcPr>
          <w:p w14:paraId="2B332DA7" w14:textId="77777777" w:rsidR="005F063B" w:rsidRPr="00702530" w:rsidRDefault="005F063B" w:rsidP="00A26A46"/>
        </w:tc>
        <w:tc>
          <w:tcPr>
            <w:tcW w:w="2446" w:type="dxa"/>
            <w:noWrap/>
            <w:hideMark/>
          </w:tcPr>
          <w:p w14:paraId="656B2905" w14:textId="77777777" w:rsidR="005F063B" w:rsidRPr="00702530" w:rsidRDefault="005F063B" w:rsidP="00A26A46"/>
        </w:tc>
      </w:tr>
      <w:tr w:rsidR="005F063B" w:rsidRPr="00A76738" w14:paraId="64BA23F6" w14:textId="77777777" w:rsidTr="00A26A46">
        <w:trPr>
          <w:trHeight w:val="310"/>
        </w:trPr>
        <w:tc>
          <w:tcPr>
            <w:tcW w:w="2063" w:type="dxa"/>
            <w:noWrap/>
            <w:hideMark/>
          </w:tcPr>
          <w:p w14:paraId="4DF4ADFF" w14:textId="77777777" w:rsidR="005F063B" w:rsidRPr="00325F90" w:rsidRDefault="005F063B" w:rsidP="00A26A46">
            <w:pPr>
              <w:rPr>
                <w:rFonts w:ascii="Times New Roman" w:hAnsi="Times New Roman" w:cs="Times New Roman"/>
                <w:b/>
                <w:bCs/>
              </w:rPr>
            </w:pPr>
            <w:r w:rsidRPr="00325F90">
              <w:rPr>
                <w:rFonts w:ascii="Times New Roman" w:hAnsi="Times New Roman" w:cs="Times New Roman"/>
                <w:b/>
                <w:bCs/>
              </w:rPr>
              <w:t>Treynor Ratio</w:t>
            </w:r>
          </w:p>
        </w:tc>
        <w:tc>
          <w:tcPr>
            <w:tcW w:w="2344" w:type="dxa"/>
            <w:noWrap/>
            <w:hideMark/>
          </w:tcPr>
          <w:p w14:paraId="3EC3FE88" w14:textId="77777777" w:rsidR="005F063B" w:rsidRPr="00702530" w:rsidRDefault="005F063B" w:rsidP="00A26A46">
            <w:r w:rsidRPr="00702530">
              <w:t>0.965235057</w:t>
            </w:r>
          </w:p>
        </w:tc>
        <w:tc>
          <w:tcPr>
            <w:tcW w:w="2281" w:type="dxa"/>
            <w:noWrap/>
            <w:hideMark/>
          </w:tcPr>
          <w:p w14:paraId="00087AA8" w14:textId="77777777" w:rsidR="005F063B" w:rsidRPr="00702530" w:rsidRDefault="005F063B" w:rsidP="00A26A46">
            <w:r w:rsidRPr="00702530">
              <w:t>1</w:t>
            </w:r>
          </w:p>
        </w:tc>
        <w:tc>
          <w:tcPr>
            <w:tcW w:w="2446" w:type="dxa"/>
            <w:noWrap/>
            <w:hideMark/>
          </w:tcPr>
          <w:p w14:paraId="60562AF0" w14:textId="77777777" w:rsidR="005F063B" w:rsidRPr="00702530" w:rsidRDefault="005F063B" w:rsidP="00A26A46"/>
        </w:tc>
      </w:tr>
      <w:tr w:rsidR="005F063B" w:rsidRPr="00A76738" w14:paraId="19FAE493" w14:textId="77777777" w:rsidTr="00A26A46">
        <w:trPr>
          <w:trHeight w:val="321"/>
        </w:trPr>
        <w:tc>
          <w:tcPr>
            <w:tcW w:w="2063" w:type="dxa"/>
            <w:noWrap/>
            <w:hideMark/>
          </w:tcPr>
          <w:p w14:paraId="540275A0" w14:textId="77777777" w:rsidR="005F063B" w:rsidRPr="00325F90" w:rsidRDefault="005F063B" w:rsidP="00A26A46">
            <w:pPr>
              <w:rPr>
                <w:rFonts w:ascii="Times New Roman" w:hAnsi="Times New Roman" w:cs="Times New Roman"/>
                <w:b/>
                <w:bCs/>
              </w:rPr>
            </w:pPr>
            <w:r w:rsidRPr="00325F90">
              <w:rPr>
                <w:rFonts w:ascii="Times New Roman" w:hAnsi="Times New Roman" w:cs="Times New Roman"/>
                <w:b/>
                <w:bCs/>
              </w:rPr>
              <w:t>Jensen Ratio</w:t>
            </w:r>
          </w:p>
        </w:tc>
        <w:tc>
          <w:tcPr>
            <w:tcW w:w="2344" w:type="dxa"/>
            <w:noWrap/>
            <w:hideMark/>
          </w:tcPr>
          <w:p w14:paraId="7D674C1E" w14:textId="77777777" w:rsidR="005F063B" w:rsidRPr="00702530" w:rsidRDefault="005F063B" w:rsidP="00A26A46">
            <w:r w:rsidRPr="00702530">
              <w:t>0.95925423</w:t>
            </w:r>
          </w:p>
        </w:tc>
        <w:tc>
          <w:tcPr>
            <w:tcW w:w="2281" w:type="dxa"/>
            <w:noWrap/>
            <w:hideMark/>
          </w:tcPr>
          <w:p w14:paraId="7EE028A9" w14:textId="77777777" w:rsidR="005F063B" w:rsidRPr="00702530" w:rsidRDefault="005F063B" w:rsidP="00A26A46">
            <w:r w:rsidRPr="00702530">
              <w:t>0.969543268</w:t>
            </w:r>
          </w:p>
        </w:tc>
        <w:tc>
          <w:tcPr>
            <w:tcW w:w="2446" w:type="dxa"/>
            <w:noWrap/>
            <w:hideMark/>
          </w:tcPr>
          <w:p w14:paraId="7884CEB5" w14:textId="77777777" w:rsidR="005F063B" w:rsidRPr="00702530" w:rsidRDefault="005F063B" w:rsidP="00A26A46">
            <w:r w:rsidRPr="00702530">
              <w:t>1</w:t>
            </w:r>
          </w:p>
        </w:tc>
      </w:tr>
    </w:tbl>
    <w:p w14:paraId="491FA7C1" w14:textId="4952AEBC" w:rsidR="005F063B" w:rsidRPr="00325F90" w:rsidRDefault="005F063B" w:rsidP="005F063B">
      <w:pPr>
        <w:ind w:left="5040" w:firstLine="720"/>
        <w:jc w:val="both"/>
        <w:rPr>
          <w:rFonts w:ascii="Times New Roman" w:hAnsi="Times New Roman" w:cs="Times New Roman"/>
          <w:i/>
          <w:iCs/>
          <w:sz w:val="24"/>
          <w:szCs w:val="24"/>
        </w:rPr>
      </w:pPr>
      <w:r w:rsidRPr="00325F90">
        <w:rPr>
          <w:rFonts w:ascii="Times New Roman" w:hAnsi="Times New Roman" w:cs="Times New Roman"/>
          <w:i/>
          <w:iCs/>
          <w:color w:val="000000"/>
          <w:kern w:val="0"/>
          <w:sz w:val="24"/>
          <w:szCs w:val="24"/>
        </w:rPr>
        <w:t xml:space="preserve"> </w:t>
      </w:r>
      <w:r>
        <w:rPr>
          <w:rFonts w:ascii="Times New Roman" w:hAnsi="Times New Roman" w:cs="Times New Roman"/>
          <w:i/>
          <w:iCs/>
          <w:color w:val="000000"/>
          <w:kern w:val="0"/>
          <w:sz w:val="24"/>
          <w:szCs w:val="24"/>
        </w:rPr>
        <w:t xml:space="preserve">   </w:t>
      </w:r>
      <w:r w:rsidRPr="00325F90">
        <w:rPr>
          <w:rFonts w:ascii="Times New Roman" w:hAnsi="Times New Roman" w:cs="Times New Roman"/>
          <w:i/>
          <w:iCs/>
          <w:color w:val="000000"/>
          <w:kern w:val="0"/>
          <w:sz w:val="24"/>
          <w:szCs w:val="24"/>
        </w:rPr>
        <w:t xml:space="preserve">  </w:t>
      </w:r>
      <w:r w:rsidRPr="00325F90">
        <w:rPr>
          <w:rFonts w:ascii="Times New Roman" w:hAnsi="Times New Roman" w:cs="Times New Roman"/>
          <w:i/>
          <w:iCs/>
          <w:sz w:val="24"/>
          <w:szCs w:val="24"/>
        </w:rPr>
        <w:t>Source: Authors calculation</w:t>
      </w:r>
    </w:p>
    <w:p w14:paraId="5FD1B6A0" w14:textId="597DC9E5" w:rsidR="005F063B" w:rsidRDefault="00FC514C" w:rsidP="00A3245E">
      <w:pPr>
        <w:spacing w:line="360" w:lineRule="auto"/>
        <w:jc w:val="both"/>
        <w:rPr>
          <w:rFonts w:ascii="Times New Roman" w:hAnsi="Times New Roman" w:cs="Times New Roman"/>
          <w:sz w:val="24"/>
          <w:szCs w:val="24"/>
        </w:rPr>
      </w:pPr>
      <w:r w:rsidRPr="00FC514C">
        <w:rPr>
          <w:rFonts w:ascii="Times New Roman" w:hAnsi="Times New Roman" w:cs="Times New Roman"/>
          <w:sz w:val="24"/>
          <w:szCs w:val="24"/>
        </w:rPr>
        <w:t xml:space="preserve">Table 5 shows the association between each fund's findings from the three variables employed in this study. The results unequivocally show that the values in this table are highly positively </w:t>
      </w:r>
      <w:r w:rsidRPr="00FC514C">
        <w:rPr>
          <w:rFonts w:ascii="Times New Roman" w:hAnsi="Times New Roman" w:cs="Times New Roman"/>
          <w:sz w:val="24"/>
          <w:szCs w:val="24"/>
        </w:rPr>
        <w:lastRenderedPageBreak/>
        <w:t xml:space="preserve">connected. This implies that the study's findings align with those of Eling (2008), who claimed that the majority of risk-adjusted metrics show nearly identical fund rankings. </w:t>
      </w:r>
    </w:p>
    <w:p w14:paraId="43DD4F3C" w14:textId="77777777" w:rsidR="00A3245E" w:rsidRPr="00290EEE" w:rsidRDefault="005F063B" w:rsidP="00A54CC1">
      <w:pPr>
        <w:spacing w:line="360" w:lineRule="auto"/>
        <w:jc w:val="both"/>
        <w:rPr>
          <w:rFonts w:ascii="Times New Roman" w:hAnsi="Times New Roman" w:cs="Times New Roman"/>
          <w:b/>
          <w:bCs/>
          <w:sz w:val="28"/>
          <w:szCs w:val="28"/>
        </w:rPr>
      </w:pPr>
      <w:r w:rsidRPr="00290EEE">
        <w:rPr>
          <w:rFonts w:ascii="Times New Roman" w:hAnsi="Times New Roman" w:cs="Times New Roman"/>
          <w:b/>
          <w:bCs/>
          <w:sz w:val="28"/>
          <w:szCs w:val="28"/>
        </w:rPr>
        <w:t>Conclusion</w:t>
      </w:r>
    </w:p>
    <w:p w14:paraId="2D6F6738" w14:textId="0FA3D408" w:rsidR="005F063B" w:rsidRPr="008E5BCE" w:rsidRDefault="005F063B" w:rsidP="00090D94">
      <w:pPr>
        <w:spacing w:after="0" w:line="360" w:lineRule="auto"/>
        <w:jc w:val="both"/>
        <w:rPr>
          <w:rFonts w:ascii="Times New Roman" w:hAnsi="Times New Roman" w:cs="Times New Roman"/>
          <w:sz w:val="24"/>
          <w:szCs w:val="24"/>
        </w:rPr>
      </w:pPr>
      <w:r w:rsidRPr="008E5BCE">
        <w:rPr>
          <w:rFonts w:ascii="Times New Roman" w:hAnsi="Times New Roman" w:cs="Times New Roman"/>
          <w:sz w:val="24"/>
          <w:szCs w:val="24"/>
        </w:rPr>
        <w:t>Mutual funds have become a popular choice for portfolio diversification among individual investors. They can effectively address various investor needs; however, proper selection and ongoing monitoring are essential for success.</w:t>
      </w:r>
      <w:r w:rsidR="00667145">
        <w:rPr>
          <w:rFonts w:ascii="Times New Roman" w:hAnsi="Times New Roman" w:cs="Times New Roman"/>
          <w:sz w:val="24"/>
          <w:szCs w:val="24"/>
        </w:rPr>
        <w:t xml:space="preserve"> </w:t>
      </w:r>
      <w:r w:rsidRPr="008E5BCE">
        <w:rPr>
          <w:rFonts w:ascii="Times New Roman" w:hAnsi="Times New Roman" w:cs="Times New Roman"/>
          <w:sz w:val="24"/>
          <w:szCs w:val="24"/>
        </w:rPr>
        <w:t>This study examines the performance of 21 closed-end mutual funds over the period from July 2014 to June 2024. Monthly closing prices of the funds were used to calculate monthly returns, which were then compared to market returns. The performance of the selected funds was assessed using several metrics: the Sharpe ratio, Treynor ratio, Jensen’s Alpha,</w:t>
      </w:r>
      <w:r w:rsidR="00610DCD" w:rsidRPr="008E5BCE">
        <w:rPr>
          <w:sz w:val="24"/>
          <w:szCs w:val="24"/>
        </w:rPr>
        <w:t xml:space="preserve"> </w:t>
      </w:r>
      <w:r w:rsidR="00610DCD" w:rsidRPr="008E5BCE">
        <w:rPr>
          <w:rFonts w:ascii="Times New Roman" w:hAnsi="Times New Roman" w:cs="Times New Roman"/>
          <w:sz w:val="24"/>
          <w:szCs w:val="24"/>
        </w:rPr>
        <w:t>R-squared</w:t>
      </w:r>
      <w:r w:rsidRPr="008E5BCE">
        <w:rPr>
          <w:rFonts w:ascii="Times New Roman" w:hAnsi="Times New Roman" w:cs="Times New Roman"/>
          <w:sz w:val="24"/>
          <w:szCs w:val="24"/>
        </w:rPr>
        <w:t>, and Fama’s selectivity measure. The findings reveal that out of the 21 mutual funds analyzed,</w:t>
      </w:r>
      <w:r w:rsidR="00610DCD" w:rsidRPr="008E5BCE">
        <w:rPr>
          <w:rFonts w:ascii="Times New Roman" w:hAnsi="Times New Roman" w:cs="Times New Roman"/>
          <w:sz w:val="24"/>
          <w:szCs w:val="24"/>
        </w:rPr>
        <w:t xml:space="preserve"> only</w:t>
      </w:r>
      <w:r w:rsidRPr="008E5BCE">
        <w:rPr>
          <w:rFonts w:ascii="Times New Roman" w:hAnsi="Times New Roman" w:cs="Times New Roman"/>
          <w:sz w:val="24"/>
          <w:szCs w:val="24"/>
        </w:rPr>
        <w:t xml:space="preserve"> 7 (33.33%) outperformed </w:t>
      </w:r>
      <w:r w:rsidR="00610DCD" w:rsidRPr="008E5BCE">
        <w:rPr>
          <w:rFonts w:ascii="Times New Roman" w:hAnsi="Times New Roman" w:cs="Times New Roman"/>
          <w:sz w:val="24"/>
          <w:szCs w:val="24"/>
        </w:rPr>
        <w:t xml:space="preserve">than </w:t>
      </w:r>
      <w:r w:rsidRPr="008E5BCE">
        <w:rPr>
          <w:rFonts w:ascii="Times New Roman" w:hAnsi="Times New Roman" w:cs="Times New Roman"/>
          <w:sz w:val="24"/>
          <w:szCs w:val="24"/>
        </w:rPr>
        <w:t>the benchmark index, indicating they provided better returns than the DSEX, while 14 funds (66.67%) did not. Most funds exhibited a moderate relationship (R² ranging from 20%-40%), suggesting that their returns were not heavily dependent on systematic risk (βp). This indicates that managers were assuming a certain level of diversifiable (unsystematic) risk. Some funds, like AIBL1STIMF (2.90%), RELIANCE1 (8.06%), and 1PRIMFMF (8.79%), displayed low R² values, which point to high unique risk due to less diversification. Conversely, the GRAMEENS2 mutual fund had a high R² value of 33.84%, indicating low total and systematic risk thanks to its well-diversified portfolio. Similarly, ABB1STMF also showed a high R² value (24.45%) and low total risk (7.34%).</w:t>
      </w:r>
    </w:p>
    <w:p w14:paraId="33955ABF" w14:textId="0E366C1D" w:rsidR="000E1834" w:rsidRPr="00284498" w:rsidRDefault="005F063B" w:rsidP="00090D94">
      <w:pPr>
        <w:spacing w:after="0" w:line="360" w:lineRule="auto"/>
        <w:jc w:val="both"/>
        <w:rPr>
          <w:rFonts w:ascii="Times New Roman" w:hAnsi="Times New Roman" w:cs="Times New Roman"/>
          <w:sz w:val="24"/>
          <w:szCs w:val="24"/>
        </w:rPr>
      </w:pPr>
      <w:r w:rsidRPr="008E5BCE">
        <w:rPr>
          <w:rFonts w:ascii="Times New Roman" w:hAnsi="Times New Roman" w:cs="Times New Roman"/>
          <w:sz w:val="24"/>
          <w:szCs w:val="24"/>
        </w:rPr>
        <w:t>According to Fama’s decomposition measure, all funds recorded negative values, highlighting a lack of selectivity by fund managers. This suggests that the funds did not benefit from professional management, as many managers failed to identify and select undervalued securities to achieve higher returns. Consequently, it appears that the diversifiable risks taken by fund managers were not compensated by additional returns. The analysis shows that most funds underperformed compared to the market based on the Sharpe ratio, with negative performance across the industry, except for 1STPRIMFMF, ABB1STMF, and RELIANCE1. The Treynor ratio identified 1STPRIMFMF, ABB1STMF, and DBH1STMF as the top performers. Meanwhile, 1STPRIMFMF, RELIANCE1, PF1STMF, and PRIME1ICBA indicated positive Jensen ratios, reflecting inferior performance against market returns. Overall, mutual funds in Bangladesh outperformed the benchmark index during the research period.</w:t>
      </w:r>
      <w:r w:rsidR="00667145">
        <w:rPr>
          <w:rFonts w:ascii="Times New Roman" w:hAnsi="Times New Roman" w:cs="Times New Roman"/>
          <w:sz w:val="24"/>
          <w:szCs w:val="24"/>
        </w:rPr>
        <w:t xml:space="preserve"> </w:t>
      </w:r>
      <w:r w:rsidR="001E1399" w:rsidRPr="008E5BCE">
        <w:rPr>
          <w:rFonts w:ascii="Times New Roman" w:hAnsi="Times New Roman" w:cs="Times New Roman"/>
          <w:sz w:val="24"/>
          <w:szCs w:val="24"/>
        </w:rPr>
        <w:t xml:space="preserve">This study faces two primary limitations: a small </w:t>
      </w:r>
      <w:r w:rsidR="001E1399" w:rsidRPr="008E5BCE">
        <w:rPr>
          <w:rFonts w:ascii="Times New Roman" w:hAnsi="Times New Roman" w:cs="Times New Roman"/>
          <w:sz w:val="24"/>
          <w:szCs w:val="24"/>
        </w:rPr>
        <w:lastRenderedPageBreak/>
        <w:t>sample size and an exclusive focus on closed-end funds. Furthermore, a deeper analysis of the portfolio compositions of the mutual funds, along with an examination of the backgrounds of fund managers and asset management companies, could yield valuable insights into their influence on fund performance.</w:t>
      </w:r>
    </w:p>
    <w:p w14:paraId="0296B1F8" w14:textId="77777777" w:rsidR="0010192D" w:rsidRDefault="0010192D" w:rsidP="00290EEE">
      <w:pPr>
        <w:jc w:val="both"/>
        <w:rPr>
          <w:rFonts w:ascii="Times New Roman" w:hAnsi="Times New Roman" w:cs="Times New Roman"/>
          <w:b/>
          <w:bCs/>
          <w:sz w:val="28"/>
          <w:szCs w:val="28"/>
        </w:rPr>
      </w:pPr>
    </w:p>
    <w:p w14:paraId="5D5DF62B" w14:textId="79CE8379" w:rsidR="00F713D1" w:rsidRPr="00290EEE" w:rsidRDefault="00F713D1" w:rsidP="00290EEE">
      <w:pPr>
        <w:jc w:val="both"/>
        <w:rPr>
          <w:rFonts w:ascii="Times New Roman" w:hAnsi="Times New Roman" w:cs="Times New Roman"/>
          <w:sz w:val="28"/>
          <w:szCs w:val="28"/>
        </w:rPr>
      </w:pPr>
      <w:r w:rsidRPr="00290EEE">
        <w:rPr>
          <w:rFonts w:ascii="Times New Roman" w:hAnsi="Times New Roman" w:cs="Times New Roman"/>
          <w:b/>
          <w:bCs/>
          <w:sz w:val="28"/>
          <w:szCs w:val="28"/>
        </w:rPr>
        <w:t>References</w:t>
      </w:r>
    </w:p>
    <w:p w14:paraId="78B9C46E" w14:textId="77777777" w:rsidR="00F713D1" w:rsidRPr="00284498" w:rsidRDefault="00F713D1" w:rsidP="00284498">
      <w:pPr>
        <w:pStyle w:val="EndNoteBibliography"/>
        <w:spacing w:after="0" w:line="360" w:lineRule="auto"/>
        <w:ind w:left="720" w:hanging="720"/>
        <w:jc w:val="both"/>
        <w:rPr>
          <w:rFonts w:ascii="Times New Roman" w:hAnsi="Times New Roman" w:cs="Times New Roman"/>
          <w:sz w:val="24"/>
          <w:szCs w:val="24"/>
        </w:rPr>
      </w:pPr>
      <w:r w:rsidRPr="00284498">
        <w:rPr>
          <w:rFonts w:ascii="Times New Roman" w:hAnsi="Times New Roman" w:cs="Times New Roman"/>
          <w:sz w:val="24"/>
          <w:szCs w:val="24"/>
        </w:rPr>
        <w:t xml:space="preserve">Abate, G., Basile, I., &amp; Ferrari, P. (2021). The level of sustainability and mutual fund performance in Europe: An empirical analysis using ESG ratings. </w:t>
      </w:r>
      <w:r w:rsidRPr="00284498">
        <w:rPr>
          <w:rFonts w:ascii="Times New Roman" w:hAnsi="Times New Roman" w:cs="Times New Roman"/>
          <w:i/>
          <w:sz w:val="24"/>
          <w:szCs w:val="24"/>
        </w:rPr>
        <w:t>Corporate Social Responsibility and Environmental Management</w:t>
      </w:r>
      <w:r w:rsidRPr="00284498">
        <w:rPr>
          <w:rFonts w:ascii="Times New Roman" w:hAnsi="Times New Roman" w:cs="Times New Roman"/>
          <w:sz w:val="24"/>
          <w:szCs w:val="24"/>
        </w:rPr>
        <w:t>,</w:t>
      </w:r>
      <w:r w:rsidRPr="00284498">
        <w:rPr>
          <w:rFonts w:ascii="Times New Roman" w:hAnsi="Times New Roman" w:cs="Times New Roman"/>
          <w:i/>
          <w:sz w:val="24"/>
          <w:szCs w:val="24"/>
        </w:rPr>
        <w:t xml:space="preserve"> 28</w:t>
      </w:r>
      <w:r w:rsidRPr="00284498">
        <w:rPr>
          <w:rFonts w:ascii="Times New Roman" w:hAnsi="Times New Roman" w:cs="Times New Roman"/>
          <w:sz w:val="24"/>
          <w:szCs w:val="24"/>
        </w:rPr>
        <w:t xml:space="preserve">(5), 1446-1455. </w:t>
      </w:r>
    </w:p>
    <w:p w14:paraId="09B1B6FC" w14:textId="77777777" w:rsidR="00F713D1" w:rsidRPr="00D53837" w:rsidRDefault="00F713D1" w:rsidP="00284498">
      <w:pPr>
        <w:pStyle w:val="EndNoteBibliography"/>
        <w:spacing w:after="0" w:line="360" w:lineRule="auto"/>
        <w:ind w:left="720" w:hanging="720"/>
        <w:jc w:val="both"/>
        <w:rPr>
          <w:rFonts w:ascii="Times New Roman" w:hAnsi="Times New Roman" w:cs="Times New Roman"/>
        </w:rPr>
      </w:pPr>
      <w:r w:rsidRPr="00284498">
        <w:rPr>
          <w:rFonts w:ascii="Times New Roman" w:hAnsi="Times New Roman" w:cs="Times New Roman"/>
          <w:sz w:val="24"/>
          <w:szCs w:val="24"/>
        </w:rPr>
        <w:t xml:space="preserve">ACMA, M. Q. (2014). Comparative study on performance evaluation of mutual fund schemes in Bangladesh: An analysis of monthly returns. </w:t>
      </w:r>
      <w:r w:rsidRPr="00D53837">
        <w:rPr>
          <w:rFonts w:ascii="Times New Roman" w:hAnsi="Times New Roman" w:cs="Times New Roman"/>
          <w:i/>
        </w:rPr>
        <w:t>Journal of Business Studies Quarterly</w:t>
      </w:r>
      <w:r w:rsidRPr="00D53837">
        <w:rPr>
          <w:rFonts w:ascii="Times New Roman" w:hAnsi="Times New Roman" w:cs="Times New Roman"/>
        </w:rPr>
        <w:t>,</w:t>
      </w:r>
      <w:r w:rsidRPr="00D53837">
        <w:rPr>
          <w:rFonts w:ascii="Times New Roman" w:hAnsi="Times New Roman" w:cs="Times New Roman"/>
          <w:i/>
        </w:rPr>
        <w:t xml:space="preserve"> 5</w:t>
      </w:r>
      <w:r w:rsidRPr="00D53837">
        <w:rPr>
          <w:rFonts w:ascii="Times New Roman" w:hAnsi="Times New Roman" w:cs="Times New Roman"/>
        </w:rPr>
        <w:t xml:space="preserve">(4), 190. </w:t>
      </w:r>
    </w:p>
    <w:p w14:paraId="01C5A151" w14:textId="77777777" w:rsidR="00F713D1" w:rsidRPr="00284498" w:rsidRDefault="00F713D1" w:rsidP="00284498">
      <w:pPr>
        <w:pStyle w:val="EndNoteBibliography"/>
        <w:spacing w:after="0" w:line="360" w:lineRule="auto"/>
        <w:ind w:left="720" w:hanging="720"/>
        <w:jc w:val="both"/>
        <w:rPr>
          <w:rFonts w:ascii="Times New Roman" w:hAnsi="Times New Roman" w:cs="Times New Roman"/>
          <w:sz w:val="24"/>
          <w:szCs w:val="24"/>
        </w:rPr>
      </w:pPr>
      <w:r w:rsidRPr="00284498">
        <w:rPr>
          <w:rFonts w:ascii="Times New Roman" w:hAnsi="Times New Roman" w:cs="Times New Roman"/>
          <w:sz w:val="24"/>
          <w:szCs w:val="24"/>
        </w:rPr>
        <w:t xml:space="preserve">Alsubaiei, B. J., Calice, G., &amp; Vivian, A. (2024). How does oil market volatility impact mutual fund performance? </w:t>
      </w:r>
      <w:r w:rsidRPr="00284498">
        <w:rPr>
          <w:rFonts w:ascii="Times New Roman" w:hAnsi="Times New Roman" w:cs="Times New Roman"/>
          <w:i/>
          <w:sz w:val="24"/>
          <w:szCs w:val="24"/>
        </w:rPr>
        <w:t>International Review of Economics &amp; Finance</w:t>
      </w:r>
      <w:r w:rsidRPr="00284498">
        <w:rPr>
          <w:rFonts w:ascii="Times New Roman" w:hAnsi="Times New Roman" w:cs="Times New Roman"/>
          <w:sz w:val="24"/>
          <w:szCs w:val="24"/>
        </w:rPr>
        <w:t>,</w:t>
      </w:r>
      <w:r w:rsidRPr="00284498">
        <w:rPr>
          <w:rFonts w:ascii="Times New Roman" w:hAnsi="Times New Roman" w:cs="Times New Roman"/>
          <w:i/>
          <w:sz w:val="24"/>
          <w:szCs w:val="24"/>
        </w:rPr>
        <w:t xml:space="preserve"> 89</w:t>
      </w:r>
      <w:r w:rsidRPr="00284498">
        <w:rPr>
          <w:rFonts w:ascii="Times New Roman" w:hAnsi="Times New Roman" w:cs="Times New Roman"/>
          <w:sz w:val="24"/>
          <w:szCs w:val="24"/>
        </w:rPr>
        <w:t xml:space="preserve">, 1601-1621. </w:t>
      </w:r>
    </w:p>
    <w:p w14:paraId="15CA43A5" w14:textId="77777777" w:rsidR="00F713D1" w:rsidRPr="00284498" w:rsidRDefault="00F713D1" w:rsidP="00284498">
      <w:pPr>
        <w:pStyle w:val="EndNoteBibliography"/>
        <w:spacing w:after="0" w:line="360" w:lineRule="auto"/>
        <w:ind w:left="720" w:hanging="720"/>
        <w:jc w:val="both"/>
        <w:rPr>
          <w:rFonts w:ascii="Times New Roman" w:hAnsi="Times New Roman" w:cs="Times New Roman"/>
          <w:sz w:val="24"/>
          <w:szCs w:val="24"/>
        </w:rPr>
      </w:pPr>
      <w:r w:rsidRPr="00284498">
        <w:rPr>
          <w:rFonts w:ascii="Times New Roman" w:hAnsi="Times New Roman" w:cs="Times New Roman"/>
          <w:sz w:val="24"/>
          <w:szCs w:val="24"/>
        </w:rPr>
        <w:t xml:space="preserve">Arslan, S., Nawaz, M. S., &amp; BASHIR, D. (2015). Risk Adjusted Performance Evaluation of Balanced Mutual Fund Schemes in Pakistan. </w:t>
      </w:r>
      <w:r w:rsidRPr="00284498">
        <w:rPr>
          <w:rFonts w:ascii="Times New Roman" w:hAnsi="Times New Roman" w:cs="Times New Roman"/>
          <w:i/>
          <w:sz w:val="24"/>
          <w:szCs w:val="24"/>
        </w:rPr>
        <w:t>Risk</w:t>
      </w:r>
      <w:r w:rsidRPr="00284498">
        <w:rPr>
          <w:rFonts w:ascii="Times New Roman" w:hAnsi="Times New Roman" w:cs="Times New Roman"/>
          <w:sz w:val="24"/>
          <w:szCs w:val="24"/>
        </w:rPr>
        <w:t>,</w:t>
      </w:r>
      <w:r w:rsidRPr="00284498">
        <w:rPr>
          <w:rFonts w:ascii="Times New Roman" w:hAnsi="Times New Roman" w:cs="Times New Roman"/>
          <w:i/>
          <w:sz w:val="24"/>
          <w:szCs w:val="24"/>
        </w:rPr>
        <w:t xml:space="preserve"> 7</w:t>
      </w:r>
      <w:r w:rsidRPr="00284498">
        <w:rPr>
          <w:rFonts w:ascii="Times New Roman" w:hAnsi="Times New Roman" w:cs="Times New Roman"/>
          <w:sz w:val="24"/>
          <w:szCs w:val="24"/>
        </w:rPr>
        <w:t xml:space="preserve">(1). </w:t>
      </w:r>
    </w:p>
    <w:p w14:paraId="0B91D2A9" w14:textId="77777777" w:rsidR="00F713D1" w:rsidRPr="00284498" w:rsidRDefault="00F713D1" w:rsidP="00284498">
      <w:pPr>
        <w:pStyle w:val="EndNoteBibliography"/>
        <w:spacing w:after="0" w:line="360" w:lineRule="auto"/>
        <w:ind w:left="720" w:hanging="720"/>
        <w:jc w:val="both"/>
        <w:rPr>
          <w:rFonts w:ascii="Times New Roman" w:hAnsi="Times New Roman" w:cs="Times New Roman"/>
          <w:sz w:val="24"/>
          <w:szCs w:val="24"/>
        </w:rPr>
      </w:pPr>
      <w:r w:rsidRPr="00284498">
        <w:rPr>
          <w:rFonts w:ascii="Times New Roman" w:hAnsi="Times New Roman" w:cs="Times New Roman"/>
          <w:sz w:val="24"/>
          <w:szCs w:val="24"/>
        </w:rPr>
        <w:t xml:space="preserve">Bessembinder, H., Cooper, M. J., &amp; Zhang, F. (2023). Mutual fund performance at long horizons. </w:t>
      </w:r>
      <w:r w:rsidRPr="00284498">
        <w:rPr>
          <w:rFonts w:ascii="Times New Roman" w:hAnsi="Times New Roman" w:cs="Times New Roman"/>
          <w:i/>
          <w:sz w:val="24"/>
          <w:szCs w:val="24"/>
        </w:rPr>
        <w:t>Journal of Financial Economics</w:t>
      </w:r>
      <w:r w:rsidRPr="00284498">
        <w:rPr>
          <w:rFonts w:ascii="Times New Roman" w:hAnsi="Times New Roman" w:cs="Times New Roman"/>
          <w:sz w:val="24"/>
          <w:szCs w:val="24"/>
        </w:rPr>
        <w:t>,</w:t>
      </w:r>
      <w:r w:rsidRPr="00284498">
        <w:rPr>
          <w:rFonts w:ascii="Times New Roman" w:hAnsi="Times New Roman" w:cs="Times New Roman"/>
          <w:i/>
          <w:sz w:val="24"/>
          <w:szCs w:val="24"/>
        </w:rPr>
        <w:t xml:space="preserve"> 147</w:t>
      </w:r>
      <w:r w:rsidRPr="00284498">
        <w:rPr>
          <w:rFonts w:ascii="Times New Roman" w:hAnsi="Times New Roman" w:cs="Times New Roman"/>
          <w:sz w:val="24"/>
          <w:szCs w:val="24"/>
        </w:rPr>
        <w:t xml:space="preserve">(1), 132-158. </w:t>
      </w:r>
    </w:p>
    <w:p w14:paraId="744B4CF9" w14:textId="77777777" w:rsidR="00F713D1" w:rsidRPr="00284498" w:rsidRDefault="00F713D1" w:rsidP="00284498">
      <w:pPr>
        <w:pStyle w:val="EndNoteBibliography"/>
        <w:spacing w:after="0" w:line="360" w:lineRule="auto"/>
        <w:ind w:left="720" w:hanging="720"/>
        <w:jc w:val="both"/>
        <w:rPr>
          <w:rFonts w:ascii="Times New Roman" w:hAnsi="Times New Roman" w:cs="Times New Roman"/>
          <w:sz w:val="24"/>
          <w:szCs w:val="24"/>
        </w:rPr>
      </w:pPr>
      <w:r w:rsidRPr="00284498">
        <w:rPr>
          <w:rFonts w:ascii="Times New Roman" w:hAnsi="Times New Roman" w:cs="Times New Roman"/>
          <w:sz w:val="24"/>
          <w:szCs w:val="24"/>
        </w:rPr>
        <w:t xml:space="preserve">Biplob, M. N. K. (2017). Performance evaluation of Bangladeshi mutual fund: An analysis of monthly return based on net asset value. </w:t>
      </w:r>
    </w:p>
    <w:p w14:paraId="07D4D36A" w14:textId="77777777" w:rsidR="00F713D1" w:rsidRPr="00284498" w:rsidRDefault="00F713D1" w:rsidP="00284498">
      <w:pPr>
        <w:pStyle w:val="EndNoteBibliography"/>
        <w:spacing w:after="0" w:line="360" w:lineRule="auto"/>
        <w:ind w:left="720" w:hanging="720"/>
        <w:jc w:val="both"/>
        <w:rPr>
          <w:rFonts w:ascii="Times New Roman" w:hAnsi="Times New Roman" w:cs="Times New Roman"/>
          <w:sz w:val="24"/>
          <w:szCs w:val="24"/>
        </w:rPr>
      </w:pPr>
      <w:r w:rsidRPr="00284498">
        <w:rPr>
          <w:rFonts w:ascii="Times New Roman" w:hAnsi="Times New Roman" w:cs="Times New Roman"/>
          <w:sz w:val="24"/>
          <w:szCs w:val="24"/>
        </w:rPr>
        <w:t xml:space="preserve">Cuthbertson, K., Nitzsche, D., &amp; O'Sullivan, N. (2010). Mutual fund performance: Measurement and Evidence 1. </w:t>
      </w:r>
      <w:r w:rsidRPr="00284498">
        <w:rPr>
          <w:rFonts w:ascii="Times New Roman" w:hAnsi="Times New Roman" w:cs="Times New Roman"/>
          <w:i/>
          <w:sz w:val="24"/>
          <w:szCs w:val="24"/>
        </w:rPr>
        <w:t>Financial Markets, Institutions &amp; Instruments</w:t>
      </w:r>
      <w:r w:rsidRPr="00284498">
        <w:rPr>
          <w:rFonts w:ascii="Times New Roman" w:hAnsi="Times New Roman" w:cs="Times New Roman"/>
          <w:sz w:val="24"/>
          <w:szCs w:val="24"/>
        </w:rPr>
        <w:t>,</w:t>
      </w:r>
      <w:r w:rsidRPr="00284498">
        <w:rPr>
          <w:rFonts w:ascii="Times New Roman" w:hAnsi="Times New Roman" w:cs="Times New Roman"/>
          <w:i/>
          <w:sz w:val="24"/>
          <w:szCs w:val="24"/>
        </w:rPr>
        <w:t xml:space="preserve"> 19</w:t>
      </w:r>
      <w:r w:rsidRPr="00284498">
        <w:rPr>
          <w:rFonts w:ascii="Times New Roman" w:hAnsi="Times New Roman" w:cs="Times New Roman"/>
          <w:sz w:val="24"/>
          <w:szCs w:val="24"/>
        </w:rPr>
        <w:t xml:space="preserve">(2), 95-187. </w:t>
      </w:r>
    </w:p>
    <w:p w14:paraId="0ABF2CCD" w14:textId="77777777" w:rsidR="00F713D1" w:rsidRPr="00284498" w:rsidRDefault="00F713D1" w:rsidP="00284498">
      <w:pPr>
        <w:pStyle w:val="EndNoteBibliography"/>
        <w:spacing w:after="0" w:line="360" w:lineRule="auto"/>
        <w:ind w:left="720" w:hanging="720"/>
        <w:jc w:val="both"/>
        <w:rPr>
          <w:rFonts w:ascii="Times New Roman" w:hAnsi="Times New Roman" w:cs="Times New Roman"/>
          <w:sz w:val="24"/>
          <w:szCs w:val="24"/>
        </w:rPr>
      </w:pPr>
      <w:r w:rsidRPr="00284498">
        <w:rPr>
          <w:rFonts w:ascii="Times New Roman" w:hAnsi="Times New Roman" w:cs="Times New Roman"/>
          <w:sz w:val="24"/>
          <w:szCs w:val="24"/>
        </w:rPr>
        <w:t xml:space="preserve">Evans, R. B., Prado, M. P., Rizzo, A. E., &amp; Zambrana, R. (2024). Identity, diversity, and team performance: Evidence from US mutual funds. </w:t>
      </w:r>
      <w:r w:rsidRPr="00284498">
        <w:rPr>
          <w:rFonts w:ascii="Times New Roman" w:hAnsi="Times New Roman" w:cs="Times New Roman"/>
          <w:i/>
          <w:sz w:val="24"/>
          <w:szCs w:val="24"/>
        </w:rPr>
        <w:t>Management Science</w:t>
      </w:r>
      <w:r w:rsidRPr="00284498">
        <w:rPr>
          <w:rFonts w:ascii="Times New Roman" w:hAnsi="Times New Roman" w:cs="Times New Roman"/>
          <w:sz w:val="24"/>
          <w:szCs w:val="24"/>
        </w:rPr>
        <w:t xml:space="preserve">. </w:t>
      </w:r>
    </w:p>
    <w:p w14:paraId="63267D27" w14:textId="77777777" w:rsidR="00F713D1" w:rsidRPr="00637DD7" w:rsidRDefault="00F713D1" w:rsidP="00284498">
      <w:pPr>
        <w:pStyle w:val="EndNoteBibliography"/>
        <w:spacing w:after="0" w:line="360" w:lineRule="auto"/>
        <w:ind w:left="720" w:hanging="720"/>
        <w:jc w:val="both"/>
        <w:rPr>
          <w:rFonts w:ascii="Times New Roman" w:hAnsi="Times New Roman" w:cs="Times New Roman"/>
        </w:rPr>
      </w:pPr>
      <w:r w:rsidRPr="00284498">
        <w:rPr>
          <w:rFonts w:ascii="Times New Roman" w:hAnsi="Times New Roman" w:cs="Times New Roman"/>
          <w:sz w:val="24"/>
          <w:szCs w:val="24"/>
        </w:rPr>
        <w:t xml:space="preserve">Fama, E. F. (1972). Components of investment performance. </w:t>
      </w:r>
      <w:r w:rsidRPr="00637DD7">
        <w:rPr>
          <w:rFonts w:ascii="Times New Roman" w:hAnsi="Times New Roman" w:cs="Times New Roman"/>
          <w:i/>
        </w:rPr>
        <w:t>The Journal of finance</w:t>
      </w:r>
      <w:r w:rsidRPr="00637DD7">
        <w:rPr>
          <w:rFonts w:ascii="Times New Roman" w:hAnsi="Times New Roman" w:cs="Times New Roman"/>
        </w:rPr>
        <w:t>,</w:t>
      </w:r>
      <w:r w:rsidRPr="00637DD7">
        <w:rPr>
          <w:rFonts w:ascii="Times New Roman" w:hAnsi="Times New Roman" w:cs="Times New Roman"/>
          <w:i/>
        </w:rPr>
        <w:t xml:space="preserve"> 27</w:t>
      </w:r>
      <w:r w:rsidRPr="00637DD7">
        <w:rPr>
          <w:rFonts w:ascii="Times New Roman" w:hAnsi="Times New Roman" w:cs="Times New Roman"/>
        </w:rPr>
        <w:t xml:space="preserve">(3), 551-567. </w:t>
      </w:r>
    </w:p>
    <w:p w14:paraId="569C2259" w14:textId="77777777" w:rsidR="00F713D1" w:rsidRPr="00284498" w:rsidRDefault="00F713D1" w:rsidP="00284498">
      <w:pPr>
        <w:pStyle w:val="EndNoteBibliography"/>
        <w:spacing w:after="0" w:line="360" w:lineRule="auto"/>
        <w:ind w:left="720" w:hanging="720"/>
        <w:jc w:val="both"/>
        <w:rPr>
          <w:rFonts w:ascii="Times New Roman" w:hAnsi="Times New Roman" w:cs="Times New Roman"/>
          <w:sz w:val="24"/>
          <w:szCs w:val="24"/>
        </w:rPr>
      </w:pPr>
      <w:r w:rsidRPr="00284498">
        <w:rPr>
          <w:rFonts w:ascii="Times New Roman" w:hAnsi="Times New Roman" w:cs="Times New Roman"/>
          <w:sz w:val="24"/>
          <w:szCs w:val="24"/>
        </w:rPr>
        <w:t xml:space="preserve">Guo, X., Liang, C., Umar, M., &amp; Mirza, N. (2022). The impact of fossil fuel divestments and energy transitions on mutual funds performance. </w:t>
      </w:r>
      <w:r w:rsidRPr="00284498">
        <w:rPr>
          <w:rFonts w:ascii="Times New Roman" w:hAnsi="Times New Roman" w:cs="Times New Roman"/>
          <w:i/>
          <w:sz w:val="24"/>
          <w:szCs w:val="24"/>
        </w:rPr>
        <w:t>Technological Forecasting and Social Change</w:t>
      </w:r>
      <w:r w:rsidRPr="00284498">
        <w:rPr>
          <w:rFonts w:ascii="Times New Roman" w:hAnsi="Times New Roman" w:cs="Times New Roman"/>
          <w:sz w:val="24"/>
          <w:szCs w:val="24"/>
        </w:rPr>
        <w:t>,</w:t>
      </w:r>
      <w:r w:rsidRPr="00284498">
        <w:rPr>
          <w:rFonts w:ascii="Times New Roman" w:hAnsi="Times New Roman" w:cs="Times New Roman"/>
          <w:i/>
          <w:sz w:val="24"/>
          <w:szCs w:val="24"/>
        </w:rPr>
        <w:t xml:space="preserve"> 176</w:t>
      </w:r>
      <w:r w:rsidRPr="00284498">
        <w:rPr>
          <w:rFonts w:ascii="Times New Roman" w:hAnsi="Times New Roman" w:cs="Times New Roman"/>
          <w:sz w:val="24"/>
          <w:szCs w:val="24"/>
        </w:rPr>
        <w:t xml:space="preserve">, 121429. </w:t>
      </w:r>
    </w:p>
    <w:p w14:paraId="3EDEA0BA" w14:textId="77777777" w:rsidR="00F713D1" w:rsidRPr="00284498" w:rsidRDefault="00F713D1" w:rsidP="00284498">
      <w:pPr>
        <w:pStyle w:val="EndNoteBibliography"/>
        <w:spacing w:after="0" w:line="360" w:lineRule="auto"/>
        <w:ind w:left="720" w:hanging="720"/>
        <w:jc w:val="both"/>
        <w:rPr>
          <w:rFonts w:ascii="Times New Roman" w:hAnsi="Times New Roman" w:cs="Times New Roman"/>
          <w:sz w:val="24"/>
          <w:szCs w:val="24"/>
        </w:rPr>
      </w:pPr>
      <w:r w:rsidRPr="00284498">
        <w:rPr>
          <w:rFonts w:ascii="Times New Roman" w:hAnsi="Times New Roman" w:cs="Times New Roman"/>
          <w:sz w:val="24"/>
          <w:szCs w:val="24"/>
        </w:rPr>
        <w:t xml:space="preserve">Han, H., Wang, Z., &amp; Zhao, X. (2024). Does cross-border investment improve mutual fund performance? Evidence from China. </w:t>
      </w:r>
      <w:r w:rsidRPr="00284498">
        <w:rPr>
          <w:rFonts w:ascii="Times New Roman" w:hAnsi="Times New Roman" w:cs="Times New Roman"/>
          <w:i/>
          <w:sz w:val="24"/>
          <w:szCs w:val="24"/>
        </w:rPr>
        <w:t>China Economic Review</w:t>
      </w:r>
      <w:r w:rsidRPr="00284498">
        <w:rPr>
          <w:rFonts w:ascii="Times New Roman" w:hAnsi="Times New Roman" w:cs="Times New Roman"/>
          <w:sz w:val="24"/>
          <w:szCs w:val="24"/>
        </w:rPr>
        <w:t>,</w:t>
      </w:r>
      <w:r w:rsidRPr="00284498">
        <w:rPr>
          <w:rFonts w:ascii="Times New Roman" w:hAnsi="Times New Roman" w:cs="Times New Roman"/>
          <w:i/>
          <w:sz w:val="24"/>
          <w:szCs w:val="24"/>
        </w:rPr>
        <w:t xml:space="preserve"> 86</w:t>
      </w:r>
      <w:r w:rsidRPr="00284498">
        <w:rPr>
          <w:rFonts w:ascii="Times New Roman" w:hAnsi="Times New Roman" w:cs="Times New Roman"/>
          <w:sz w:val="24"/>
          <w:szCs w:val="24"/>
        </w:rPr>
        <w:t xml:space="preserve">, 102186. </w:t>
      </w:r>
    </w:p>
    <w:p w14:paraId="7DC8C4BA" w14:textId="77777777" w:rsidR="00F713D1" w:rsidRPr="00284498" w:rsidRDefault="00F713D1" w:rsidP="00284498">
      <w:pPr>
        <w:pStyle w:val="EndNoteBibliography"/>
        <w:spacing w:after="0" w:line="360" w:lineRule="auto"/>
        <w:ind w:left="720" w:hanging="720"/>
        <w:jc w:val="both"/>
        <w:rPr>
          <w:rFonts w:ascii="Times New Roman" w:hAnsi="Times New Roman" w:cs="Times New Roman"/>
          <w:sz w:val="24"/>
          <w:szCs w:val="24"/>
        </w:rPr>
      </w:pPr>
      <w:r w:rsidRPr="00284498">
        <w:rPr>
          <w:rFonts w:ascii="Times New Roman" w:hAnsi="Times New Roman" w:cs="Times New Roman"/>
          <w:sz w:val="24"/>
          <w:szCs w:val="24"/>
        </w:rPr>
        <w:t xml:space="preserve">Jensen, M. C. (1972). Optimal utilization of market forecasts and the evaluation of investment performance. </w:t>
      </w:r>
    </w:p>
    <w:p w14:paraId="1A300683" w14:textId="77777777" w:rsidR="00F713D1" w:rsidRPr="00284498" w:rsidRDefault="00F713D1" w:rsidP="00284498">
      <w:pPr>
        <w:pStyle w:val="EndNoteBibliography"/>
        <w:spacing w:after="0" w:line="360" w:lineRule="auto"/>
        <w:ind w:left="720" w:hanging="720"/>
        <w:jc w:val="both"/>
        <w:rPr>
          <w:rFonts w:ascii="Times New Roman" w:hAnsi="Times New Roman" w:cs="Times New Roman"/>
          <w:sz w:val="24"/>
          <w:szCs w:val="24"/>
        </w:rPr>
      </w:pPr>
      <w:r w:rsidRPr="00284498">
        <w:rPr>
          <w:rFonts w:ascii="Times New Roman" w:hAnsi="Times New Roman" w:cs="Times New Roman"/>
          <w:sz w:val="24"/>
          <w:szCs w:val="24"/>
        </w:rPr>
        <w:lastRenderedPageBreak/>
        <w:t xml:space="preserve">Lin, J.-H., Yen, M.-F., &amp; Hsieh, W.-C. (2023). Do manager characteristics matter in equity mutual fund performance? New evidence based on the double-adjusted alpha. </w:t>
      </w:r>
      <w:r w:rsidRPr="00284498">
        <w:rPr>
          <w:rFonts w:ascii="Times New Roman" w:hAnsi="Times New Roman" w:cs="Times New Roman"/>
          <w:i/>
          <w:sz w:val="24"/>
          <w:szCs w:val="24"/>
        </w:rPr>
        <w:t>Pacific-Basin Finance Journal</w:t>
      </w:r>
      <w:r w:rsidRPr="00284498">
        <w:rPr>
          <w:rFonts w:ascii="Times New Roman" w:hAnsi="Times New Roman" w:cs="Times New Roman"/>
          <w:sz w:val="24"/>
          <w:szCs w:val="24"/>
        </w:rPr>
        <w:t>,</w:t>
      </w:r>
      <w:r w:rsidRPr="00284498">
        <w:rPr>
          <w:rFonts w:ascii="Times New Roman" w:hAnsi="Times New Roman" w:cs="Times New Roman"/>
          <w:i/>
          <w:sz w:val="24"/>
          <w:szCs w:val="24"/>
        </w:rPr>
        <w:t xml:space="preserve"> 77</w:t>
      </w:r>
      <w:r w:rsidRPr="00284498">
        <w:rPr>
          <w:rFonts w:ascii="Times New Roman" w:hAnsi="Times New Roman" w:cs="Times New Roman"/>
          <w:sz w:val="24"/>
          <w:szCs w:val="24"/>
        </w:rPr>
        <w:t xml:space="preserve">, 101925. </w:t>
      </w:r>
    </w:p>
    <w:p w14:paraId="3F769BA4" w14:textId="77777777" w:rsidR="00F713D1" w:rsidRPr="00284498" w:rsidRDefault="00F713D1" w:rsidP="00284498">
      <w:pPr>
        <w:pStyle w:val="EndNoteBibliography"/>
        <w:spacing w:after="0" w:line="360" w:lineRule="auto"/>
        <w:ind w:left="720" w:hanging="720"/>
        <w:jc w:val="both"/>
        <w:rPr>
          <w:rFonts w:ascii="Times New Roman" w:hAnsi="Times New Roman" w:cs="Times New Roman"/>
          <w:sz w:val="24"/>
          <w:szCs w:val="24"/>
        </w:rPr>
      </w:pPr>
      <w:r w:rsidRPr="00284498">
        <w:rPr>
          <w:rFonts w:ascii="Times New Roman" w:hAnsi="Times New Roman" w:cs="Times New Roman"/>
          <w:sz w:val="24"/>
          <w:szCs w:val="24"/>
        </w:rPr>
        <w:t xml:space="preserve">Lohana, P. M. (2013). Performance evaluation of selected mutual funds. </w:t>
      </w:r>
      <w:r w:rsidRPr="00284498">
        <w:rPr>
          <w:rFonts w:ascii="Times New Roman" w:hAnsi="Times New Roman" w:cs="Times New Roman"/>
          <w:i/>
          <w:sz w:val="24"/>
          <w:szCs w:val="24"/>
        </w:rPr>
        <w:t>Pacific Business Review International</w:t>
      </w:r>
      <w:r w:rsidRPr="00284498">
        <w:rPr>
          <w:rFonts w:ascii="Times New Roman" w:hAnsi="Times New Roman" w:cs="Times New Roman"/>
          <w:sz w:val="24"/>
          <w:szCs w:val="24"/>
        </w:rPr>
        <w:t>,</w:t>
      </w:r>
      <w:r w:rsidRPr="00284498">
        <w:rPr>
          <w:rFonts w:ascii="Times New Roman" w:hAnsi="Times New Roman" w:cs="Times New Roman"/>
          <w:i/>
          <w:sz w:val="24"/>
          <w:szCs w:val="24"/>
        </w:rPr>
        <w:t xml:space="preserve"> 5</w:t>
      </w:r>
      <w:r w:rsidRPr="00284498">
        <w:rPr>
          <w:rFonts w:ascii="Times New Roman" w:hAnsi="Times New Roman" w:cs="Times New Roman"/>
          <w:sz w:val="24"/>
          <w:szCs w:val="24"/>
        </w:rPr>
        <w:t xml:space="preserve">(7), 60-66. </w:t>
      </w:r>
    </w:p>
    <w:p w14:paraId="443DCA6E" w14:textId="77777777" w:rsidR="00F713D1" w:rsidRPr="00284498" w:rsidRDefault="00F713D1" w:rsidP="00284498">
      <w:pPr>
        <w:pStyle w:val="EndNoteBibliography"/>
        <w:spacing w:after="0" w:line="360" w:lineRule="auto"/>
        <w:ind w:left="720" w:hanging="720"/>
        <w:jc w:val="both"/>
        <w:rPr>
          <w:rFonts w:ascii="Times New Roman" w:hAnsi="Times New Roman" w:cs="Times New Roman"/>
          <w:sz w:val="24"/>
          <w:szCs w:val="24"/>
        </w:rPr>
      </w:pPr>
      <w:r w:rsidRPr="00284498">
        <w:rPr>
          <w:rFonts w:ascii="Times New Roman" w:hAnsi="Times New Roman" w:cs="Times New Roman"/>
          <w:sz w:val="24"/>
          <w:szCs w:val="24"/>
        </w:rPr>
        <w:t xml:space="preserve">Pandow, B. (2017). Persistent performance of fund managers: An analysis of selection and timing skills. </w:t>
      </w:r>
      <w:r w:rsidRPr="00284498">
        <w:rPr>
          <w:rFonts w:ascii="Times New Roman" w:hAnsi="Times New Roman" w:cs="Times New Roman"/>
          <w:i/>
          <w:sz w:val="24"/>
          <w:szCs w:val="24"/>
        </w:rPr>
        <w:t>International Journal of Commerce and Finance</w:t>
      </w:r>
      <w:r w:rsidRPr="00284498">
        <w:rPr>
          <w:rFonts w:ascii="Times New Roman" w:hAnsi="Times New Roman" w:cs="Times New Roman"/>
          <w:sz w:val="24"/>
          <w:szCs w:val="24"/>
        </w:rPr>
        <w:t>,</w:t>
      </w:r>
      <w:r w:rsidRPr="00284498">
        <w:rPr>
          <w:rFonts w:ascii="Times New Roman" w:hAnsi="Times New Roman" w:cs="Times New Roman"/>
          <w:i/>
          <w:sz w:val="24"/>
          <w:szCs w:val="24"/>
        </w:rPr>
        <w:t xml:space="preserve"> 3</w:t>
      </w:r>
      <w:r w:rsidRPr="00284498">
        <w:rPr>
          <w:rFonts w:ascii="Times New Roman" w:hAnsi="Times New Roman" w:cs="Times New Roman"/>
          <w:sz w:val="24"/>
          <w:szCs w:val="24"/>
        </w:rPr>
        <w:t xml:space="preserve">(2), 11-24. </w:t>
      </w:r>
    </w:p>
    <w:p w14:paraId="118BAE5D" w14:textId="77777777" w:rsidR="00F713D1" w:rsidRPr="00284498" w:rsidRDefault="00F713D1" w:rsidP="00284498">
      <w:pPr>
        <w:pStyle w:val="EndNoteBibliography"/>
        <w:spacing w:after="0" w:line="360" w:lineRule="auto"/>
        <w:ind w:left="720" w:hanging="720"/>
        <w:jc w:val="both"/>
        <w:rPr>
          <w:rFonts w:ascii="Times New Roman" w:hAnsi="Times New Roman" w:cs="Times New Roman"/>
          <w:sz w:val="24"/>
          <w:szCs w:val="24"/>
        </w:rPr>
      </w:pPr>
      <w:r w:rsidRPr="00284498">
        <w:rPr>
          <w:rFonts w:ascii="Times New Roman" w:hAnsi="Times New Roman" w:cs="Times New Roman"/>
          <w:sz w:val="24"/>
          <w:szCs w:val="24"/>
        </w:rPr>
        <w:t xml:space="preserve">Pant, R., Ghimire, B., &amp; Dahal, R. K. (2022). Determinants of mutual fund performance in Nepal. </w:t>
      </w:r>
      <w:r w:rsidRPr="00284498">
        <w:rPr>
          <w:rFonts w:ascii="Times New Roman" w:hAnsi="Times New Roman" w:cs="Times New Roman"/>
          <w:i/>
          <w:sz w:val="24"/>
          <w:szCs w:val="24"/>
        </w:rPr>
        <w:t>Nepal Journal of Multidisciplinary Research</w:t>
      </w:r>
      <w:r w:rsidRPr="00284498">
        <w:rPr>
          <w:rFonts w:ascii="Times New Roman" w:hAnsi="Times New Roman" w:cs="Times New Roman"/>
          <w:sz w:val="24"/>
          <w:szCs w:val="24"/>
        </w:rPr>
        <w:t>,</w:t>
      </w:r>
      <w:r w:rsidRPr="00284498">
        <w:rPr>
          <w:rFonts w:ascii="Times New Roman" w:hAnsi="Times New Roman" w:cs="Times New Roman"/>
          <w:i/>
          <w:sz w:val="24"/>
          <w:szCs w:val="24"/>
        </w:rPr>
        <w:t xml:space="preserve"> 5</w:t>
      </w:r>
      <w:r w:rsidRPr="00284498">
        <w:rPr>
          <w:rFonts w:ascii="Times New Roman" w:hAnsi="Times New Roman" w:cs="Times New Roman"/>
          <w:sz w:val="24"/>
          <w:szCs w:val="24"/>
        </w:rPr>
        <w:t xml:space="preserve">(5), 1-16. </w:t>
      </w:r>
    </w:p>
    <w:p w14:paraId="36ACD571" w14:textId="77777777" w:rsidR="00F713D1" w:rsidRPr="00284498" w:rsidRDefault="00F713D1" w:rsidP="00284498">
      <w:pPr>
        <w:pStyle w:val="EndNoteBibliography"/>
        <w:spacing w:after="0" w:line="360" w:lineRule="auto"/>
        <w:ind w:left="720" w:hanging="720"/>
        <w:jc w:val="both"/>
        <w:rPr>
          <w:rFonts w:ascii="Times New Roman" w:hAnsi="Times New Roman" w:cs="Times New Roman"/>
          <w:sz w:val="24"/>
          <w:szCs w:val="24"/>
        </w:rPr>
      </w:pPr>
      <w:r w:rsidRPr="00284498">
        <w:rPr>
          <w:rFonts w:ascii="Times New Roman" w:hAnsi="Times New Roman" w:cs="Times New Roman"/>
          <w:sz w:val="24"/>
          <w:szCs w:val="24"/>
        </w:rPr>
        <w:t xml:space="preserve">Petridis, K., Kiosses, N., Tampakoudis, I., &amp; Ben Abdelaziz, F. (2023). Measuring the efficiency of mutual funds: Does ESG controversies score affect the mutual fund performance during the COVID-19 pandemic? </w:t>
      </w:r>
      <w:r w:rsidRPr="00284498">
        <w:rPr>
          <w:rFonts w:ascii="Times New Roman" w:hAnsi="Times New Roman" w:cs="Times New Roman"/>
          <w:i/>
          <w:sz w:val="24"/>
          <w:szCs w:val="24"/>
        </w:rPr>
        <w:t>Operational research</w:t>
      </w:r>
      <w:r w:rsidRPr="00284498">
        <w:rPr>
          <w:rFonts w:ascii="Times New Roman" w:hAnsi="Times New Roman" w:cs="Times New Roman"/>
          <w:sz w:val="24"/>
          <w:szCs w:val="24"/>
        </w:rPr>
        <w:t>,</w:t>
      </w:r>
      <w:r w:rsidRPr="00284498">
        <w:rPr>
          <w:rFonts w:ascii="Times New Roman" w:hAnsi="Times New Roman" w:cs="Times New Roman"/>
          <w:i/>
          <w:sz w:val="24"/>
          <w:szCs w:val="24"/>
        </w:rPr>
        <w:t xml:space="preserve"> 23</w:t>
      </w:r>
      <w:r w:rsidRPr="00284498">
        <w:rPr>
          <w:rFonts w:ascii="Times New Roman" w:hAnsi="Times New Roman" w:cs="Times New Roman"/>
          <w:sz w:val="24"/>
          <w:szCs w:val="24"/>
        </w:rPr>
        <w:t xml:space="preserve">(3), 54. </w:t>
      </w:r>
    </w:p>
    <w:p w14:paraId="1F85179C" w14:textId="77777777" w:rsidR="00F713D1" w:rsidRPr="00284498" w:rsidRDefault="00F713D1" w:rsidP="00284498">
      <w:pPr>
        <w:pStyle w:val="EndNoteBibliography"/>
        <w:spacing w:after="0" w:line="360" w:lineRule="auto"/>
        <w:ind w:left="720" w:hanging="720"/>
        <w:jc w:val="both"/>
        <w:rPr>
          <w:rFonts w:ascii="Times New Roman" w:hAnsi="Times New Roman" w:cs="Times New Roman"/>
          <w:sz w:val="24"/>
          <w:szCs w:val="24"/>
        </w:rPr>
      </w:pPr>
      <w:r w:rsidRPr="00284498">
        <w:rPr>
          <w:rFonts w:ascii="Times New Roman" w:hAnsi="Times New Roman" w:cs="Times New Roman"/>
          <w:sz w:val="24"/>
          <w:szCs w:val="24"/>
        </w:rPr>
        <w:t xml:space="preserve">Prajapati, K. P., &amp; Patel, M. K. (2012). Comparative study on performance evaluation of mutual fund schemes of Indian companies. </w:t>
      </w:r>
      <w:r w:rsidRPr="00284498">
        <w:rPr>
          <w:rFonts w:ascii="Times New Roman" w:hAnsi="Times New Roman" w:cs="Times New Roman"/>
          <w:i/>
          <w:sz w:val="24"/>
          <w:szCs w:val="24"/>
        </w:rPr>
        <w:t>Researchers World</w:t>
      </w:r>
      <w:r w:rsidRPr="00284498">
        <w:rPr>
          <w:rFonts w:ascii="Times New Roman" w:hAnsi="Times New Roman" w:cs="Times New Roman"/>
          <w:sz w:val="24"/>
          <w:szCs w:val="24"/>
        </w:rPr>
        <w:t>,</w:t>
      </w:r>
      <w:r w:rsidRPr="00284498">
        <w:rPr>
          <w:rFonts w:ascii="Times New Roman" w:hAnsi="Times New Roman" w:cs="Times New Roman"/>
          <w:i/>
          <w:sz w:val="24"/>
          <w:szCs w:val="24"/>
        </w:rPr>
        <w:t xml:space="preserve"> 3</w:t>
      </w:r>
      <w:r w:rsidRPr="00284498">
        <w:rPr>
          <w:rFonts w:ascii="Times New Roman" w:hAnsi="Times New Roman" w:cs="Times New Roman"/>
          <w:sz w:val="24"/>
          <w:szCs w:val="24"/>
        </w:rPr>
        <w:t xml:space="preserve">(3), 47. </w:t>
      </w:r>
    </w:p>
    <w:p w14:paraId="4FE7810E" w14:textId="77777777" w:rsidR="00F713D1" w:rsidRPr="00284498" w:rsidRDefault="00F713D1" w:rsidP="00284498">
      <w:pPr>
        <w:pStyle w:val="EndNoteBibliography"/>
        <w:spacing w:after="0" w:line="360" w:lineRule="auto"/>
        <w:ind w:left="720" w:hanging="720"/>
        <w:jc w:val="both"/>
        <w:rPr>
          <w:rFonts w:ascii="Times New Roman" w:hAnsi="Times New Roman" w:cs="Times New Roman"/>
          <w:sz w:val="24"/>
          <w:szCs w:val="24"/>
        </w:rPr>
      </w:pPr>
      <w:r w:rsidRPr="00284498">
        <w:rPr>
          <w:rFonts w:ascii="Times New Roman" w:hAnsi="Times New Roman" w:cs="Times New Roman"/>
          <w:sz w:val="24"/>
          <w:szCs w:val="24"/>
        </w:rPr>
        <w:t xml:space="preserve">Sadeghi Goghari, S., Souri, A., Abbasinejad, H., &amp; Mehrara, M. (2020). Portfolio Diversification and Net Selectivity Performance of Mutual Funds in Iran by Using Fama Decomposition Model. </w:t>
      </w:r>
      <w:r w:rsidRPr="00284498">
        <w:rPr>
          <w:rFonts w:ascii="Times New Roman" w:hAnsi="Times New Roman" w:cs="Times New Roman"/>
          <w:i/>
          <w:sz w:val="24"/>
          <w:szCs w:val="24"/>
        </w:rPr>
        <w:t>Iranian Economic Review</w:t>
      </w:r>
      <w:r w:rsidRPr="00284498">
        <w:rPr>
          <w:rFonts w:ascii="Times New Roman" w:hAnsi="Times New Roman" w:cs="Times New Roman"/>
          <w:sz w:val="24"/>
          <w:szCs w:val="24"/>
        </w:rPr>
        <w:t>,</w:t>
      </w:r>
      <w:r w:rsidRPr="00284498">
        <w:rPr>
          <w:rFonts w:ascii="Times New Roman" w:hAnsi="Times New Roman" w:cs="Times New Roman"/>
          <w:i/>
          <w:sz w:val="24"/>
          <w:szCs w:val="24"/>
        </w:rPr>
        <w:t xml:space="preserve"> 24</w:t>
      </w:r>
      <w:r w:rsidRPr="00284498">
        <w:rPr>
          <w:rFonts w:ascii="Times New Roman" w:hAnsi="Times New Roman" w:cs="Times New Roman"/>
          <w:sz w:val="24"/>
          <w:szCs w:val="24"/>
        </w:rPr>
        <w:t xml:space="preserve">(2), 471-487. </w:t>
      </w:r>
    </w:p>
    <w:p w14:paraId="7F4ED790" w14:textId="77777777" w:rsidR="00F713D1" w:rsidRPr="00284498" w:rsidRDefault="00F713D1" w:rsidP="00284498">
      <w:pPr>
        <w:pStyle w:val="EndNoteBibliography"/>
        <w:spacing w:after="0" w:line="360" w:lineRule="auto"/>
        <w:ind w:left="720" w:hanging="720"/>
        <w:jc w:val="both"/>
        <w:rPr>
          <w:rFonts w:ascii="Times New Roman" w:hAnsi="Times New Roman" w:cs="Times New Roman"/>
          <w:sz w:val="24"/>
          <w:szCs w:val="24"/>
        </w:rPr>
      </w:pPr>
      <w:r w:rsidRPr="00284498">
        <w:rPr>
          <w:rFonts w:ascii="Times New Roman" w:hAnsi="Times New Roman" w:cs="Times New Roman"/>
          <w:sz w:val="24"/>
          <w:szCs w:val="24"/>
        </w:rPr>
        <w:t xml:space="preserve">Seddeke, A., &amp; Rahman, M. (2016). Evaluation of portfolio performance of the Investment Corporation of Bangladesh’s Mutual Funds. </w:t>
      </w:r>
      <w:r w:rsidRPr="00284498">
        <w:rPr>
          <w:rFonts w:ascii="Times New Roman" w:hAnsi="Times New Roman" w:cs="Times New Roman"/>
          <w:i/>
          <w:sz w:val="24"/>
          <w:szCs w:val="24"/>
        </w:rPr>
        <w:t>Global Journal of Management and Business Research: C Finance</w:t>
      </w:r>
      <w:r w:rsidRPr="00284498">
        <w:rPr>
          <w:rFonts w:ascii="Times New Roman" w:hAnsi="Times New Roman" w:cs="Times New Roman"/>
          <w:sz w:val="24"/>
          <w:szCs w:val="24"/>
        </w:rPr>
        <w:t xml:space="preserve">. </w:t>
      </w:r>
    </w:p>
    <w:p w14:paraId="0EB0BB95" w14:textId="77777777" w:rsidR="00F713D1" w:rsidRPr="00284498" w:rsidRDefault="00F713D1" w:rsidP="00284498">
      <w:pPr>
        <w:pStyle w:val="EndNoteBibliography"/>
        <w:spacing w:after="0" w:line="360" w:lineRule="auto"/>
        <w:ind w:left="720" w:hanging="720"/>
        <w:jc w:val="both"/>
        <w:rPr>
          <w:rFonts w:ascii="Times New Roman" w:hAnsi="Times New Roman" w:cs="Times New Roman"/>
          <w:sz w:val="24"/>
          <w:szCs w:val="24"/>
        </w:rPr>
      </w:pPr>
      <w:r w:rsidRPr="00284498">
        <w:rPr>
          <w:rFonts w:ascii="Times New Roman" w:hAnsi="Times New Roman" w:cs="Times New Roman"/>
          <w:sz w:val="24"/>
          <w:szCs w:val="24"/>
        </w:rPr>
        <w:t xml:space="preserve">Sharma, D. (2016). Fama Decomposition Analysis of Selected Companies of Bombay Stock Exchange in India. </w:t>
      </w:r>
      <w:r w:rsidRPr="00284498">
        <w:rPr>
          <w:rFonts w:ascii="Times New Roman" w:hAnsi="Times New Roman" w:cs="Times New Roman"/>
          <w:i/>
          <w:sz w:val="24"/>
          <w:szCs w:val="24"/>
        </w:rPr>
        <w:t>Journal of Finance and Investment Analysis</w:t>
      </w:r>
      <w:r w:rsidRPr="00284498">
        <w:rPr>
          <w:rFonts w:ascii="Times New Roman" w:hAnsi="Times New Roman" w:cs="Times New Roman"/>
          <w:sz w:val="24"/>
          <w:szCs w:val="24"/>
        </w:rPr>
        <w:t>,</w:t>
      </w:r>
      <w:r w:rsidRPr="00284498">
        <w:rPr>
          <w:rFonts w:ascii="Times New Roman" w:hAnsi="Times New Roman" w:cs="Times New Roman"/>
          <w:i/>
          <w:sz w:val="24"/>
          <w:szCs w:val="24"/>
        </w:rPr>
        <w:t xml:space="preserve"> 5</w:t>
      </w:r>
      <w:r w:rsidRPr="00284498">
        <w:rPr>
          <w:rFonts w:ascii="Times New Roman" w:hAnsi="Times New Roman" w:cs="Times New Roman"/>
          <w:sz w:val="24"/>
          <w:szCs w:val="24"/>
        </w:rPr>
        <w:t xml:space="preserve">(3), 1-13. </w:t>
      </w:r>
    </w:p>
    <w:p w14:paraId="2D18F7CE" w14:textId="77777777" w:rsidR="00F713D1" w:rsidRPr="00284498" w:rsidRDefault="00F713D1" w:rsidP="00284498">
      <w:pPr>
        <w:spacing w:after="0" w:line="360" w:lineRule="auto"/>
        <w:jc w:val="both"/>
        <w:rPr>
          <w:rFonts w:ascii="Times New Roman" w:hAnsi="Times New Roman" w:cs="Times New Roman"/>
          <w:sz w:val="24"/>
          <w:szCs w:val="24"/>
        </w:rPr>
      </w:pPr>
      <w:r w:rsidRPr="00284498">
        <w:rPr>
          <w:rFonts w:ascii="Times New Roman" w:hAnsi="Times New Roman" w:cs="Times New Roman"/>
          <w:noProof/>
          <w:sz w:val="24"/>
          <w:szCs w:val="24"/>
        </w:rPr>
        <w:t xml:space="preserve">Tan, Y., Yang, W., Suntrayuth, S., Yu, X., Sindakis, S., &amp; Showkat, S. (2024). Optimizing Stock Portfolio Performance with a Combined RG1-TOPSIS Model: Insights from the Chinese Market. </w:t>
      </w:r>
      <w:r w:rsidRPr="00284498">
        <w:rPr>
          <w:rFonts w:ascii="Times New Roman" w:hAnsi="Times New Roman" w:cs="Times New Roman"/>
          <w:i/>
          <w:noProof/>
          <w:sz w:val="24"/>
          <w:szCs w:val="24"/>
        </w:rPr>
        <w:t>Journal of the Knowledge Economy</w:t>
      </w:r>
      <w:r w:rsidRPr="00284498">
        <w:rPr>
          <w:rFonts w:ascii="Times New Roman" w:hAnsi="Times New Roman" w:cs="Times New Roman"/>
          <w:noProof/>
          <w:sz w:val="24"/>
          <w:szCs w:val="24"/>
        </w:rPr>
        <w:t>,</w:t>
      </w:r>
      <w:r w:rsidRPr="00284498">
        <w:rPr>
          <w:rFonts w:ascii="Times New Roman" w:hAnsi="Times New Roman" w:cs="Times New Roman"/>
          <w:i/>
          <w:noProof/>
          <w:sz w:val="24"/>
          <w:szCs w:val="24"/>
        </w:rPr>
        <w:t xml:space="preserve"> 15</w:t>
      </w:r>
      <w:r w:rsidRPr="00284498">
        <w:rPr>
          <w:rFonts w:ascii="Times New Roman" w:hAnsi="Times New Roman" w:cs="Times New Roman"/>
          <w:noProof/>
          <w:sz w:val="24"/>
          <w:szCs w:val="24"/>
        </w:rPr>
        <w:t>(2), 9029-9052.</w:t>
      </w:r>
    </w:p>
    <w:p w14:paraId="4130948C" w14:textId="77777777" w:rsidR="00DA0499" w:rsidRPr="00284498" w:rsidRDefault="00DA0499" w:rsidP="00284498">
      <w:pPr>
        <w:spacing w:after="0" w:line="360" w:lineRule="auto"/>
        <w:jc w:val="both"/>
        <w:rPr>
          <w:rFonts w:ascii="Times New Roman" w:hAnsi="Times New Roman" w:cs="Times New Roman"/>
          <w:sz w:val="28"/>
          <w:szCs w:val="28"/>
        </w:rPr>
      </w:pPr>
    </w:p>
    <w:sectPr w:rsidR="00DA0499" w:rsidRPr="00284498">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467960" w14:textId="77777777" w:rsidR="005873EB" w:rsidRDefault="005873EB" w:rsidP="00461826">
      <w:pPr>
        <w:spacing w:after="0" w:line="240" w:lineRule="auto"/>
      </w:pPr>
      <w:r>
        <w:separator/>
      </w:r>
    </w:p>
  </w:endnote>
  <w:endnote w:type="continuationSeparator" w:id="0">
    <w:p w14:paraId="23D9369C" w14:textId="77777777" w:rsidR="005873EB" w:rsidRDefault="005873EB" w:rsidP="004618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libri"/>
    <w:panose1 w:val="00000000000000000000"/>
    <w:charset w:val="A1"/>
    <w:family w:val="auto"/>
    <w:notTrueType/>
    <w:pitch w:val="default"/>
    <w:sig w:usb0="00000081" w:usb1="00000000" w:usb2="00000000" w:usb3="00000000" w:csb0="00000008" w:csb1="00000000"/>
  </w:font>
  <w:font w:name="Cambria Math">
    <w:panose1 w:val="02040503050406030204"/>
    <w:charset w:val="00"/>
    <w:family w:val="roman"/>
    <w:pitch w:val="variable"/>
    <w:sig w:usb0="E00006FF" w:usb1="420024FF" w:usb2="02000000" w:usb3="00000000" w:csb0="0000019F" w:csb1="00000000"/>
  </w:font>
  <w:font w:name="Agency FB">
    <w:panose1 w:val="020B0503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15260118"/>
      <w:docPartObj>
        <w:docPartGallery w:val="Page Numbers (Bottom of Page)"/>
        <w:docPartUnique/>
      </w:docPartObj>
    </w:sdtPr>
    <w:sdtEndPr>
      <w:rPr>
        <w:color w:val="7F7F7F" w:themeColor="background1" w:themeShade="7F"/>
        <w:spacing w:val="60"/>
      </w:rPr>
    </w:sdtEndPr>
    <w:sdtContent>
      <w:p w14:paraId="0EA80960" w14:textId="4D82AB16" w:rsidR="004E482F" w:rsidRDefault="004E482F">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150BA6B7" w14:textId="77777777" w:rsidR="004E482F" w:rsidRDefault="004E48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156DAB" w14:textId="77777777" w:rsidR="005873EB" w:rsidRDefault="005873EB" w:rsidP="00461826">
      <w:pPr>
        <w:spacing w:after="0" w:line="240" w:lineRule="auto"/>
      </w:pPr>
      <w:r>
        <w:separator/>
      </w:r>
    </w:p>
  </w:footnote>
  <w:footnote w:type="continuationSeparator" w:id="0">
    <w:p w14:paraId="0F7BC3E8" w14:textId="77777777" w:rsidR="005873EB" w:rsidRDefault="005873EB" w:rsidP="004618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67579D"/>
    <w:multiLevelType w:val="multilevel"/>
    <w:tmpl w:val="DB087B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250C8"/>
    <w:multiLevelType w:val="hybridMultilevel"/>
    <w:tmpl w:val="A08E186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92438B"/>
    <w:multiLevelType w:val="multilevel"/>
    <w:tmpl w:val="01EAA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EE59CD"/>
    <w:multiLevelType w:val="hybridMultilevel"/>
    <w:tmpl w:val="818A30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692F29"/>
    <w:multiLevelType w:val="hybridMultilevel"/>
    <w:tmpl w:val="4BD8FFEE"/>
    <w:lvl w:ilvl="0" w:tplc="2258EB3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C473BB"/>
    <w:multiLevelType w:val="multilevel"/>
    <w:tmpl w:val="28FE0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3C358E4"/>
    <w:multiLevelType w:val="multilevel"/>
    <w:tmpl w:val="B1BC0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4026982">
    <w:abstractNumId w:val="0"/>
  </w:num>
  <w:num w:numId="2" w16cid:durableId="1704744594">
    <w:abstractNumId w:val="2"/>
  </w:num>
  <w:num w:numId="3" w16cid:durableId="1044064533">
    <w:abstractNumId w:val="6"/>
  </w:num>
  <w:num w:numId="4" w16cid:durableId="51974436">
    <w:abstractNumId w:val="5"/>
  </w:num>
  <w:num w:numId="5" w16cid:durableId="1500923462">
    <w:abstractNumId w:val="3"/>
  </w:num>
  <w:num w:numId="6" w16cid:durableId="1241673265">
    <w:abstractNumId w:val="1"/>
  </w:num>
  <w:num w:numId="7" w16cid:durableId="25514139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611"/>
    <w:rsid w:val="00000266"/>
    <w:rsid w:val="00041245"/>
    <w:rsid w:val="00053CA3"/>
    <w:rsid w:val="00071C0B"/>
    <w:rsid w:val="000776B8"/>
    <w:rsid w:val="00090D94"/>
    <w:rsid w:val="000B14F1"/>
    <w:rsid w:val="000C07C2"/>
    <w:rsid w:val="000E1548"/>
    <w:rsid w:val="000E1834"/>
    <w:rsid w:val="000E1AB8"/>
    <w:rsid w:val="0010192D"/>
    <w:rsid w:val="00104269"/>
    <w:rsid w:val="00154FEB"/>
    <w:rsid w:val="00166C65"/>
    <w:rsid w:val="0017777D"/>
    <w:rsid w:val="001804A1"/>
    <w:rsid w:val="0018142C"/>
    <w:rsid w:val="001A104E"/>
    <w:rsid w:val="001D7B26"/>
    <w:rsid w:val="001E1399"/>
    <w:rsid w:val="001F4915"/>
    <w:rsid w:val="001F4E9A"/>
    <w:rsid w:val="00202FE3"/>
    <w:rsid w:val="002070DB"/>
    <w:rsid w:val="00212467"/>
    <w:rsid w:val="00213569"/>
    <w:rsid w:val="00214EC8"/>
    <w:rsid w:val="0022201C"/>
    <w:rsid w:val="00234F58"/>
    <w:rsid w:val="00244A2B"/>
    <w:rsid w:val="002569CF"/>
    <w:rsid w:val="00264675"/>
    <w:rsid w:val="002674C8"/>
    <w:rsid w:val="00267BB4"/>
    <w:rsid w:val="00275AE1"/>
    <w:rsid w:val="00276852"/>
    <w:rsid w:val="00284498"/>
    <w:rsid w:val="00290EEE"/>
    <w:rsid w:val="002A3549"/>
    <w:rsid w:val="002A5419"/>
    <w:rsid w:val="002D0CBD"/>
    <w:rsid w:val="0030335A"/>
    <w:rsid w:val="00305932"/>
    <w:rsid w:val="00345BE1"/>
    <w:rsid w:val="00367E9B"/>
    <w:rsid w:val="00370D11"/>
    <w:rsid w:val="0037198A"/>
    <w:rsid w:val="00385232"/>
    <w:rsid w:val="00397BD6"/>
    <w:rsid w:val="003B1A40"/>
    <w:rsid w:val="003D79D2"/>
    <w:rsid w:val="003D7ABA"/>
    <w:rsid w:val="003F0407"/>
    <w:rsid w:val="003F54DF"/>
    <w:rsid w:val="00421B30"/>
    <w:rsid w:val="0043618D"/>
    <w:rsid w:val="0043690D"/>
    <w:rsid w:val="00443AD4"/>
    <w:rsid w:val="00461266"/>
    <w:rsid w:val="00461826"/>
    <w:rsid w:val="00470A6E"/>
    <w:rsid w:val="00472B8E"/>
    <w:rsid w:val="0047504C"/>
    <w:rsid w:val="004936BE"/>
    <w:rsid w:val="004B4ED3"/>
    <w:rsid w:val="004E482F"/>
    <w:rsid w:val="00506611"/>
    <w:rsid w:val="005172E8"/>
    <w:rsid w:val="00526A6B"/>
    <w:rsid w:val="00537479"/>
    <w:rsid w:val="00560ADD"/>
    <w:rsid w:val="005706AB"/>
    <w:rsid w:val="00573732"/>
    <w:rsid w:val="005873EB"/>
    <w:rsid w:val="00594E09"/>
    <w:rsid w:val="005F063B"/>
    <w:rsid w:val="005F6503"/>
    <w:rsid w:val="0060374E"/>
    <w:rsid w:val="00606313"/>
    <w:rsid w:val="00610DCD"/>
    <w:rsid w:val="006323DB"/>
    <w:rsid w:val="00637DD7"/>
    <w:rsid w:val="00653777"/>
    <w:rsid w:val="00667145"/>
    <w:rsid w:val="006707B0"/>
    <w:rsid w:val="00674148"/>
    <w:rsid w:val="00684088"/>
    <w:rsid w:val="00697586"/>
    <w:rsid w:val="006C28E3"/>
    <w:rsid w:val="006E7806"/>
    <w:rsid w:val="00720766"/>
    <w:rsid w:val="00732987"/>
    <w:rsid w:val="0075011A"/>
    <w:rsid w:val="007720DB"/>
    <w:rsid w:val="007C4E3C"/>
    <w:rsid w:val="007C6ACC"/>
    <w:rsid w:val="007C71E9"/>
    <w:rsid w:val="007D1977"/>
    <w:rsid w:val="007D6B9F"/>
    <w:rsid w:val="00871E1B"/>
    <w:rsid w:val="00873961"/>
    <w:rsid w:val="008840FC"/>
    <w:rsid w:val="0089126E"/>
    <w:rsid w:val="008E5BCE"/>
    <w:rsid w:val="00904E57"/>
    <w:rsid w:val="00963AFF"/>
    <w:rsid w:val="009669A4"/>
    <w:rsid w:val="009779E2"/>
    <w:rsid w:val="00980D7D"/>
    <w:rsid w:val="00981B38"/>
    <w:rsid w:val="009A29B5"/>
    <w:rsid w:val="009F1BE1"/>
    <w:rsid w:val="00A04B0D"/>
    <w:rsid w:val="00A1230F"/>
    <w:rsid w:val="00A15E61"/>
    <w:rsid w:val="00A26A46"/>
    <w:rsid w:val="00A31753"/>
    <w:rsid w:val="00A3245E"/>
    <w:rsid w:val="00A523A6"/>
    <w:rsid w:val="00A54CC1"/>
    <w:rsid w:val="00A720DA"/>
    <w:rsid w:val="00AB4893"/>
    <w:rsid w:val="00AD18F4"/>
    <w:rsid w:val="00AE1DF0"/>
    <w:rsid w:val="00AE6162"/>
    <w:rsid w:val="00B34F81"/>
    <w:rsid w:val="00B65968"/>
    <w:rsid w:val="00BB1A45"/>
    <w:rsid w:val="00BC2F37"/>
    <w:rsid w:val="00BE31FC"/>
    <w:rsid w:val="00BF3259"/>
    <w:rsid w:val="00C14D99"/>
    <w:rsid w:val="00C244B4"/>
    <w:rsid w:val="00C27A64"/>
    <w:rsid w:val="00C30544"/>
    <w:rsid w:val="00C46716"/>
    <w:rsid w:val="00C71DFB"/>
    <w:rsid w:val="00C72E35"/>
    <w:rsid w:val="00C96D6B"/>
    <w:rsid w:val="00CB7B40"/>
    <w:rsid w:val="00CC5EEC"/>
    <w:rsid w:val="00CD3952"/>
    <w:rsid w:val="00CD7CB7"/>
    <w:rsid w:val="00CF16E2"/>
    <w:rsid w:val="00D04133"/>
    <w:rsid w:val="00D3720A"/>
    <w:rsid w:val="00D44235"/>
    <w:rsid w:val="00D53837"/>
    <w:rsid w:val="00D54ABE"/>
    <w:rsid w:val="00D74016"/>
    <w:rsid w:val="00D80552"/>
    <w:rsid w:val="00DA0499"/>
    <w:rsid w:val="00DD0161"/>
    <w:rsid w:val="00DD594B"/>
    <w:rsid w:val="00DE6084"/>
    <w:rsid w:val="00DE6F44"/>
    <w:rsid w:val="00E266EC"/>
    <w:rsid w:val="00E572C9"/>
    <w:rsid w:val="00E97812"/>
    <w:rsid w:val="00EA508C"/>
    <w:rsid w:val="00EC0FC8"/>
    <w:rsid w:val="00EC5239"/>
    <w:rsid w:val="00EE0E27"/>
    <w:rsid w:val="00EF52F0"/>
    <w:rsid w:val="00EF5506"/>
    <w:rsid w:val="00EF7606"/>
    <w:rsid w:val="00F1056F"/>
    <w:rsid w:val="00F10734"/>
    <w:rsid w:val="00F12516"/>
    <w:rsid w:val="00F3607C"/>
    <w:rsid w:val="00F541B0"/>
    <w:rsid w:val="00F65220"/>
    <w:rsid w:val="00F713D1"/>
    <w:rsid w:val="00F81238"/>
    <w:rsid w:val="00F850D9"/>
    <w:rsid w:val="00FB6A0F"/>
    <w:rsid w:val="00FC51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AE1E0"/>
  <w15:chartTrackingRefBased/>
  <w15:docId w15:val="{09ABADC7-502A-49D9-8C55-EE19AAE4B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52F0"/>
  </w:style>
  <w:style w:type="paragraph" w:styleId="Heading3">
    <w:name w:val="heading 3"/>
    <w:basedOn w:val="Normal"/>
    <w:next w:val="Normal"/>
    <w:link w:val="Heading3Char"/>
    <w:uiPriority w:val="9"/>
    <w:semiHidden/>
    <w:unhideWhenUsed/>
    <w:qFormat/>
    <w:rsid w:val="00F713D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
    <w:name w:val="EndNote Bibliography"/>
    <w:basedOn w:val="Normal"/>
    <w:link w:val="EndNoteBibliographyChar"/>
    <w:rsid w:val="00F713D1"/>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F713D1"/>
    <w:rPr>
      <w:rFonts w:ascii="Calibri" w:hAnsi="Calibri" w:cs="Calibri"/>
      <w:noProof/>
    </w:rPr>
  </w:style>
  <w:style w:type="character" w:customStyle="1" w:styleId="Heading3Char">
    <w:name w:val="Heading 3 Char"/>
    <w:basedOn w:val="DefaultParagraphFont"/>
    <w:link w:val="Heading3"/>
    <w:uiPriority w:val="9"/>
    <w:semiHidden/>
    <w:rsid w:val="00F713D1"/>
    <w:rPr>
      <w:rFonts w:asciiTheme="majorHAnsi" w:eastAsiaTheme="majorEastAsia" w:hAnsiTheme="majorHAnsi" w:cstheme="majorBidi"/>
      <w:color w:val="1F3763" w:themeColor="accent1" w:themeShade="7F"/>
      <w:sz w:val="24"/>
      <w:szCs w:val="24"/>
    </w:rPr>
  </w:style>
  <w:style w:type="table" w:styleId="TableGrid">
    <w:name w:val="Table Grid"/>
    <w:basedOn w:val="TableNormal"/>
    <w:uiPriority w:val="39"/>
    <w:rsid w:val="00F713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ord">
    <w:name w:val="mord"/>
    <w:basedOn w:val="DefaultParagraphFont"/>
    <w:rsid w:val="00C14D99"/>
  </w:style>
  <w:style w:type="paragraph" w:customStyle="1" w:styleId="Default">
    <w:name w:val="Default"/>
    <w:rsid w:val="00EF7606"/>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ListParagraph">
    <w:name w:val="List Paragraph"/>
    <w:basedOn w:val="Normal"/>
    <w:uiPriority w:val="34"/>
    <w:qFormat/>
    <w:rsid w:val="00FC514C"/>
    <w:pPr>
      <w:ind w:left="720"/>
      <w:contextualSpacing/>
    </w:pPr>
  </w:style>
  <w:style w:type="character" w:styleId="PlaceholderText">
    <w:name w:val="Placeholder Text"/>
    <w:basedOn w:val="DefaultParagraphFont"/>
    <w:uiPriority w:val="99"/>
    <w:semiHidden/>
    <w:rsid w:val="00244A2B"/>
    <w:rPr>
      <w:color w:val="666666"/>
    </w:rPr>
  </w:style>
  <w:style w:type="paragraph" w:styleId="FootnoteText">
    <w:name w:val="footnote text"/>
    <w:basedOn w:val="Normal"/>
    <w:link w:val="FootnoteTextChar"/>
    <w:uiPriority w:val="99"/>
    <w:semiHidden/>
    <w:unhideWhenUsed/>
    <w:rsid w:val="00461826"/>
    <w:pPr>
      <w:spacing w:after="0" w:line="240" w:lineRule="auto"/>
    </w:pPr>
    <w:rPr>
      <w:rFonts w:ascii="Calibri" w:eastAsia="Calibri" w:hAnsi="Calibri" w:cs="Times New Roman"/>
      <w:sz w:val="20"/>
      <w:szCs w:val="20"/>
      <w14:ligatures w14:val="none"/>
    </w:rPr>
  </w:style>
  <w:style w:type="character" w:customStyle="1" w:styleId="FootnoteTextChar">
    <w:name w:val="Footnote Text Char"/>
    <w:basedOn w:val="DefaultParagraphFont"/>
    <w:link w:val="FootnoteText"/>
    <w:uiPriority w:val="99"/>
    <w:semiHidden/>
    <w:rsid w:val="00461826"/>
    <w:rPr>
      <w:rFonts w:ascii="Calibri" w:eastAsia="Calibri" w:hAnsi="Calibri" w:cs="Times New Roman"/>
      <w:sz w:val="20"/>
      <w:szCs w:val="20"/>
      <w14:ligatures w14:val="none"/>
    </w:rPr>
  </w:style>
  <w:style w:type="character" w:styleId="FootnoteReference">
    <w:name w:val="footnote reference"/>
    <w:uiPriority w:val="99"/>
    <w:semiHidden/>
    <w:unhideWhenUsed/>
    <w:rsid w:val="00461826"/>
    <w:rPr>
      <w:vertAlign w:val="superscript"/>
    </w:rPr>
  </w:style>
  <w:style w:type="character" w:styleId="Hyperlink">
    <w:name w:val="Hyperlink"/>
    <w:uiPriority w:val="99"/>
    <w:unhideWhenUsed/>
    <w:rsid w:val="00461826"/>
    <w:rPr>
      <w:color w:val="0000FF"/>
      <w:u w:val="single"/>
    </w:rPr>
  </w:style>
  <w:style w:type="paragraph" w:styleId="Header">
    <w:name w:val="header"/>
    <w:basedOn w:val="Normal"/>
    <w:link w:val="HeaderChar"/>
    <w:uiPriority w:val="99"/>
    <w:unhideWhenUsed/>
    <w:rsid w:val="004750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504C"/>
  </w:style>
  <w:style w:type="paragraph" w:styleId="Footer">
    <w:name w:val="footer"/>
    <w:basedOn w:val="Normal"/>
    <w:link w:val="FooterChar"/>
    <w:uiPriority w:val="99"/>
    <w:unhideWhenUsed/>
    <w:rsid w:val="004750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50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171636">
      <w:bodyDiv w:val="1"/>
      <w:marLeft w:val="0"/>
      <w:marRight w:val="0"/>
      <w:marTop w:val="0"/>
      <w:marBottom w:val="0"/>
      <w:divBdr>
        <w:top w:val="none" w:sz="0" w:space="0" w:color="auto"/>
        <w:left w:val="none" w:sz="0" w:space="0" w:color="auto"/>
        <w:bottom w:val="none" w:sz="0" w:space="0" w:color="auto"/>
        <w:right w:val="none" w:sz="0" w:space="0" w:color="auto"/>
      </w:divBdr>
    </w:div>
    <w:div w:id="50882297">
      <w:bodyDiv w:val="1"/>
      <w:marLeft w:val="0"/>
      <w:marRight w:val="0"/>
      <w:marTop w:val="0"/>
      <w:marBottom w:val="0"/>
      <w:divBdr>
        <w:top w:val="none" w:sz="0" w:space="0" w:color="auto"/>
        <w:left w:val="none" w:sz="0" w:space="0" w:color="auto"/>
        <w:bottom w:val="none" w:sz="0" w:space="0" w:color="auto"/>
        <w:right w:val="none" w:sz="0" w:space="0" w:color="auto"/>
      </w:divBdr>
    </w:div>
    <w:div w:id="110636495">
      <w:bodyDiv w:val="1"/>
      <w:marLeft w:val="0"/>
      <w:marRight w:val="0"/>
      <w:marTop w:val="0"/>
      <w:marBottom w:val="0"/>
      <w:divBdr>
        <w:top w:val="none" w:sz="0" w:space="0" w:color="auto"/>
        <w:left w:val="none" w:sz="0" w:space="0" w:color="auto"/>
        <w:bottom w:val="none" w:sz="0" w:space="0" w:color="auto"/>
        <w:right w:val="none" w:sz="0" w:space="0" w:color="auto"/>
      </w:divBdr>
    </w:div>
    <w:div w:id="130514289">
      <w:bodyDiv w:val="1"/>
      <w:marLeft w:val="0"/>
      <w:marRight w:val="0"/>
      <w:marTop w:val="0"/>
      <w:marBottom w:val="0"/>
      <w:divBdr>
        <w:top w:val="none" w:sz="0" w:space="0" w:color="auto"/>
        <w:left w:val="none" w:sz="0" w:space="0" w:color="auto"/>
        <w:bottom w:val="none" w:sz="0" w:space="0" w:color="auto"/>
        <w:right w:val="none" w:sz="0" w:space="0" w:color="auto"/>
      </w:divBdr>
    </w:div>
    <w:div w:id="134837954">
      <w:bodyDiv w:val="1"/>
      <w:marLeft w:val="0"/>
      <w:marRight w:val="0"/>
      <w:marTop w:val="0"/>
      <w:marBottom w:val="0"/>
      <w:divBdr>
        <w:top w:val="none" w:sz="0" w:space="0" w:color="auto"/>
        <w:left w:val="none" w:sz="0" w:space="0" w:color="auto"/>
        <w:bottom w:val="none" w:sz="0" w:space="0" w:color="auto"/>
        <w:right w:val="none" w:sz="0" w:space="0" w:color="auto"/>
      </w:divBdr>
    </w:div>
    <w:div w:id="156388609">
      <w:bodyDiv w:val="1"/>
      <w:marLeft w:val="0"/>
      <w:marRight w:val="0"/>
      <w:marTop w:val="0"/>
      <w:marBottom w:val="0"/>
      <w:divBdr>
        <w:top w:val="none" w:sz="0" w:space="0" w:color="auto"/>
        <w:left w:val="none" w:sz="0" w:space="0" w:color="auto"/>
        <w:bottom w:val="none" w:sz="0" w:space="0" w:color="auto"/>
        <w:right w:val="none" w:sz="0" w:space="0" w:color="auto"/>
      </w:divBdr>
    </w:div>
    <w:div w:id="212737423">
      <w:bodyDiv w:val="1"/>
      <w:marLeft w:val="0"/>
      <w:marRight w:val="0"/>
      <w:marTop w:val="0"/>
      <w:marBottom w:val="0"/>
      <w:divBdr>
        <w:top w:val="none" w:sz="0" w:space="0" w:color="auto"/>
        <w:left w:val="none" w:sz="0" w:space="0" w:color="auto"/>
        <w:bottom w:val="none" w:sz="0" w:space="0" w:color="auto"/>
        <w:right w:val="none" w:sz="0" w:space="0" w:color="auto"/>
      </w:divBdr>
    </w:div>
    <w:div w:id="216359498">
      <w:bodyDiv w:val="1"/>
      <w:marLeft w:val="0"/>
      <w:marRight w:val="0"/>
      <w:marTop w:val="0"/>
      <w:marBottom w:val="0"/>
      <w:divBdr>
        <w:top w:val="none" w:sz="0" w:space="0" w:color="auto"/>
        <w:left w:val="none" w:sz="0" w:space="0" w:color="auto"/>
        <w:bottom w:val="none" w:sz="0" w:space="0" w:color="auto"/>
        <w:right w:val="none" w:sz="0" w:space="0" w:color="auto"/>
      </w:divBdr>
    </w:div>
    <w:div w:id="242106421">
      <w:bodyDiv w:val="1"/>
      <w:marLeft w:val="0"/>
      <w:marRight w:val="0"/>
      <w:marTop w:val="0"/>
      <w:marBottom w:val="0"/>
      <w:divBdr>
        <w:top w:val="none" w:sz="0" w:space="0" w:color="auto"/>
        <w:left w:val="none" w:sz="0" w:space="0" w:color="auto"/>
        <w:bottom w:val="none" w:sz="0" w:space="0" w:color="auto"/>
        <w:right w:val="none" w:sz="0" w:space="0" w:color="auto"/>
      </w:divBdr>
    </w:div>
    <w:div w:id="273371735">
      <w:bodyDiv w:val="1"/>
      <w:marLeft w:val="0"/>
      <w:marRight w:val="0"/>
      <w:marTop w:val="0"/>
      <w:marBottom w:val="0"/>
      <w:divBdr>
        <w:top w:val="none" w:sz="0" w:space="0" w:color="auto"/>
        <w:left w:val="none" w:sz="0" w:space="0" w:color="auto"/>
        <w:bottom w:val="none" w:sz="0" w:space="0" w:color="auto"/>
        <w:right w:val="none" w:sz="0" w:space="0" w:color="auto"/>
      </w:divBdr>
    </w:div>
    <w:div w:id="275722841">
      <w:bodyDiv w:val="1"/>
      <w:marLeft w:val="0"/>
      <w:marRight w:val="0"/>
      <w:marTop w:val="0"/>
      <w:marBottom w:val="0"/>
      <w:divBdr>
        <w:top w:val="none" w:sz="0" w:space="0" w:color="auto"/>
        <w:left w:val="none" w:sz="0" w:space="0" w:color="auto"/>
        <w:bottom w:val="none" w:sz="0" w:space="0" w:color="auto"/>
        <w:right w:val="none" w:sz="0" w:space="0" w:color="auto"/>
      </w:divBdr>
    </w:div>
    <w:div w:id="286742167">
      <w:bodyDiv w:val="1"/>
      <w:marLeft w:val="0"/>
      <w:marRight w:val="0"/>
      <w:marTop w:val="0"/>
      <w:marBottom w:val="0"/>
      <w:divBdr>
        <w:top w:val="none" w:sz="0" w:space="0" w:color="auto"/>
        <w:left w:val="none" w:sz="0" w:space="0" w:color="auto"/>
        <w:bottom w:val="none" w:sz="0" w:space="0" w:color="auto"/>
        <w:right w:val="none" w:sz="0" w:space="0" w:color="auto"/>
      </w:divBdr>
    </w:div>
    <w:div w:id="290743667">
      <w:bodyDiv w:val="1"/>
      <w:marLeft w:val="0"/>
      <w:marRight w:val="0"/>
      <w:marTop w:val="0"/>
      <w:marBottom w:val="0"/>
      <w:divBdr>
        <w:top w:val="none" w:sz="0" w:space="0" w:color="auto"/>
        <w:left w:val="none" w:sz="0" w:space="0" w:color="auto"/>
        <w:bottom w:val="none" w:sz="0" w:space="0" w:color="auto"/>
        <w:right w:val="none" w:sz="0" w:space="0" w:color="auto"/>
      </w:divBdr>
    </w:div>
    <w:div w:id="346833074">
      <w:bodyDiv w:val="1"/>
      <w:marLeft w:val="0"/>
      <w:marRight w:val="0"/>
      <w:marTop w:val="0"/>
      <w:marBottom w:val="0"/>
      <w:divBdr>
        <w:top w:val="none" w:sz="0" w:space="0" w:color="auto"/>
        <w:left w:val="none" w:sz="0" w:space="0" w:color="auto"/>
        <w:bottom w:val="none" w:sz="0" w:space="0" w:color="auto"/>
        <w:right w:val="none" w:sz="0" w:space="0" w:color="auto"/>
      </w:divBdr>
    </w:div>
    <w:div w:id="356200216">
      <w:bodyDiv w:val="1"/>
      <w:marLeft w:val="0"/>
      <w:marRight w:val="0"/>
      <w:marTop w:val="0"/>
      <w:marBottom w:val="0"/>
      <w:divBdr>
        <w:top w:val="none" w:sz="0" w:space="0" w:color="auto"/>
        <w:left w:val="none" w:sz="0" w:space="0" w:color="auto"/>
        <w:bottom w:val="none" w:sz="0" w:space="0" w:color="auto"/>
        <w:right w:val="none" w:sz="0" w:space="0" w:color="auto"/>
      </w:divBdr>
    </w:div>
    <w:div w:id="389185105">
      <w:bodyDiv w:val="1"/>
      <w:marLeft w:val="0"/>
      <w:marRight w:val="0"/>
      <w:marTop w:val="0"/>
      <w:marBottom w:val="0"/>
      <w:divBdr>
        <w:top w:val="none" w:sz="0" w:space="0" w:color="auto"/>
        <w:left w:val="none" w:sz="0" w:space="0" w:color="auto"/>
        <w:bottom w:val="none" w:sz="0" w:space="0" w:color="auto"/>
        <w:right w:val="none" w:sz="0" w:space="0" w:color="auto"/>
      </w:divBdr>
    </w:div>
    <w:div w:id="393743293">
      <w:bodyDiv w:val="1"/>
      <w:marLeft w:val="0"/>
      <w:marRight w:val="0"/>
      <w:marTop w:val="0"/>
      <w:marBottom w:val="0"/>
      <w:divBdr>
        <w:top w:val="none" w:sz="0" w:space="0" w:color="auto"/>
        <w:left w:val="none" w:sz="0" w:space="0" w:color="auto"/>
        <w:bottom w:val="none" w:sz="0" w:space="0" w:color="auto"/>
        <w:right w:val="none" w:sz="0" w:space="0" w:color="auto"/>
      </w:divBdr>
    </w:div>
    <w:div w:id="395591992">
      <w:bodyDiv w:val="1"/>
      <w:marLeft w:val="0"/>
      <w:marRight w:val="0"/>
      <w:marTop w:val="0"/>
      <w:marBottom w:val="0"/>
      <w:divBdr>
        <w:top w:val="none" w:sz="0" w:space="0" w:color="auto"/>
        <w:left w:val="none" w:sz="0" w:space="0" w:color="auto"/>
        <w:bottom w:val="none" w:sz="0" w:space="0" w:color="auto"/>
        <w:right w:val="none" w:sz="0" w:space="0" w:color="auto"/>
      </w:divBdr>
    </w:div>
    <w:div w:id="397216812">
      <w:bodyDiv w:val="1"/>
      <w:marLeft w:val="0"/>
      <w:marRight w:val="0"/>
      <w:marTop w:val="0"/>
      <w:marBottom w:val="0"/>
      <w:divBdr>
        <w:top w:val="none" w:sz="0" w:space="0" w:color="auto"/>
        <w:left w:val="none" w:sz="0" w:space="0" w:color="auto"/>
        <w:bottom w:val="none" w:sz="0" w:space="0" w:color="auto"/>
        <w:right w:val="none" w:sz="0" w:space="0" w:color="auto"/>
      </w:divBdr>
    </w:div>
    <w:div w:id="431973510">
      <w:bodyDiv w:val="1"/>
      <w:marLeft w:val="0"/>
      <w:marRight w:val="0"/>
      <w:marTop w:val="0"/>
      <w:marBottom w:val="0"/>
      <w:divBdr>
        <w:top w:val="none" w:sz="0" w:space="0" w:color="auto"/>
        <w:left w:val="none" w:sz="0" w:space="0" w:color="auto"/>
        <w:bottom w:val="none" w:sz="0" w:space="0" w:color="auto"/>
        <w:right w:val="none" w:sz="0" w:space="0" w:color="auto"/>
      </w:divBdr>
    </w:div>
    <w:div w:id="441540182">
      <w:bodyDiv w:val="1"/>
      <w:marLeft w:val="0"/>
      <w:marRight w:val="0"/>
      <w:marTop w:val="0"/>
      <w:marBottom w:val="0"/>
      <w:divBdr>
        <w:top w:val="none" w:sz="0" w:space="0" w:color="auto"/>
        <w:left w:val="none" w:sz="0" w:space="0" w:color="auto"/>
        <w:bottom w:val="none" w:sz="0" w:space="0" w:color="auto"/>
        <w:right w:val="none" w:sz="0" w:space="0" w:color="auto"/>
      </w:divBdr>
    </w:div>
    <w:div w:id="464542770">
      <w:bodyDiv w:val="1"/>
      <w:marLeft w:val="0"/>
      <w:marRight w:val="0"/>
      <w:marTop w:val="0"/>
      <w:marBottom w:val="0"/>
      <w:divBdr>
        <w:top w:val="none" w:sz="0" w:space="0" w:color="auto"/>
        <w:left w:val="none" w:sz="0" w:space="0" w:color="auto"/>
        <w:bottom w:val="none" w:sz="0" w:space="0" w:color="auto"/>
        <w:right w:val="none" w:sz="0" w:space="0" w:color="auto"/>
      </w:divBdr>
    </w:div>
    <w:div w:id="487064917">
      <w:bodyDiv w:val="1"/>
      <w:marLeft w:val="0"/>
      <w:marRight w:val="0"/>
      <w:marTop w:val="0"/>
      <w:marBottom w:val="0"/>
      <w:divBdr>
        <w:top w:val="none" w:sz="0" w:space="0" w:color="auto"/>
        <w:left w:val="none" w:sz="0" w:space="0" w:color="auto"/>
        <w:bottom w:val="none" w:sz="0" w:space="0" w:color="auto"/>
        <w:right w:val="none" w:sz="0" w:space="0" w:color="auto"/>
      </w:divBdr>
    </w:div>
    <w:div w:id="489711916">
      <w:bodyDiv w:val="1"/>
      <w:marLeft w:val="0"/>
      <w:marRight w:val="0"/>
      <w:marTop w:val="0"/>
      <w:marBottom w:val="0"/>
      <w:divBdr>
        <w:top w:val="none" w:sz="0" w:space="0" w:color="auto"/>
        <w:left w:val="none" w:sz="0" w:space="0" w:color="auto"/>
        <w:bottom w:val="none" w:sz="0" w:space="0" w:color="auto"/>
        <w:right w:val="none" w:sz="0" w:space="0" w:color="auto"/>
      </w:divBdr>
    </w:div>
    <w:div w:id="540217035">
      <w:bodyDiv w:val="1"/>
      <w:marLeft w:val="0"/>
      <w:marRight w:val="0"/>
      <w:marTop w:val="0"/>
      <w:marBottom w:val="0"/>
      <w:divBdr>
        <w:top w:val="none" w:sz="0" w:space="0" w:color="auto"/>
        <w:left w:val="none" w:sz="0" w:space="0" w:color="auto"/>
        <w:bottom w:val="none" w:sz="0" w:space="0" w:color="auto"/>
        <w:right w:val="none" w:sz="0" w:space="0" w:color="auto"/>
      </w:divBdr>
    </w:div>
    <w:div w:id="560361058">
      <w:bodyDiv w:val="1"/>
      <w:marLeft w:val="0"/>
      <w:marRight w:val="0"/>
      <w:marTop w:val="0"/>
      <w:marBottom w:val="0"/>
      <w:divBdr>
        <w:top w:val="none" w:sz="0" w:space="0" w:color="auto"/>
        <w:left w:val="none" w:sz="0" w:space="0" w:color="auto"/>
        <w:bottom w:val="none" w:sz="0" w:space="0" w:color="auto"/>
        <w:right w:val="none" w:sz="0" w:space="0" w:color="auto"/>
      </w:divBdr>
    </w:div>
    <w:div w:id="603028439">
      <w:bodyDiv w:val="1"/>
      <w:marLeft w:val="0"/>
      <w:marRight w:val="0"/>
      <w:marTop w:val="0"/>
      <w:marBottom w:val="0"/>
      <w:divBdr>
        <w:top w:val="none" w:sz="0" w:space="0" w:color="auto"/>
        <w:left w:val="none" w:sz="0" w:space="0" w:color="auto"/>
        <w:bottom w:val="none" w:sz="0" w:space="0" w:color="auto"/>
        <w:right w:val="none" w:sz="0" w:space="0" w:color="auto"/>
      </w:divBdr>
    </w:div>
    <w:div w:id="603538968">
      <w:bodyDiv w:val="1"/>
      <w:marLeft w:val="0"/>
      <w:marRight w:val="0"/>
      <w:marTop w:val="0"/>
      <w:marBottom w:val="0"/>
      <w:divBdr>
        <w:top w:val="none" w:sz="0" w:space="0" w:color="auto"/>
        <w:left w:val="none" w:sz="0" w:space="0" w:color="auto"/>
        <w:bottom w:val="none" w:sz="0" w:space="0" w:color="auto"/>
        <w:right w:val="none" w:sz="0" w:space="0" w:color="auto"/>
      </w:divBdr>
    </w:div>
    <w:div w:id="626857963">
      <w:bodyDiv w:val="1"/>
      <w:marLeft w:val="0"/>
      <w:marRight w:val="0"/>
      <w:marTop w:val="0"/>
      <w:marBottom w:val="0"/>
      <w:divBdr>
        <w:top w:val="none" w:sz="0" w:space="0" w:color="auto"/>
        <w:left w:val="none" w:sz="0" w:space="0" w:color="auto"/>
        <w:bottom w:val="none" w:sz="0" w:space="0" w:color="auto"/>
        <w:right w:val="none" w:sz="0" w:space="0" w:color="auto"/>
      </w:divBdr>
    </w:div>
    <w:div w:id="654651033">
      <w:bodyDiv w:val="1"/>
      <w:marLeft w:val="0"/>
      <w:marRight w:val="0"/>
      <w:marTop w:val="0"/>
      <w:marBottom w:val="0"/>
      <w:divBdr>
        <w:top w:val="none" w:sz="0" w:space="0" w:color="auto"/>
        <w:left w:val="none" w:sz="0" w:space="0" w:color="auto"/>
        <w:bottom w:val="none" w:sz="0" w:space="0" w:color="auto"/>
        <w:right w:val="none" w:sz="0" w:space="0" w:color="auto"/>
      </w:divBdr>
    </w:div>
    <w:div w:id="657001071">
      <w:bodyDiv w:val="1"/>
      <w:marLeft w:val="0"/>
      <w:marRight w:val="0"/>
      <w:marTop w:val="0"/>
      <w:marBottom w:val="0"/>
      <w:divBdr>
        <w:top w:val="none" w:sz="0" w:space="0" w:color="auto"/>
        <w:left w:val="none" w:sz="0" w:space="0" w:color="auto"/>
        <w:bottom w:val="none" w:sz="0" w:space="0" w:color="auto"/>
        <w:right w:val="none" w:sz="0" w:space="0" w:color="auto"/>
      </w:divBdr>
    </w:div>
    <w:div w:id="749501613">
      <w:bodyDiv w:val="1"/>
      <w:marLeft w:val="0"/>
      <w:marRight w:val="0"/>
      <w:marTop w:val="0"/>
      <w:marBottom w:val="0"/>
      <w:divBdr>
        <w:top w:val="none" w:sz="0" w:space="0" w:color="auto"/>
        <w:left w:val="none" w:sz="0" w:space="0" w:color="auto"/>
        <w:bottom w:val="none" w:sz="0" w:space="0" w:color="auto"/>
        <w:right w:val="none" w:sz="0" w:space="0" w:color="auto"/>
      </w:divBdr>
    </w:div>
    <w:div w:id="753867370">
      <w:bodyDiv w:val="1"/>
      <w:marLeft w:val="0"/>
      <w:marRight w:val="0"/>
      <w:marTop w:val="0"/>
      <w:marBottom w:val="0"/>
      <w:divBdr>
        <w:top w:val="none" w:sz="0" w:space="0" w:color="auto"/>
        <w:left w:val="none" w:sz="0" w:space="0" w:color="auto"/>
        <w:bottom w:val="none" w:sz="0" w:space="0" w:color="auto"/>
        <w:right w:val="none" w:sz="0" w:space="0" w:color="auto"/>
      </w:divBdr>
      <w:divsChild>
        <w:div w:id="833184796">
          <w:marLeft w:val="0"/>
          <w:marRight w:val="0"/>
          <w:marTop w:val="0"/>
          <w:marBottom w:val="0"/>
          <w:divBdr>
            <w:top w:val="none" w:sz="0" w:space="0" w:color="auto"/>
            <w:left w:val="none" w:sz="0" w:space="0" w:color="auto"/>
            <w:bottom w:val="none" w:sz="0" w:space="0" w:color="auto"/>
            <w:right w:val="none" w:sz="0" w:space="0" w:color="auto"/>
          </w:divBdr>
          <w:divsChild>
            <w:div w:id="1116607464">
              <w:marLeft w:val="0"/>
              <w:marRight w:val="0"/>
              <w:marTop w:val="0"/>
              <w:marBottom w:val="0"/>
              <w:divBdr>
                <w:top w:val="none" w:sz="0" w:space="0" w:color="auto"/>
                <w:left w:val="none" w:sz="0" w:space="0" w:color="auto"/>
                <w:bottom w:val="none" w:sz="0" w:space="0" w:color="auto"/>
                <w:right w:val="none" w:sz="0" w:space="0" w:color="auto"/>
              </w:divBdr>
              <w:divsChild>
                <w:div w:id="679698324">
                  <w:marLeft w:val="0"/>
                  <w:marRight w:val="0"/>
                  <w:marTop w:val="0"/>
                  <w:marBottom w:val="0"/>
                  <w:divBdr>
                    <w:top w:val="none" w:sz="0" w:space="0" w:color="auto"/>
                    <w:left w:val="none" w:sz="0" w:space="0" w:color="auto"/>
                    <w:bottom w:val="none" w:sz="0" w:space="0" w:color="auto"/>
                    <w:right w:val="none" w:sz="0" w:space="0" w:color="auto"/>
                  </w:divBdr>
                  <w:divsChild>
                    <w:div w:id="18698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880594">
          <w:marLeft w:val="0"/>
          <w:marRight w:val="0"/>
          <w:marTop w:val="0"/>
          <w:marBottom w:val="0"/>
          <w:divBdr>
            <w:top w:val="none" w:sz="0" w:space="0" w:color="auto"/>
            <w:left w:val="none" w:sz="0" w:space="0" w:color="auto"/>
            <w:bottom w:val="none" w:sz="0" w:space="0" w:color="auto"/>
            <w:right w:val="none" w:sz="0" w:space="0" w:color="auto"/>
          </w:divBdr>
          <w:divsChild>
            <w:div w:id="1823347456">
              <w:marLeft w:val="0"/>
              <w:marRight w:val="0"/>
              <w:marTop w:val="0"/>
              <w:marBottom w:val="0"/>
              <w:divBdr>
                <w:top w:val="none" w:sz="0" w:space="0" w:color="auto"/>
                <w:left w:val="none" w:sz="0" w:space="0" w:color="auto"/>
                <w:bottom w:val="none" w:sz="0" w:space="0" w:color="auto"/>
                <w:right w:val="none" w:sz="0" w:space="0" w:color="auto"/>
              </w:divBdr>
              <w:divsChild>
                <w:div w:id="1837920220">
                  <w:marLeft w:val="0"/>
                  <w:marRight w:val="0"/>
                  <w:marTop w:val="0"/>
                  <w:marBottom w:val="0"/>
                  <w:divBdr>
                    <w:top w:val="none" w:sz="0" w:space="0" w:color="auto"/>
                    <w:left w:val="none" w:sz="0" w:space="0" w:color="auto"/>
                    <w:bottom w:val="none" w:sz="0" w:space="0" w:color="auto"/>
                    <w:right w:val="none" w:sz="0" w:space="0" w:color="auto"/>
                  </w:divBdr>
                  <w:divsChild>
                    <w:div w:id="87951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1875853">
      <w:bodyDiv w:val="1"/>
      <w:marLeft w:val="0"/>
      <w:marRight w:val="0"/>
      <w:marTop w:val="0"/>
      <w:marBottom w:val="0"/>
      <w:divBdr>
        <w:top w:val="none" w:sz="0" w:space="0" w:color="auto"/>
        <w:left w:val="none" w:sz="0" w:space="0" w:color="auto"/>
        <w:bottom w:val="none" w:sz="0" w:space="0" w:color="auto"/>
        <w:right w:val="none" w:sz="0" w:space="0" w:color="auto"/>
      </w:divBdr>
    </w:div>
    <w:div w:id="810829147">
      <w:bodyDiv w:val="1"/>
      <w:marLeft w:val="0"/>
      <w:marRight w:val="0"/>
      <w:marTop w:val="0"/>
      <w:marBottom w:val="0"/>
      <w:divBdr>
        <w:top w:val="none" w:sz="0" w:space="0" w:color="auto"/>
        <w:left w:val="none" w:sz="0" w:space="0" w:color="auto"/>
        <w:bottom w:val="none" w:sz="0" w:space="0" w:color="auto"/>
        <w:right w:val="none" w:sz="0" w:space="0" w:color="auto"/>
      </w:divBdr>
    </w:div>
    <w:div w:id="816413963">
      <w:bodyDiv w:val="1"/>
      <w:marLeft w:val="0"/>
      <w:marRight w:val="0"/>
      <w:marTop w:val="0"/>
      <w:marBottom w:val="0"/>
      <w:divBdr>
        <w:top w:val="none" w:sz="0" w:space="0" w:color="auto"/>
        <w:left w:val="none" w:sz="0" w:space="0" w:color="auto"/>
        <w:bottom w:val="none" w:sz="0" w:space="0" w:color="auto"/>
        <w:right w:val="none" w:sz="0" w:space="0" w:color="auto"/>
      </w:divBdr>
    </w:div>
    <w:div w:id="826673383">
      <w:bodyDiv w:val="1"/>
      <w:marLeft w:val="0"/>
      <w:marRight w:val="0"/>
      <w:marTop w:val="0"/>
      <w:marBottom w:val="0"/>
      <w:divBdr>
        <w:top w:val="none" w:sz="0" w:space="0" w:color="auto"/>
        <w:left w:val="none" w:sz="0" w:space="0" w:color="auto"/>
        <w:bottom w:val="none" w:sz="0" w:space="0" w:color="auto"/>
        <w:right w:val="none" w:sz="0" w:space="0" w:color="auto"/>
      </w:divBdr>
    </w:div>
    <w:div w:id="827016420">
      <w:bodyDiv w:val="1"/>
      <w:marLeft w:val="0"/>
      <w:marRight w:val="0"/>
      <w:marTop w:val="0"/>
      <w:marBottom w:val="0"/>
      <w:divBdr>
        <w:top w:val="none" w:sz="0" w:space="0" w:color="auto"/>
        <w:left w:val="none" w:sz="0" w:space="0" w:color="auto"/>
        <w:bottom w:val="none" w:sz="0" w:space="0" w:color="auto"/>
        <w:right w:val="none" w:sz="0" w:space="0" w:color="auto"/>
      </w:divBdr>
    </w:div>
    <w:div w:id="827750077">
      <w:bodyDiv w:val="1"/>
      <w:marLeft w:val="0"/>
      <w:marRight w:val="0"/>
      <w:marTop w:val="0"/>
      <w:marBottom w:val="0"/>
      <w:divBdr>
        <w:top w:val="none" w:sz="0" w:space="0" w:color="auto"/>
        <w:left w:val="none" w:sz="0" w:space="0" w:color="auto"/>
        <w:bottom w:val="none" w:sz="0" w:space="0" w:color="auto"/>
        <w:right w:val="none" w:sz="0" w:space="0" w:color="auto"/>
      </w:divBdr>
    </w:div>
    <w:div w:id="843207993">
      <w:bodyDiv w:val="1"/>
      <w:marLeft w:val="0"/>
      <w:marRight w:val="0"/>
      <w:marTop w:val="0"/>
      <w:marBottom w:val="0"/>
      <w:divBdr>
        <w:top w:val="none" w:sz="0" w:space="0" w:color="auto"/>
        <w:left w:val="none" w:sz="0" w:space="0" w:color="auto"/>
        <w:bottom w:val="none" w:sz="0" w:space="0" w:color="auto"/>
        <w:right w:val="none" w:sz="0" w:space="0" w:color="auto"/>
      </w:divBdr>
    </w:div>
    <w:div w:id="863518499">
      <w:bodyDiv w:val="1"/>
      <w:marLeft w:val="0"/>
      <w:marRight w:val="0"/>
      <w:marTop w:val="0"/>
      <w:marBottom w:val="0"/>
      <w:divBdr>
        <w:top w:val="none" w:sz="0" w:space="0" w:color="auto"/>
        <w:left w:val="none" w:sz="0" w:space="0" w:color="auto"/>
        <w:bottom w:val="none" w:sz="0" w:space="0" w:color="auto"/>
        <w:right w:val="none" w:sz="0" w:space="0" w:color="auto"/>
      </w:divBdr>
    </w:div>
    <w:div w:id="864828784">
      <w:bodyDiv w:val="1"/>
      <w:marLeft w:val="0"/>
      <w:marRight w:val="0"/>
      <w:marTop w:val="0"/>
      <w:marBottom w:val="0"/>
      <w:divBdr>
        <w:top w:val="none" w:sz="0" w:space="0" w:color="auto"/>
        <w:left w:val="none" w:sz="0" w:space="0" w:color="auto"/>
        <w:bottom w:val="none" w:sz="0" w:space="0" w:color="auto"/>
        <w:right w:val="none" w:sz="0" w:space="0" w:color="auto"/>
      </w:divBdr>
    </w:div>
    <w:div w:id="867644466">
      <w:bodyDiv w:val="1"/>
      <w:marLeft w:val="0"/>
      <w:marRight w:val="0"/>
      <w:marTop w:val="0"/>
      <w:marBottom w:val="0"/>
      <w:divBdr>
        <w:top w:val="none" w:sz="0" w:space="0" w:color="auto"/>
        <w:left w:val="none" w:sz="0" w:space="0" w:color="auto"/>
        <w:bottom w:val="none" w:sz="0" w:space="0" w:color="auto"/>
        <w:right w:val="none" w:sz="0" w:space="0" w:color="auto"/>
      </w:divBdr>
    </w:div>
    <w:div w:id="897013494">
      <w:bodyDiv w:val="1"/>
      <w:marLeft w:val="0"/>
      <w:marRight w:val="0"/>
      <w:marTop w:val="0"/>
      <w:marBottom w:val="0"/>
      <w:divBdr>
        <w:top w:val="none" w:sz="0" w:space="0" w:color="auto"/>
        <w:left w:val="none" w:sz="0" w:space="0" w:color="auto"/>
        <w:bottom w:val="none" w:sz="0" w:space="0" w:color="auto"/>
        <w:right w:val="none" w:sz="0" w:space="0" w:color="auto"/>
      </w:divBdr>
    </w:div>
    <w:div w:id="900867934">
      <w:bodyDiv w:val="1"/>
      <w:marLeft w:val="0"/>
      <w:marRight w:val="0"/>
      <w:marTop w:val="0"/>
      <w:marBottom w:val="0"/>
      <w:divBdr>
        <w:top w:val="none" w:sz="0" w:space="0" w:color="auto"/>
        <w:left w:val="none" w:sz="0" w:space="0" w:color="auto"/>
        <w:bottom w:val="none" w:sz="0" w:space="0" w:color="auto"/>
        <w:right w:val="none" w:sz="0" w:space="0" w:color="auto"/>
      </w:divBdr>
    </w:div>
    <w:div w:id="948968849">
      <w:bodyDiv w:val="1"/>
      <w:marLeft w:val="0"/>
      <w:marRight w:val="0"/>
      <w:marTop w:val="0"/>
      <w:marBottom w:val="0"/>
      <w:divBdr>
        <w:top w:val="none" w:sz="0" w:space="0" w:color="auto"/>
        <w:left w:val="none" w:sz="0" w:space="0" w:color="auto"/>
        <w:bottom w:val="none" w:sz="0" w:space="0" w:color="auto"/>
        <w:right w:val="none" w:sz="0" w:space="0" w:color="auto"/>
      </w:divBdr>
    </w:div>
    <w:div w:id="950821332">
      <w:bodyDiv w:val="1"/>
      <w:marLeft w:val="0"/>
      <w:marRight w:val="0"/>
      <w:marTop w:val="0"/>
      <w:marBottom w:val="0"/>
      <w:divBdr>
        <w:top w:val="none" w:sz="0" w:space="0" w:color="auto"/>
        <w:left w:val="none" w:sz="0" w:space="0" w:color="auto"/>
        <w:bottom w:val="none" w:sz="0" w:space="0" w:color="auto"/>
        <w:right w:val="none" w:sz="0" w:space="0" w:color="auto"/>
      </w:divBdr>
    </w:div>
    <w:div w:id="958028097">
      <w:bodyDiv w:val="1"/>
      <w:marLeft w:val="0"/>
      <w:marRight w:val="0"/>
      <w:marTop w:val="0"/>
      <w:marBottom w:val="0"/>
      <w:divBdr>
        <w:top w:val="none" w:sz="0" w:space="0" w:color="auto"/>
        <w:left w:val="none" w:sz="0" w:space="0" w:color="auto"/>
        <w:bottom w:val="none" w:sz="0" w:space="0" w:color="auto"/>
        <w:right w:val="none" w:sz="0" w:space="0" w:color="auto"/>
      </w:divBdr>
    </w:div>
    <w:div w:id="991756965">
      <w:bodyDiv w:val="1"/>
      <w:marLeft w:val="0"/>
      <w:marRight w:val="0"/>
      <w:marTop w:val="0"/>
      <w:marBottom w:val="0"/>
      <w:divBdr>
        <w:top w:val="none" w:sz="0" w:space="0" w:color="auto"/>
        <w:left w:val="none" w:sz="0" w:space="0" w:color="auto"/>
        <w:bottom w:val="none" w:sz="0" w:space="0" w:color="auto"/>
        <w:right w:val="none" w:sz="0" w:space="0" w:color="auto"/>
      </w:divBdr>
    </w:div>
    <w:div w:id="1007173511">
      <w:bodyDiv w:val="1"/>
      <w:marLeft w:val="0"/>
      <w:marRight w:val="0"/>
      <w:marTop w:val="0"/>
      <w:marBottom w:val="0"/>
      <w:divBdr>
        <w:top w:val="none" w:sz="0" w:space="0" w:color="auto"/>
        <w:left w:val="none" w:sz="0" w:space="0" w:color="auto"/>
        <w:bottom w:val="none" w:sz="0" w:space="0" w:color="auto"/>
        <w:right w:val="none" w:sz="0" w:space="0" w:color="auto"/>
      </w:divBdr>
      <w:divsChild>
        <w:div w:id="1145663145">
          <w:marLeft w:val="0"/>
          <w:marRight w:val="0"/>
          <w:marTop w:val="0"/>
          <w:marBottom w:val="0"/>
          <w:divBdr>
            <w:top w:val="none" w:sz="0" w:space="0" w:color="auto"/>
            <w:left w:val="none" w:sz="0" w:space="0" w:color="auto"/>
            <w:bottom w:val="none" w:sz="0" w:space="0" w:color="auto"/>
            <w:right w:val="none" w:sz="0" w:space="0" w:color="auto"/>
          </w:divBdr>
          <w:divsChild>
            <w:div w:id="1870070672">
              <w:marLeft w:val="0"/>
              <w:marRight w:val="0"/>
              <w:marTop w:val="0"/>
              <w:marBottom w:val="0"/>
              <w:divBdr>
                <w:top w:val="none" w:sz="0" w:space="0" w:color="auto"/>
                <w:left w:val="none" w:sz="0" w:space="0" w:color="auto"/>
                <w:bottom w:val="none" w:sz="0" w:space="0" w:color="auto"/>
                <w:right w:val="none" w:sz="0" w:space="0" w:color="auto"/>
              </w:divBdr>
              <w:divsChild>
                <w:div w:id="710374404">
                  <w:marLeft w:val="0"/>
                  <w:marRight w:val="0"/>
                  <w:marTop w:val="0"/>
                  <w:marBottom w:val="0"/>
                  <w:divBdr>
                    <w:top w:val="none" w:sz="0" w:space="0" w:color="auto"/>
                    <w:left w:val="none" w:sz="0" w:space="0" w:color="auto"/>
                    <w:bottom w:val="none" w:sz="0" w:space="0" w:color="auto"/>
                    <w:right w:val="none" w:sz="0" w:space="0" w:color="auto"/>
                  </w:divBdr>
                  <w:divsChild>
                    <w:div w:id="83403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491839">
          <w:marLeft w:val="0"/>
          <w:marRight w:val="0"/>
          <w:marTop w:val="0"/>
          <w:marBottom w:val="0"/>
          <w:divBdr>
            <w:top w:val="none" w:sz="0" w:space="0" w:color="auto"/>
            <w:left w:val="none" w:sz="0" w:space="0" w:color="auto"/>
            <w:bottom w:val="none" w:sz="0" w:space="0" w:color="auto"/>
            <w:right w:val="none" w:sz="0" w:space="0" w:color="auto"/>
          </w:divBdr>
          <w:divsChild>
            <w:div w:id="997416784">
              <w:marLeft w:val="0"/>
              <w:marRight w:val="0"/>
              <w:marTop w:val="0"/>
              <w:marBottom w:val="0"/>
              <w:divBdr>
                <w:top w:val="none" w:sz="0" w:space="0" w:color="auto"/>
                <w:left w:val="none" w:sz="0" w:space="0" w:color="auto"/>
                <w:bottom w:val="none" w:sz="0" w:space="0" w:color="auto"/>
                <w:right w:val="none" w:sz="0" w:space="0" w:color="auto"/>
              </w:divBdr>
              <w:divsChild>
                <w:div w:id="1583638877">
                  <w:marLeft w:val="0"/>
                  <w:marRight w:val="0"/>
                  <w:marTop w:val="0"/>
                  <w:marBottom w:val="0"/>
                  <w:divBdr>
                    <w:top w:val="none" w:sz="0" w:space="0" w:color="auto"/>
                    <w:left w:val="none" w:sz="0" w:space="0" w:color="auto"/>
                    <w:bottom w:val="none" w:sz="0" w:space="0" w:color="auto"/>
                    <w:right w:val="none" w:sz="0" w:space="0" w:color="auto"/>
                  </w:divBdr>
                  <w:divsChild>
                    <w:div w:id="347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4185255">
      <w:bodyDiv w:val="1"/>
      <w:marLeft w:val="0"/>
      <w:marRight w:val="0"/>
      <w:marTop w:val="0"/>
      <w:marBottom w:val="0"/>
      <w:divBdr>
        <w:top w:val="none" w:sz="0" w:space="0" w:color="auto"/>
        <w:left w:val="none" w:sz="0" w:space="0" w:color="auto"/>
        <w:bottom w:val="none" w:sz="0" w:space="0" w:color="auto"/>
        <w:right w:val="none" w:sz="0" w:space="0" w:color="auto"/>
      </w:divBdr>
    </w:div>
    <w:div w:id="1051613114">
      <w:bodyDiv w:val="1"/>
      <w:marLeft w:val="0"/>
      <w:marRight w:val="0"/>
      <w:marTop w:val="0"/>
      <w:marBottom w:val="0"/>
      <w:divBdr>
        <w:top w:val="none" w:sz="0" w:space="0" w:color="auto"/>
        <w:left w:val="none" w:sz="0" w:space="0" w:color="auto"/>
        <w:bottom w:val="none" w:sz="0" w:space="0" w:color="auto"/>
        <w:right w:val="none" w:sz="0" w:space="0" w:color="auto"/>
      </w:divBdr>
    </w:div>
    <w:div w:id="1074545773">
      <w:bodyDiv w:val="1"/>
      <w:marLeft w:val="0"/>
      <w:marRight w:val="0"/>
      <w:marTop w:val="0"/>
      <w:marBottom w:val="0"/>
      <w:divBdr>
        <w:top w:val="none" w:sz="0" w:space="0" w:color="auto"/>
        <w:left w:val="none" w:sz="0" w:space="0" w:color="auto"/>
        <w:bottom w:val="none" w:sz="0" w:space="0" w:color="auto"/>
        <w:right w:val="none" w:sz="0" w:space="0" w:color="auto"/>
      </w:divBdr>
    </w:div>
    <w:div w:id="1097017166">
      <w:bodyDiv w:val="1"/>
      <w:marLeft w:val="0"/>
      <w:marRight w:val="0"/>
      <w:marTop w:val="0"/>
      <w:marBottom w:val="0"/>
      <w:divBdr>
        <w:top w:val="none" w:sz="0" w:space="0" w:color="auto"/>
        <w:left w:val="none" w:sz="0" w:space="0" w:color="auto"/>
        <w:bottom w:val="none" w:sz="0" w:space="0" w:color="auto"/>
        <w:right w:val="none" w:sz="0" w:space="0" w:color="auto"/>
      </w:divBdr>
    </w:div>
    <w:div w:id="1102072856">
      <w:bodyDiv w:val="1"/>
      <w:marLeft w:val="0"/>
      <w:marRight w:val="0"/>
      <w:marTop w:val="0"/>
      <w:marBottom w:val="0"/>
      <w:divBdr>
        <w:top w:val="none" w:sz="0" w:space="0" w:color="auto"/>
        <w:left w:val="none" w:sz="0" w:space="0" w:color="auto"/>
        <w:bottom w:val="none" w:sz="0" w:space="0" w:color="auto"/>
        <w:right w:val="none" w:sz="0" w:space="0" w:color="auto"/>
      </w:divBdr>
    </w:div>
    <w:div w:id="1115906012">
      <w:bodyDiv w:val="1"/>
      <w:marLeft w:val="0"/>
      <w:marRight w:val="0"/>
      <w:marTop w:val="0"/>
      <w:marBottom w:val="0"/>
      <w:divBdr>
        <w:top w:val="none" w:sz="0" w:space="0" w:color="auto"/>
        <w:left w:val="none" w:sz="0" w:space="0" w:color="auto"/>
        <w:bottom w:val="none" w:sz="0" w:space="0" w:color="auto"/>
        <w:right w:val="none" w:sz="0" w:space="0" w:color="auto"/>
      </w:divBdr>
    </w:div>
    <w:div w:id="1124421638">
      <w:bodyDiv w:val="1"/>
      <w:marLeft w:val="0"/>
      <w:marRight w:val="0"/>
      <w:marTop w:val="0"/>
      <w:marBottom w:val="0"/>
      <w:divBdr>
        <w:top w:val="none" w:sz="0" w:space="0" w:color="auto"/>
        <w:left w:val="none" w:sz="0" w:space="0" w:color="auto"/>
        <w:bottom w:val="none" w:sz="0" w:space="0" w:color="auto"/>
        <w:right w:val="none" w:sz="0" w:space="0" w:color="auto"/>
      </w:divBdr>
    </w:div>
    <w:div w:id="1146166929">
      <w:bodyDiv w:val="1"/>
      <w:marLeft w:val="0"/>
      <w:marRight w:val="0"/>
      <w:marTop w:val="0"/>
      <w:marBottom w:val="0"/>
      <w:divBdr>
        <w:top w:val="none" w:sz="0" w:space="0" w:color="auto"/>
        <w:left w:val="none" w:sz="0" w:space="0" w:color="auto"/>
        <w:bottom w:val="none" w:sz="0" w:space="0" w:color="auto"/>
        <w:right w:val="none" w:sz="0" w:space="0" w:color="auto"/>
      </w:divBdr>
    </w:div>
    <w:div w:id="1147433364">
      <w:bodyDiv w:val="1"/>
      <w:marLeft w:val="0"/>
      <w:marRight w:val="0"/>
      <w:marTop w:val="0"/>
      <w:marBottom w:val="0"/>
      <w:divBdr>
        <w:top w:val="none" w:sz="0" w:space="0" w:color="auto"/>
        <w:left w:val="none" w:sz="0" w:space="0" w:color="auto"/>
        <w:bottom w:val="none" w:sz="0" w:space="0" w:color="auto"/>
        <w:right w:val="none" w:sz="0" w:space="0" w:color="auto"/>
      </w:divBdr>
    </w:div>
    <w:div w:id="1159543753">
      <w:bodyDiv w:val="1"/>
      <w:marLeft w:val="0"/>
      <w:marRight w:val="0"/>
      <w:marTop w:val="0"/>
      <w:marBottom w:val="0"/>
      <w:divBdr>
        <w:top w:val="none" w:sz="0" w:space="0" w:color="auto"/>
        <w:left w:val="none" w:sz="0" w:space="0" w:color="auto"/>
        <w:bottom w:val="none" w:sz="0" w:space="0" w:color="auto"/>
        <w:right w:val="none" w:sz="0" w:space="0" w:color="auto"/>
      </w:divBdr>
    </w:div>
    <w:div w:id="1182862509">
      <w:bodyDiv w:val="1"/>
      <w:marLeft w:val="0"/>
      <w:marRight w:val="0"/>
      <w:marTop w:val="0"/>
      <w:marBottom w:val="0"/>
      <w:divBdr>
        <w:top w:val="none" w:sz="0" w:space="0" w:color="auto"/>
        <w:left w:val="none" w:sz="0" w:space="0" w:color="auto"/>
        <w:bottom w:val="none" w:sz="0" w:space="0" w:color="auto"/>
        <w:right w:val="none" w:sz="0" w:space="0" w:color="auto"/>
      </w:divBdr>
    </w:div>
    <w:div w:id="1273052473">
      <w:bodyDiv w:val="1"/>
      <w:marLeft w:val="0"/>
      <w:marRight w:val="0"/>
      <w:marTop w:val="0"/>
      <w:marBottom w:val="0"/>
      <w:divBdr>
        <w:top w:val="none" w:sz="0" w:space="0" w:color="auto"/>
        <w:left w:val="none" w:sz="0" w:space="0" w:color="auto"/>
        <w:bottom w:val="none" w:sz="0" w:space="0" w:color="auto"/>
        <w:right w:val="none" w:sz="0" w:space="0" w:color="auto"/>
      </w:divBdr>
    </w:div>
    <w:div w:id="1284459121">
      <w:bodyDiv w:val="1"/>
      <w:marLeft w:val="0"/>
      <w:marRight w:val="0"/>
      <w:marTop w:val="0"/>
      <w:marBottom w:val="0"/>
      <w:divBdr>
        <w:top w:val="none" w:sz="0" w:space="0" w:color="auto"/>
        <w:left w:val="none" w:sz="0" w:space="0" w:color="auto"/>
        <w:bottom w:val="none" w:sz="0" w:space="0" w:color="auto"/>
        <w:right w:val="none" w:sz="0" w:space="0" w:color="auto"/>
      </w:divBdr>
    </w:div>
    <w:div w:id="1293558008">
      <w:bodyDiv w:val="1"/>
      <w:marLeft w:val="0"/>
      <w:marRight w:val="0"/>
      <w:marTop w:val="0"/>
      <w:marBottom w:val="0"/>
      <w:divBdr>
        <w:top w:val="none" w:sz="0" w:space="0" w:color="auto"/>
        <w:left w:val="none" w:sz="0" w:space="0" w:color="auto"/>
        <w:bottom w:val="none" w:sz="0" w:space="0" w:color="auto"/>
        <w:right w:val="none" w:sz="0" w:space="0" w:color="auto"/>
      </w:divBdr>
    </w:div>
    <w:div w:id="1307660342">
      <w:bodyDiv w:val="1"/>
      <w:marLeft w:val="0"/>
      <w:marRight w:val="0"/>
      <w:marTop w:val="0"/>
      <w:marBottom w:val="0"/>
      <w:divBdr>
        <w:top w:val="none" w:sz="0" w:space="0" w:color="auto"/>
        <w:left w:val="none" w:sz="0" w:space="0" w:color="auto"/>
        <w:bottom w:val="none" w:sz="0" w:space="0" w:color="auto"/>
        <w:right w:val="none" w:sz="0" w:space="0" w:color="auto"/>
      </w:divBdr>
    </w:div>
    <w:div w:id="1331369449">
      <w:bodyDiv w:val="1"/>
      <w:marLeft w:val="0"/>
      <w:marRight w:val="0"/>
      <w:marTop w:val="0"/>
      <w:marBottom w:val="0"/>
      <w:divBdr>
        <w:top w:val="none" w:sz="0" w:space="0" w:color="auto"/>
        <w:left w:val="none" w:sz="0" w:space="0" w:color="auto"/>
        <w:bottom w:val="none" w:sz="0" w:space="0" w:color="auto"/>
        <w:right w:val="none" w:sz="0" w:space="0" w:color="auto"/>
      </w:divBdr>
    </w:div>
    <w:div w:id="1415399952">
      <w:bodyDiv w:val="1"/>
      <w:marLeft w:val="0"/>
      <w:marRight w:val="0"/>
      <w:marTop w:val="0"/>
      <w:marBottom w:val="0"/>
      <w:divBdr>
        <w:top w:val="none" w:sz="0" w:space="0" w:color="auto"/>
        <w:left w:val="none" w:sz="0" w:space="0" w:color="auto"/>
        <w:bottom w:val="none" w:sz="0" w:space="0" w:color="auto"/>
        <w:right w:val="none" w:sz="0" w:space="0" w:color="auto"/>
      </w:divBdr>
    </w:div>
    <w:div w:id="1433279340">
      <w:bodyDiv w:val="1"/>
      <w:marLeft w:val="0"/>
      <w:marRight w:val="0"/>
      <w:marTop w:val="0"/>
      <w:marBottom w:val="0"/>
      <w:divBdr>
        <w:top w:val="none" w:sz="0" w:space="0" w:color="auto"/>
        <w:left w:val="none" w:sz="0" w:space="0" w:color="auto"/>
        <w:bottom w:val="none" w:sz="0" w:space="0" w:color="auto"/>
        <w:right w:val="none" w:sz="0" w:space="0" w:color="auto"/>
      </w:divBdr>
    </w:div>
    <w:div w:id="1436511630">
      <w:bodyDiv w:val="1"/>
      <w:marLeft w:val="0"/>
      <w:marRight w:val="0"/>
      <w:marTop w:val="0"/>
      <w:marBottom w:val="0"/>
      <w:divBdr>
        <w:top w:val="none" w:sz="0" w:space="0" w:color="auto"/>
        <w:left w:val="none" w:sz="0" w:space="0" w:color="auto"/>
        <w:bottom w:val="none" w:sz="0" w:space="0" w:color="auto"/>
        <w:right w:val="none" w:sz="0" w:space="0" w:color="auto"/>
      </w:divBdr>
    </w:div>
    <w:div w:id="1478299304">
      <w:bodyDiv w:val="1"/>
      <w:marLeft w:val="0"/>
      <w:marRight w:val="0"/>
      <w:marTop w:val="0"/>
      <w:marBottom w:val="0"/>
      <w:divBdr>
        <w:top w:val="none" w:sz="0" w:space="0" w:color="auto"/>
        <w:left w:val="none" w:sz="0" w:space="0" w:color="auto"/>
        <w:bottom w:val="none" w:sz="0" w:space="0" w:color="auto"/>
        <w:right w:val="none" w:sz="0" w:space="0" w:color="auto"/>
      </w:divBdr>
    </w:div>
    <w:div w:id="1520394753">
      <w:bodyDiv w:val="1"/>
      <w:marLeft w:val="0"/>
      <w:marRight w:val="0"/>
      <w:marTop w:val="0"/>
      <w:marBottom w:val="0"/>
      <w:divBdr>
        <w:top w:val="none" w:sz="0" w:space="0" w:color="auto"/>
        <w:left w:val="none" w:sz="0" w:space="0" w:color="auto"/>
        <w:bottom w:val="none" w:sz="0" w:space="0" w:color="auto"/>
        <w:right w:val="none" w:sz="0" w:space="0" w:color="auto"/>
      </w:divBdr>
    </w:div>
    <w:div w:id="1543858279">
      <w:bodyDiv w:val="1"/>
      <w:marLeft w:val="0"/>
      <w:marRight w:val="0"/>
      <w:marTop w:val="0"/>
      <w:marBottom w:val="0"/>
      <w:divBdr>
        <w:top w:val="none" w:sz="0" w:space="0" w:color="auto"/>
        <w:left w:val="none" w:sz="0" w:space="0" w:color="auto"/>
        <w:bottom w:val="none" w:sz="0" w:space="0" w:color="auto"/>
        <w:right w:val="none" w:sz="0" w:space="0" w:color="auto"/>
      </w:divBdr>
    </w:div>
    <w:div w:id="1546216267">
      <w:bodyDiv w:val="1"/>
      <w:marLeft w:val="0"/>
      <w:marRight w:val="0"/>
      <w:marTop w:val="0"/>
      <w:marBottom w:val="0"/>
      <w:divBdr>
        <w:top w:val="none" w:sz="0" w:space="0" w:color="auto"/>
        <w:left w:val="none" w:sz="0" w:space="0" w:color="auto"/>
        <w:bottom w:val="none" w:sz="0" w:space="0" w:color="auto"/>
        <w:right w:val="none" w:sz="0" w:space="0" w:color="auto"/>
      </w:divBdr>
    </w:div>
    <w:div w:id="1561285889">
      <w:bodyDiv w:val="1"/>
      <w:marLeft w:val="0"/>
      <w:marRight w:val="0"/>
      <w:marTop w:val="0"/>
      <w:marBottom w:val="0"/>
      <w:divBdr>
        <w:top w:val="none" w:sz="0" w:space="0" w:color="auto"/>
        <w:left w:val="none" w:sz="0" w:space="0" w:color="auto"/>
        <w:bottom w:val="none" w:sz="0" w:space="0" w:color="auto"/>
        <w:right w:val="none" w:sz="0" w:space="0" w:color="auto"/>
      </w:divBdr>
    </w:div>
    <w:div w:id="1605262001">
      <w:bodyDiv w:val="1"/>
      <w:marLeft w:val="0"/>
      <w:marRight w:val="0"/>
      <w:marTop w:val="0"/>
      <w:marBottom w:val="0"/>
      <w:divBdr>
        <w:top w:val="none" w:sz="0" w:space="0" w:color="auto"/>
        <w:left w:val="none" w:sz="0" w:space="0" w:color="auto"/>
        <w:bottom w:val="none" w:sz="0" w:space="0" w:color="auto"/>
        <w:right w:val="none" w:sz="0" w:space="0" w:color="auto"/>
      </w:divBdr>
    </w:div>
    <w:div w:id="1616331764">
      <w:bodyDiv w:val="1"/>
      <w:marLeft w:val="0"/>
      <w:marRight w:val="0"/>
      <w:marTop w:val="0"/>
      <w:marBottom w:val="0"/>
      <w:divBdr>
        <w:top w:val="none" w:sz="0" w:space="0" w:color="auto"/>
        <w:left w:val="none" w:sz="0" w:space="0" w:color="auto"/>
        <w:bottom w:val="none" w:sz="0" w:space="0" w:color="auto"/>
        <w:right w:val="none" w:sz="0" w:space="0" w:color="auto"/>
      </w:divBdr>
    </w:div>
    <w:div w:id="1690179645">
      <w:bodyDiv w:val="1"/>
      <w:marLeft w:val="0"/>
      <w:marRight w:val="0"/>
      <w:marTop w:val="0"/>
      <w:marBottom w:val="0"/>
      <w:divBdr>
        <w:top w:val="none" w:sz="0" w:space="0" w:color="auto"/>
        <w:left w:val="none" w:sz="0" w:space="0" w:color="auto"/>
        <w:bottom w:val="none" w:sz="0" w:space="0" w:color="auto"/>
        <w:right w:val="none" w:sz="0" w:space="0" w:color="auto"/>
      </w:divBdr>
    </w:div>
    <w:div w:id="1772049601">
      <w:bodyDiv w:val="1"/>
      <w:marLeft w:val="0"/>
      <w:marRight w:val="0"/>
      <w:marTop w:val="0"/>
      <w:marBottom w:val="0"/>
      <w:divBdr>
        <w:top w:val="none" w:sz="0" w:space="0" w:color="auto"/>
        <w:left w:val="none" w:sz="0" w:space="0" w:color="auto"/>
        <w:bottom w:val="none" w:sz="0" w:space="0" w:color="auto"/>
        <w:right w:val="none" w:sz="0" w:space="0" w:color="auto"/>
      </w:divBdr>
    </w:div>
    <w:div w:id="1779569830">
      <w:bodyDiv w:val="1"/>
      <w:marLeft w:val="0"/>
      <w:marRight w:val="0"/>
      <w:marTop w:val="0"/>
      <w:marBottom w:val="0"/>
      <w:divBdr>
        <w:top w:val="none" w:sz="0" w:space="0" w:color="auto"/>
        <w:left w:val="none" w:sz="0" w:space="0" w:color="auto"/>
        <w:bottom w:val="none" w:sz="0" w:space="0" w:color="auto"/>
        <w:right w:val="none" w:sz="0" w:space="0" w:color="auto"/>
      </w:divBdr>
    </w:div>
    <w:div w:id="1782996343">
      <w:bodyDiv w:val="1"/>
      <w:marLeft w:val="0"/>
      <w:marRight w:val="0"/>
      <w:marTop w:val="0"/>
      <w:marBottom w:val="0"/>
      <w:divBdr>
        <w:top w:val="none" w:sz="0" w:space="0" w:color="auto"/>
        <w:left w:val="none" w:sz="0" w:space="0" w:color="auto"/>
        <w:bottom w:val="none" w:sz="0" w:space="0" w:color="auto"/>
        <w:right w:val="none" w:sz="0" w:space="0" w:color="auto"/>
      </w:divBdr>
    </w:div>
    <w:div w:id="1801607103">
      <w:bodyDiv w:val="1"/>
      <w:marLeft w:val="0"/>
      <w:marRight w:val="0"/>
      <w:marTop w:val="0"/>
      <w:marBottom w:val="0"/>
      <w:divBdr>
        <w:top w:val="none" w:sz="0" w:space="0" w:color="auto"/>
        <w:left w:val="none" w:sz="0" w:space="0" w:color="auto"/>
        <w:bottom w:val="none" w:sz="0" w:space="0" w:color="auto"/>
        <w:right w:val="none" w:sz="0" w:space="0" w:color="auto"/>
      </w:divBdr>
    </w:div>
    <w:div w:id="1811746364">
      <w:bodyDiv w:val="1"/>
      <w:marLeft w:val="0"/>
      <w:marRight w:val="0"/>
      <w:marTop w:val="0"/>
      <w:marBottom w:val="0"/>
      <w:divBdr>
        <w:top w:val="none" w:sz="0" w:space="0" w:color="auto"/>
        <w:left w:val="none" w:sz="0" w:space="0" w:color="auto"/>
        <w:bottom w:val="none" w:sz="0" w:space="0" w:color="auto"/>
        <w:right w:val="none" w:sz="0" w:space="0" w:color="auto"/>
      </w:divBdr>
    </w:div>
    <w:div w:id="1812600271">
      <w:bodyDiv w:val="1"/>
      <w:marLeft w:val="0"/>
      <w:marRight w:val="0"/>
      <w:marTop w:val="0"/>
      <w:marBottom w:val="0"/>
      <w:divBdr>
        <w:top w:val="none" w:sz="0" w:space="0" w:color="auto"/>
        <w:left w:val="none" w:sz="0" w:space="0" w:color="auto"/>
        <w:bottom w:val="none" w:sz="0" w:space="0" w:color="auto"/>
        <w:right w:val="none" w:sz="0" w:space="0" w:color="auto"/>
      </w:divBdr>
    </w:div>
    <w:div w:id="1841499739">
      <w:bodyDiv w:val="1"/>
      <w:marLeft w:val="0"/>
      <w:marRight w:val="0"/>
      <w:marTop w:val="0"/>
      <w:marBottom w:val="0"/>
      <w:divBdr>
        <w:top w:val="none" w:sz="0" w:space="0" w:color="auto"/>
        <w:left w:val="none" w:sz="0" w:space="0" w:color="auto"/>
        <w:bottom w:val="none" w:sz="0" w:space="0" w:color="auto"/>
        <w:right w:val="none" w:sz="0" w:space="0" w:color="auto"/>
      </w:divBdr>
    </w:div>
    <w:div w:id="1850293393">
      <w:bodyDiv w:val="1"/>
      <w:marLeft w:val="0"/>
      <w:marRight w:val="0"/>
      <w:marTop w:val="0"/>
      <w:marBottom w:val="0"/>
      <w:divBdr>
        <w:top w:val="none" w:sz="0" w:space="0" w:color="auto"/>
        <w:left w:val="none" w:sz="0" w:space="0" w:color="auto"/>
        <w:bottom w:val="none" w:sz="0" w:space="0" w:color="auto"/>
        <w:right w:val="none" w:sz="0" w:space="0" w:color="auto"/>
      </w:divBdr>
    </w:div>
    <w:div w:id="1885604636">
      <w:bodyDiv w:val="1"/>
      <w:marLeft w:val="0"/>
      <w:marRight w:val="0"/>
      <w:marTop w:val="0"/>
      <w:marBottom w:val="0"/>
      <w:divBdr>
        <w:top w:val="none" w:sz="0" w:space="0" w:color="auto"/>
        <w:left w:val="none" w:sz="0" w:space="0" w:color="auto"/>
        <w:bottom w:val="none" w:sz="0" w:space="0" w:color="auto"/>
        <w:right w:val="none" w:sz="0" w:space="0" w:color="auto"/>
      </w:divBdr>
    </w:div>
    <w:div w:id="1890533641">
      <w:bodyDiv w:val="1"/>
      <w:marLeft w:val="0"/>
      <w:marRight w:val="0"/>
      <w:marTop w:val="0"/>
      <w:marBottom w:val="0"/>
      <w:divBdr>
        <w:top w:val="none" w:sz="0" w:space="0" w:color="auto"/>
        <w:left w:val="none" w:sz="0" w:space="0" w:color="auto"/>
        <w:bottom w:val="none" w:sz="0" w:space="0" w:color="auto"/>
        <w:right w:val="none" w:sz="0" w:space="0" w:color="auto"/>
      </w:divBdr>
    </w:div>
    <w:div w:id="1891962052">
      <w:bodyDiv w:val="1"/>
      <w:marLeft w:val="0"/>
      <w:marRight w:val="0"/>
      <w:marTop w:val="0"/>
      <w:marBottom w:val="0"/>
      <w:divBdr>
        <w:top w:val="none" w:sz="0" w:space="0" w:color="auto"/>
        <w:left w:val="none" w:sz="0" w:space="0" w:color="auto"/>
        <w:bottom w:val="none" w:sz="0" w:space="0" w:color="auto"/>
        <w:right w:val="none" w:sz="0" w:space="0" w:color="auto"/>
      </w:divBdr>
    </w:div>
    <w:div w:id="1937445880">
      <w:bodyDiv w:val="1"/>
      <w:marLeft w:val="0"/>
      <w:marRight w:val="0"/>
      <w:marTop w:val="0"/>
      <w:marBottom w:val="0"/>
      <w:divBdr>
        <w:top w:val="none" w:sz="0" w:space="0" w:color="auto"/>
        <w:left w:val="none" w:sz="0" w:space="0" w:color="auto"/>
        <w:bottom w:val="none" w:sz="0" w:space="0" w:color="auto"/>
        <w:right w:val="none" w:sz="0" w:space="0" w:color="auto"/>
      </w:divBdr>
    </w:div>
    <w:div w:id="2008245895">
      <w:bodyDiv w:val="1"/>
      <w:marLeft w:val="0"/>
      <w:marRight w:val="0"/>
      <w:marTop w:val="0"/>
      <w:marBottom w:val="0"/>
      <w:divBdr>
        <w:top w:val="none" w:sz="0" w:space="0" w:color="auto"/>
        <w:left w:val="none" w:sz="0" w:space="0" w:color="auto"/>
        <w:bottom w:val="none" w:sz="0" w:space="0" w:color="auto"/>
        <w:right w:val="none" w:sz="0" w:space="0" w:color="auto"/>
      </w:divBdr>
    </w:div>
    <w:div w:id="2025011963">
      <w:bodyDiv w:val="1"/>
      <w:marLeft w:val="0"/>
      <w:marRight w:val="0"/>
      <w:marTop w:val="0"/>
      <w:marBottom w:val="0"/>
      <w:divBdr>
        <w:top w:val="none" w:sz="0" w:space="0" w:color="auto"/>
        <w:left w:val="none" w:sz="0" w:space="0" w:color="auto"/>
        <w:bottom w:val="none" w:sz="0" w:space="0" w:color="auto"/>
        <w:right w:val="none" w:sz="0" w:space="0" w:color="auto"/>
      </w:divBdr>
    </w:div>
    <w:div w:id="2039041798">
      <w:bodyDiv w:val="1"/>
      <w:marLeft w:val="0"/>
      <w:marRight w:val="0"/>
      <w:marTop w:val="0"/>
      <w:marBottom w:val="0"/>
      <w:divBdr>
        <w:top w:val="none" w:sz="0" w:space="0" w:color="auto"/>
        <w:left w:val="none" w:sz="0" w:space="0" w:color="auto"/>
        <w:bottom w:val="none" w:sz="0" w:space="0" w:color="auto"/>
        <w:right w:val="none" w:sz="0" w:space="0" w:color="auto"/>
      </w:divBdr>
    </w:div>
    <w:div w:id="2089499844">
      <w:bodyDiv w:val="1"/>
      <w:marLeft w:val="0"/>
      <w:marRight w:val="0"/>
      <w:marTop w:val="0"/>
      <w:marBottom w:val="0"/>
      <w:divBdr>
        <w:top w:val="none" w:sz="0" w:space="0" w:color="auto"/>
        <w:left w:val="none" w:sz="0" w:space="0" w:color="auto"/>
        <w:bottom w:val="none" w:sz="0" w:space="0" w:color="auto"/>
        <w:right w:val="none" w:sz="0" w:space="0" w:color="auto"/>
      </w:divBdr>
    </w:div>
    <w:div w:id="2091342337">
      <w:bodyDiv w:val="1"/>
      <w:marLeft w:val="0"/>
      <w:marRight w:val="0"/>
      <w:marTop w:val="0"/>
      <w:marBottom w:val="0"/>
      <w:divBdr>
        <w:top w:val="none" w:sz="0" w:space="0" w:color="auto"/>
        <w:left w:val="none" w:sz="0" w:space="0" w:color="auto"/>
        <w:bottom w:val="none" w:sz="0" w:space="0" w:color="auto"/>
        <w:right w:val="none" w:sz="0" w:space="0" w:color="auto"/>
      </w:divBdr>
    </w:div>
    <w:div w:id="2121104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D:\THESIS%20PROJECT\Mutual%20Fund\Final\Updated__Mutual%20Fund%20Risk%20Return_based%20on%20Monthly%20closing%20price.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b="1">
                <a:latin typeface="Times New Roman" panose="02020603050405020304" pitchFamily="18" charset="0"/>
                <a:cs typeface="Times New Roman" panose="02020603050405020304" pitchFamily="18" charset="0"/>
              </a:rPr>
              <a:t>Risk and Diversification</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Final!$B$1</c:f>
              <c:strCache>
                <c:ptCount val="1"/>
                <c:pt idx="0">
                  <c:v>Total Risk (%)</c:v>
                </c:pt>
              </c:strCache>
            </c:strRef>
          </c:tx>
          <c:spPr>
            <a:solidFill>
              <a:schemeClr val="accent1"/>
            </a:solidFill>
            <a:ln>
              <a:noFill/>
            </a:ln>
            <a:effectLst/>
          </c:spPr>
          <c:invertIfNegative val="0"/>
          <c:cat>
            <c:strRef>
              <c:f>Final!$A$2:$A$22</c:f>
              <c:strCache>
                <c:ptCount val="21"/>
                <c:pt idx="0">
                  <c:v>1JANATAMF </c:v>
                </c:pt>
                <c:pt idx="1">
                  <c:v>1STPRIMFMF</c:v>
                </c:pt>
                <c:pt idx="2">
                  <c:v>ABB1STMF</c:v>
                </c:pt>
                <c:pt idx="3">
                  <c:v>AIBL1STIMF</c:v>
                </c:pt>
                <c:pt idx="4">
                  <c:v>DBH1STMF</c:v>
                </c:pt>
                <c:pt idx="5">
                  <c:v>EBL1STMF</c:v>
                </c:pt>
                <c:pt idx="6">
                  <c:v>EBLNRBMF</c:v>
                </c:pt>
                <c:pt idx="7">
                  <c:v>GRAMEENS2</c:v>
                </c:pt>
                <c:pt idx="8">
                  <c:v>GREENDELMF</c:v>
                </c:pt>
                <c:pt idx="9">
                  <c:v>ICB3RDNRB</c:v>
                </c:pt>
                <c:pt idx="10">
                  <c:v>ICBAMCL2ND</c:v>
                </c:pt>
                <c:pt idx="11">
                  <c:v>ICBEPMF1S1 </c:v>
                </c:pt>
                <c:pt idx="12">
                  <c:v>IFIC1STMF</c:v>
                </c:pt>
                <c:pt idx="13">
                  <c:v>IFILISLMF1</c:v>
                </c:pt>
                <c:pt idx="14">
                  <c:v>MBL1STMF</c:v>
                </c:pt>
                <c:pt idx="15">
                  <c:v>PF1STMF</c:v>
                </c:pt>
                <c:pt idx="16">
                  <c:v>PHPMF1</c:v>
                </c:pt>
                <c:pt idx="17">
                  <c:v>POPULAR1MF</c:v>
                </c:pt>
                <c:pt idx="18">
                  <c:v>PRIME1ICBA</c:v>
                </c:pt>
                <c:pt idx="19">
                  <c:v>RELIANCE1 </c:v>
                </c:pt>
                <c:pt idx="20">
                  <c:v>TRUSTB1MF</c:v>
                </c:pt>
              </c:strCache>
            </c:strRef>
          </c:cat>
          <c:val>
            <c:numRef>
              <c:f>Final!$B$2:$B$22</c:f>
              <c:numCache>
                <c:formatCode>0.00%</c:formatCode>
                <c:ptCount val="21"/>
                <c:pt idx="0">
                  <c:v>8.0388818213787863E-2</c:v>
                </c:pt>
                <c:pt idx="1">
                  <c:v>0.15020819698587112</c:v>
                </c:pt>
                <c:pt idx="2">
                  <c:v>7.3379883516221822E-2</c:v>
                </c:pt>
                <c:pt idx="3">
                  <c:v>8.0137103259428244E-2</c:v>
                </c:pt>
                <c:pt idx="4">
                  <c:v>6.2814638864976735E-2</c:v>
                </c:pt>
                <c:pt idx="5">
                  <c:v>8.9160743018985356E-2</c:v>
                </c:pt>
                <c:pt idx="6">
                  <c:v>8.8361099131324145E-2</c:v>
                </c:pt>
                <c:pt idx="7">
                  <c:v>5.9757998267360182E-2</c:v>
                </c:pt>
                <c:pt idx="8">
                  <c:v>7.2478006071657414E-2</c:v>
                </c:pt>
                <c:pt idx="9">
                  <c:v>6.9507774642876358E-2</c:v>
                </c:pt>
                <c:pt idx="10">
                  <c:v>8.6604563346082672E-2</c:v>
                </c:pt>
                <c:pt idx="11">
                  <c:v>8.104259055377179E-2</c:v>
                </c:pt>
                <c:pt idx="12">
                  <c:v>7.5799808826875772E-2</c:v>
                </c:pt>
                <c:pt idx="13">
                  <c:v>6.300307861973467E-2</c:v>
                </c:pt>
                <c:pt idx="14">
                  <c:v>8.1001951655291796E-2</c:v>
                </c:pt>
                <c:pt idx="15">
                  <c:v>0.106081698125817</c:v>
                </c:pt>
                <c:pt idx="16">
                  <c:v>7.8175219384738523E-2</c:v>
                </c:pt>
                <c:pt idx="17">
                  <c:v>7.277205993701491E-2</c:v>
                </c:pt>
                <c:pt idx="18">
                  <c:v>7.968402586902848E-2</c:v>
                </c:pt>
                <c:pt idx="19">
                  <c:v>7.7428211207822284E-2</c:v>
                </c:pt>
                <c:pt idx="20">
                  <c:v>7.6094331656748934E-2</c:v>
                </c:pt>
              </c:numCache>
            </c:numRef>
          </c:val>
          <c:extLst>
            <c:ext xmlns:c16="http://schemas.microsoft.com/office/drawing/2014/chart" uri="{C3380CC4-5D6E-409C-BE32-E72D297353CC}">
              <c16:uniqueId val="{00000000-3E6A-471D-B70D-6EE1AE829A1C}"/>
            </c:ext>
          </c:extLst>
        </c:ser>
        <c:ser>
          <c:idx val="1"/>
          <c:order val="1"/>
          <c:tx>
            <c:strRef>
              <c:f>Final!$C$1</c:f>
              <c:strCache>
                <c:ptCount val="1"/>
                <c:pt idx="0">
                  <c:v>Systematic risk (%)</c:v>
                </c:pt>
              </c:strCache>
            </c:strRef>
          </c:tx>
          <c:spPr>
            <a:solidFill>
              <a:schemeClr val="accent2"/>
            </a:solidFill>
            <a:ln>
              <a:noFill/>
            </a:ln>
            <a:effectLst/>
          </c:spPr>
          <c:invertIfNegative val="0"/>
          <c:cat>
            <c:strRef>
              <c:f>Final!$A$2:$A$22</c:f>
              <c:strCache>
                <c:ptCount val="21"/>
                <c:pt idx="0">
                  <c:v>1JANATAMF </c:v>
                </c:pt>
                <c:pt idx="1">
                  <c:v>1STPRIMFMF</c:v>
                </c:pt>
                <c:pt idx="2">
                  <c:v>ABB1STMF</c:v>
                </c:pt>
                <c:pt idx="3">
                  <c:v>AIBL1STIMF</c:v>
                </c:pt>
                <c:pt idx="4">
                  <c:v>DBH1STMF</c:v>
                </c:pt>
                <c:pt idx="5">
                  <c:v>EBL1STMF</c:v>
                </c:pt>
                <c:pt idx="6">
                  <c:v>EBLNRBMF</c:v>
                </c:pt>
                <c:pt idx="7">
                  <c:v>GRAMEENS2</c:v>
                </c:pt>
                <c:pt idx="8">
                  <c:v>GREENDELMF</c:v>
                </c:pt>
                <c:pt idx="9">
                  <c:v>ICB3RDNRB</c:v>
                </c:pt>
                <c:pt idx="10">
                  <c:v>ICBAMCL2ND</c:v>
                </c:pt>
                <c:pt idx="11">
                  <c:v>ICBEPMF1S1 </c:v>
                </c:pt>
                <c:pt idx="12">
                  <c:v>IFIC1STMF</c:v>
                </c:pt>
                <c:pt idx="13">
                  <c:v>IFILISLMF1</c:v>
                </c:pt>
                <c:pt idx="14">
                  <c:v>MBL1STMF</c:v>
                </c:pt>
                <c:pt idx="15">
                  <c:v>PF1STMF</c:v>
                </c:pt>
                <c:pt idx="16">
                  <c:v>PHPMF1</c:v>
                </c:pt>
                <c:pt idx="17">
                  <c:v>POPULAR1MF</c:v>
                </c:pt>
                <c:pt idx="18">
                  <c:v>PRIME1ICBA</c:v>
                </c:pt>
                <c:pt idx="19">
                  <c:v>RELIANCE1 </c:v>
                </c:pt>
                <c:pt idx="20">
                  <c:v>TRUSTB1MF</c:v>
                </c:pt>
              </c:strCache>
            </c:strRef>
          </c:cat>
          <c:val>
            <c:numRef>
              <c:f>Final!$C$2:$C$22</c:f>
              <c:numCache>
                <c:formatCode>0.00%</c:formatCode>
                <c:ptCount val="21"/>
                <c:pt idx="0">
                  <c:v>8.9289667902422709E-3</c:v>
                </c:pt>
                <c:pt idx="1">
                  <c:v>6.7541258898416445E-3</c:v>
                </c:pt>
                <c:pt idx="2">
                  <c:v>9.6001991637493511E-3</c:v>
                </c:pt>
                <c:pt idx="3">
                  <c:v>1.1723476859830939E-3</c:v>
                </c:pt>
                <c:pt idx="4">
                  <c:v>4.3116596944828139E-3</c:v>
                </c:pt>
                <c:pt idx="5">
                  <c:v>1.0846928480425427E-2</c:v>
                </c:pt>
                <c:pt idx="6">
                  <c:v>1.1154578515945271E-2</c:v>
                </c:pt>
                <c:pt idx="7">
                  <c:v>1.1151970142895679E-2</c:v>
                </c:pt>
                <c:pt idx="8">
                  <c:v>4.4846805612732688E-3</c:v>
                </c:pt>
                <c:pt idx="9">
                  <c:v>8.4299022720748934E-3</c:v>
                </c:pt>
                <c:pt idx="10">
                  <c:v>9.2089236455003554E-3</c:v>
                </c:pt>
                <c:pt idx="11">
                  <c:v>3.7310595258362028E-3</c:v>
                </c:pt>
                <c:pt idx="12">
                  <c:v>7.9847793468978134E-3</c:v>
                </c:pt>
                <c:pt idx="13">
                  <c:v>6.938205898271696E-3</c:v>
                </c:pt>
                <c:pt idx="14">
                  <c:v>5.4231853991616036E-3</c:v>
                </c:pt>
                <c:pt idx="15">
                  <c:v>6.2223624778062203E-3</c:v>
                </c:pt>
                <c:pt idx="16">
                  <c:v>6.6825288750298334E-3</c:v>
                </c:pt>
                <c:pt idx="17">
                  <c:v>8.4828653153549705E-3</c:v>
                </c:pt>
                <c:pt idx="18">
                  <c:v>9.6560518274265705E-3</c:v>
                </c:pt>
                <c:pt idx="19">
                  <c:v>3.1874229763837886E-3</c:v>
                </c:pt>
                <c:pt idx="20">
                  <c:v>7.4276006773467407E-3</c:v>
                </c:pt>
              </c:numCache>
            </c:numRef>
          </c:val>
          <c:extLst>
            <c:ext xmlns:c16="http://schemas.microsoft.com/office/drawing/2014/chart" uri="{C3380CC4-5D6E-409C-BE32-E72D297353CC}">
              <c16:uniqueId val="{00000001-3E6A-471D-B70D-6EE1AE829A1C}"/>
            </c:ext>
          </c:extLst>
        </c:ser>
        <c:ser>
          <c:idx val="2"/>
          <c:order val="2"/>
          <c:tx>
            <c:strRef>
              <c:f>Final!$D$1</c:f>
              <c:strCache>
                <c:ptCount val="1"/>
                <c:pt idx="0">
                  <c:v>Unsystematic risk (%)</c:v>
                </c:pt>
              </c:strCache>
            </c:strRef>
          </c:tx>
          <c:spPr>
            <a:solidFill>
              <a:schemeClr val="accent3"/>
            </a:solidFill>
            <a:ln>
              <a:noFill/>
            </a:ln>
            <a:effectLst/>
          </c:spPr>
          <c:invertIfNegative val="0"/>
          <c:cat>
            <c:strRef>
              <c:f>Final!$A$2:$A$22</c:f>
              <c:strCache>
                <c:ptCount val="21"/>
                <c:pt idx="0">
                  <c:v>1JANATAMF </c:v>
                </c:pt>
                <c:pt idx="1">
                  <c:v>1STPRIMFMF</c:v>
                </c:pt>
                <c:pt idx="2">
                  <c:v>ABB1STMF</c:v>
                </c:pt>
                <c:pt idx="3">
                  <c:v>AIBL1STIMF</c:v>
                </c:pt>
                <c:pt idx="4">
                  <c:v>DBH1STMF</c:v>
                </c:pt>
                <c:pt idx="5">
                  <c:v>EBL1STMF</c:v>
                </c:pt>
                <c:pt idx="6">
                  <c:v>EBLNRBMF</c:v>
                </c:pt>
                <c:pt idx="7">
                  <c:v>GRAMEENS2</c:v>
                </c:pt>
                <c:pt idx="8">
                  <c:v>GREENDELMF</c:v>
                </c:pt>
                <c:pt idx="9">
                  <c:v>ICB3RDNRB</c:v>
                </c:pt>
                <c:pt idx="10">
                  <c:v>ICBAMCL2ND</c:v>
                </c:pt>
                <c:pt idx="11">
                  <c:v>ICBEPMF1S1 </c:v>
                </c:pt>
                <c:pt idx="12">
                  <c:v>IFIC1STMF</c:v>
                </c:pt>
                <c:pt idx="13">
                  <c:v>IFILISLMF1</c:v>
                </c:pt>
                <c:pt idx="14">
                  <c:v>MBL1STMF</c:v>
                </c:pt>
                <c:pt idx="15">
                  <c:v>PF1STMF</c:v>
                </c:pt>
                <c:pt idx="16">
                  <c:v>PHPMF1</c:v>
                </c:pt>
                <c:pt idx="17">
                  <c:v>POPULAR1MF</c:v>
                </c:pt>
                <c:pt idx="18">
                  <c:v>PRIME1ICBA</c:v>
                </c:pt>
                <c:pt idx="19">
                  <c:v>RELIANCE1 </c:v>
                </c:pt>
                <c:pt idx="20">
                  <c:v>TRUSTB1MF</c:v>
                </c:pt>
              </c:strCache>
            </c:strRef>
          </c:cat>
          <c:val>
            <c:numRef>
              <c:f>Final!$D$2:$D$22</c:f>
              <c:numCache>
                <c:formatCode>0.00%</c:formatCode>
                <c:ptCount val="21"/>
                <c:pt idx="0">
                  <c:v>7.1459851423545592E-2</c:v>
                </c:pt>
                <c:pt idx="1">
                  <c:v>0.14345407109602948</c:v>
                </c:pt>
                <c:pt idx="2">
                  <c:v>6.3779684352472471E-2</c:v>
                </c:pt>
                <c:pt idx="3">
                  <c:v>7.896475557344515E-2</c:v>
                </c:pt>
                <c:pt idx="4">
                  <c:v>5.8502979170493921E-2</c:v>
                </c:pt>
                <c:pt idx="5">
                  <c:v>7.8313814538559928E-2</c:v>
                </c:pt>
                <c:pt idx="6">
                  <c:v>7.7206520615378874E-2</c:v>
                </c:pt>
                <c:pt idx="7">
                  <c:v>4.8606028124464504E-2</c:v>
                </c:pt>
                <c:pt idx="8">
                  <c:v>6.7993325510384145E-2</c:v>
                </c:pt>
                <c:pt idx="9">
                  <c:v>6.1077872370801464E-2</c:v>
                </c:pt>
                <c:pt idx="10">
                  <c:v>7.7395639700582317E-2</c:v>
                </c:pt>
                <c:pt idx="11">
                  <c:v>7.7311531027935587E-2</c:v>
                </c:pt>
                <c:pt idx="12">
                  <c:v>6.7815029479977959E-2</c:v>
                </c:pt>
                <c:pt idx="13">
                  <c:v>5.6064872721462974E-2</c:v>
                </c:pt>
                <c:pt idx="14">
                  <c:v>7.5578766256130192E-2</c:v>
                </c:pt>
                <c:pt idx="15">
                  <c:v>9.9859335648010777E-2</c:v>
                </c:pt>
                <c:pt idx="16">
                  <c:v>7.149269050970869E-2</c:v>
                </c:pt>
                <c:pt idx="17">
                  <c:v>6.428919462165994E-2</c:v>
                </c:pt>
                <c:pt idx="18">
                  <c:v>7.0027974041601909E-2</c:v>
                </c:pt>
                <c:pt idx="19">
                  <c:v>7.4240788231438495E-2</c:v>
                </c:pt>
                <c:pt idx="20">
                  <c:v>6.8666730979402194E-2</c:v>
                </c:pt>
              </c:numCache>
            </c:numRef>
          </c:val>
          <c:extLst>
            <c:ext xmlns:c16="http://schemas.microsoft.com/office/drawing/2014/chart" uri="{C3380CC4-5D6E-409C-BE32-E72D297353CC}">
              <c16:uniqueId val="{00000002-3E6A-471D-B70D-6EE1AE829A1C}"/>
            </c:ext>
          </c:extLst>
        </c:ser>
        <c:ser>
          <c:idx val="3"/>
          <c:order val="3"/>
          <c:tx>
            <c:strRef>
              <c:f>Final!$E$1</c:f>
              <c:strCache>
                <c:ptCount val="1"/>
                <c:pt idx="0">
                  <c:v>r-square (%)</c:v>
                </c:pt>
              </c:strCache>
            </c:strRef>
          </c:tx>
          <c:spPr>
            <a:solidFill>
              <a:schemeClr val="accent4"/>
            </a:solidFill>
            <a:ln>
              <a:noFill/>
            </a:ln>
            <a:effectLst/>
          </c:spPr>
          <c:invertIfNegative val="0"/>
          <c:cat>
            <c:strRef>
              <c:f>Final!$A$2:$A$22</c:f>
              <c:strCache>
                <c:ptCount val="21"/>
                <c:pt idx="0">
                  <c:v>1JANATAMF </c:v>
                </c:pt>
                <c:pt idx="1">
                  <c:v>1STPRIMFMF</c:v>
                </c:pt>
                <c:pt idx="2">
                  <c:v>ABB1STMF</c:v>
                </c:pt>
                <c:pt idx="3">
                  <c:v>AIBL1STIMF</c:v>
                </c:pt>
                <c:pt idx="4">
                  <c:v>DBH1STMF</c:v>
                </c:pt>
                <c:pt idx="5">
                  <c:v>EBL1STMF</c:v>
                </c:pt>
                <c:pt idx="6">
                  <c:v>EBLNRBMF</c:v>
                </c:pt>
                <c:pt idx="7">
                  <c:v>GRAMEENS2</c:v>
                </c:pt>
                <c:pt idx="8">
                  <c:v>GREENDELMF</c:v>
                </c:pt>
                <c:pt idx="9">
                  <c:v>ICB3RDNRB</c:v>
                </c:pt>
                <c:pt idx="10">
                  <c:v>ICBAMCL2ND</c:v>
                </c:pt>
                <c:pt idx="11">
                  <c:v>ICBEPMF1S1 </c:v>
                </c:pt>
                <c:pt idx="12">
                  <c:v>IFIC1STMF</c:v>
                </c:pt>
                <c:pt idx="13">
                  <c:v>IFILISLMF1</c:v>
                </c:pt>
                <c:pt idx="14">
                  <c:v>MBL1STMF</c:v>
                </c:pt>
                <c:pt idx="15">
                  <c:v>PF1STMF</c:v>
                </c:pt>
                <c:pt idx="16">
                  <c:v>PHPMF1</c:v>
                </c:pt>
                <c:pt idx="17">
                  <c:v>POPULAR1MF</c:v>
                </c:pt>
                <c:pt idx="18">
                  <c:v>PRIME1ICBA</c:v>
                </c:pt>
                <c:pt idx="19">
                  <c:v>RELIANCE1 </c:v>
                </c:pt>
                <c:pt idx="20">
                  <c:v>TRUSTB1MF</c:v>
                </c:pt>
              </c:strCache>
            </c:strRef>
          </c:cat>
          <c:val>
            <c:numRef>
              <c:f>Final!$E$2:$E$22</c:f>
              <c:numCache>
                <c:formatCode>0.00%</c:formatCode>
                <c:ptCount val="21"/>
                <c:pt idx="0">
                  <c:v>0.209807452546345</c:v>
                </c:pt>
                <c:pt idx="1">
                  <c:v>8.7908330773263002E-2</c:v>
                </c:pt>
                <c:pt idx="2">
                  <c:v>0.24454135542367025</c:v>
                </c:pt>
                <c:pt idx="3">
                  <c:v>2.9044533444811605E-2</c:v>
                </c:pt>
                <c:pt idx="4">
                  <c:v>0.13257041513999152</c:v>
                </c:pt>
                <c:pt idx="5">
                  <c:v>0.22851160345283497</c:v>
                </c:pt>
                <c:pt idx="6">
                  <c:v>0.23654095786680196</c:v>
                </c:pt>
                <c:pt idx="7">
                  <c:v>0.33841113825224844</c:v>
                </c:pt>
                <c:pt idx="8">
                  <c:v>0.1199241749705512</c:v>
                </c:pt>
                <c:pt idx="9">
                  <c:v>0.22785114550382324</c:v>
                </c:pt>
                <c:pt idx="10">
                  <c:v>0.20135930572530869</c:v>
                </c:pt>
                <c:pt idx="11">
                  <c:v>8.9956990867202366E-2</c:v>
                </c:pt>
                <c:pt idx="12">
                  <c:v>0.19958413320881246</c:v>
                </c:pt>
                <c:pt idx="13">
                  <c:v>0.20812225458018696</c:v>
                </c:pt>
                <c:pt idx="14">
                  <c:v>0.12942011037291568</c:v>
                </c:pt>
                <c:pt idx="15">
                  <c:v>0.11387208404646122</c:v>
                </c:pt>
                <c:pt idx="16">
                  <c:v>0.16365576948353658</c:v>
                </c:pt>
                <c:pt idx="17">
                  <c:v>0.21954721748789857</c:v>
                </c:pt>
                <c:pt idx="18">
                  <c:v>0.22767411883043848</c:v>
                </c:pt>
                <c:pt idx="19">
                  <c:v>8.0637688206156272E-2</c:v>
                </c:pt>
                <c:pt idx="20">
                  <c:v>0.18569306973684102</c:v>
                </c:pt>
              </c:numCache>
            </c:numRef>
          </c:val>
          <c:extLst>
            <c:ext xmlns:c16="http://schemas.microsoft.com/office/drawing/2014/chart" uri="{C3380CC4-5D6E-409C-BE32-E72D297353CC}">
              <c16:uniqueId val="{00000003-3E6A-471D-B70D-6EE1AE829A1C}"/>
            </c:ext>
          </c:extLst>
        </c:ser>
        <c:dLbls>
          <c:showLegendKey val="0"/>
          <c:showVal val="0"/>
          <c:showCatName val="0"/>
          <c:showSerName val="0"/>
          <c:showPercent val="0"/>
          <c:showBubbleSize val="0"/>
        </c:dLbls>
        <c:gapWidth val="219"/>
        <c:overlap val="-27"/>
        <c:axId val="376563376"/>
        <c:axId val="376562592"/>
      </c:barChart>
      <c:catAx>
        <c:axId val="3765633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76562592"/>
        <c:crosses val="autoZero"/>
        <c:auto val="1"/>
        <c:lblAlgn val="ctr"/>
        <c:lblOffset val="100"/>
        <c:noMultiLvlLbl val="0"/>
      </c:catAx>
      <c:valAx>
        <c:axId val="376562592"/>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765633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6180</Words>
  <Characters>35232</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Emran Hossen</dc:creator>
  <cp:keywords/>
  <dc:description/>
  <cp:lastModifiedBy>Md. Saiful Islam</cp:lastModifiedBy>
  <cp:revision>7</cp:revision>
  <cp:lastPrinted>2024-12-06T03:52:00Z</cp:lastPrinted>
  <dcterms:created xsi:type="dcterms:W3CDTF">2024-12-06T06:13:00Z</dcterms:created>
  <dcterms:modified xsi:type="dcterms:W3CDTF">2024-12-06T06:15:00Z</dcterms:modified>
</cp:coreProperties>
</file>