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5156B" w14:textId="1FBD3340" w:rsidR="00E46F45" w:rsidRDefault="00F07FF0" w:rsidP="00537182">
      <w:pPr>
        <w:spacing w:line="360" w:lineRule="auto"/>
        <w:jc w:val="both"/>
        <w:rPr>
          <w:rFonts w:ascii="Times New Roman" w:hAnsi="Times New Roman" w:cs="Times New Roman"/>
          <w:b/>
          <w:sz w:val="28"/>
          <w:szCs w:val="28"/>
        </w:rPr>
      </w:pPr>
      <w:r w:rsidRPr="00C04EA2">
        <w:rPr>
          <w:rFonts w:ascii="Times New Roman" w:hAnsi="Times New Roman" w:cs="Times New Roman"/>
          <w:b/>
          <w:sz w:val="28"/>
          <w:szCs w:val="28"/>
        </w:rPr>
        <w:t>IMPACT OF THE ISLAMIC BANKS</w:t>
      </w:r>
      <w:r w:rsidR="00E07292" w:rsidRPr="00C04EA2">
        <w:rPr>
          <w:rFonts w:ascii="Times New Roman" w:hAnsi="Times New Roman" w:cs="Times New Roman"/>
          <w:b/>
          <w:sz w:val="28"/>
          <w:szCs w:val="28"/>
        </w:rPr>
        <w:t>’</w:t>
      </w:r>
      <w:r w:rsidRPr="00C04EA2">
        <w:rPr>
          <w:rFonts w:ascii="Times New Roman" w:hAnsi="Times New Roman" w:cs="Times New Roman"/>
          <w:b/>
          <w:sz w:val="28"/>
          <w:szCs w:val="28"/>
        </w:rPr>
        <w:t xml:space="preserve"> PERFORMANCES ON ECONOMIC GROWTH OF BANGLADESH: PANEL DATA</w:t>
      </w:r>
      <w:r w:rsidR="00E07292" w:rsidRPr="00C04EA2">
        <w:rPr>
          <w:rFonts w:ascii="Times New Roman" w:hAnsi="Times New Roman" w:cs="Times New Roman"/>
          <w:b/>
          <w:sz w:val="28"/>
          <w:szCs w:val="28"/>
        </w:rPr>
        <w:t xml:space="preserve"> ANALYSIS</w:t>
      </w:r>
    </w:p>
    <w:p w14:paraId="3863D9F8" w14:textId="77777777" w:rsidR="00537182" w:rsidRPr="00537182" w:rsidRDefault="00537182" w:rsidP="00537182">
      <w:pPr>
        <w:spacing w:line="360" w:lineRule="auto"/>
        <w:jc w:val="both"/>
        <w:rPr>
          <w:rFonts w:ascii="Times New Roman" w:hAnsi="Times New Roman" w:cs="Times New Roman"/>
          <w:b/>
          <w:sz w:val="28"/>
          <w:szCs w:val="28"/>
        </w:rPr>
      </w:pPr>
    </w:p>
    <w:p w14:paraId="39CCF6FF" w14:textId="00CB2E31" w:rsidR="00956FBC" w:rsidRPr="00C04EA2" w:rsidRDefault="00A7788F" w:rsidP="005A30C7">
      <w:pPr>
        <w:spacing w:line="360" w:lineRule="auto"/>
        <w:ind w:left="3600"/>
        <w:rPr>
          <w:rFonts w:ascii="Times New Roman" w:hAnsi="Times New Roman" w:cs="Times New Roman"/>
          <w:b/>
          <w:sz w:val="24"/>
          <w:szCs w:val="24"/>
        </w:rPr>
      </w:pPr>
      <w:r>
        <w:rPr>
          <w:rFonts w:ascii="Times New Roman" w:hAnsi="Times New Roman" w:cs="Times New Roman"/>
          <w:b/>
          <w:sz w:val="24"/>
          <w:szCs w:val="24"/>
        </w:rPr>
        <w:t xml:space="preserve">     </w:t>
      </w:r>
      <w:r w:rsidRPr="00C04EA2">
        <w:rPr>
          <w:rFonts w:ascii="Times New Roman" w:hAnsi="Times New Roman" w:cs="Times New Roman"/>
          <w:b/>
          <w:sz w:val="24"/>
          <w:szCs w:val="24"/>
        </w:rPr>
        <w:t>Abstract</w:t>
      </w:r>
    </w:p>
    <w:p w14:paraId="5AB7B4D2" w14:textId="35BF92EB" w:rsidR="00556717" w:rsidRPr="00556717" w:rsidRDefault="00556717" w:rsidP="005A30C7">
      <w:pPr>
        <w:spacing w:line="360" w:lineRule="auto"/>
        <w:jc w:val="both"/>
        <w:rPr>
          <w:rFonts w:ascii="Times New Roman" w:hAnsi="Times New Roman" w:cs="Times New Roman"/>
          <w:sz w:val="24"/>
          <w:szCs w:val="24"/>
        </w:rPr>
      </w:pPr>
      <w:r w:rsidRPr="00556717">
        <w:rPr>
          <w:rFonts w:ascii="Times New Roman" w:hAnsi="Times New Roman" w:cs="Times New Roman"/>
          <w:sz w:val="24"/>
          <w:szCs w:val="24"/>
        </w:rPr>
        <w:t>The research investigates the impact of Islamic banks' performance on Bangladesh's economic growth by analyzing panel data from selected banks between 2010 and 2019. A quantitative approach was used, focusing on financial ratio analysis (FRA) due to the secondary nature of the data. The study employed various methods such as Covariance Analysis, Unit Root tests, ARDL tests, and Granger Causality Analysis to evaluate the data from five Islamic banks selected as samples. The findings show a positive and significant impact on economic growth during this period, with a notable increase in profitability within the banking sector over the last decade. The research indicates that financial performance indicators play a crucial role in influencing economic growth. Therefore, policymakers should pay attention to the factors that affect financial performance and prioritize strategies that support rapid economic growth through effective risk management. This study offers valuable insights into the financial performance of Islamic banks, highlighting the significance of profitability in their roles within the broader economic system.</w:t>
      </w:r>
    </w:p>
    <w:p w14:paraId="1AFD074A" w14:textId="66B22163" w:rsidR="006B361E" w:rsidRPr="00C04EA2" w:rsidRDefault="00720000" w:rsidP="005A30C7">
      <w:pPr>
        <w:spacing w:line="360" w:lineRule="auto"/>
        <w:jc w:val="both"/>
        <w:rPr>
          <w:rFonts w:ascii="Times New Roman" w:hAnsi="Times New Roman" w:cs="Times New Roman"/>
          <w:sz w:val="24"/>
          <w:szCs w:val="24"/>
        </w:rPr>
      </w:pPr>
      <w:r w:rsidRPr="00C04EA2">
        <w:rPr>
          <w:rFonts w:ascii="Times New Roman" w:hAnsi="Times New Roman" w:cs="Times New Roman"/>
          <w:b/>
          <w:sz w:val="24"/>
          <w:szCs w:val="24"/>
        </w:rPr>
        <w:t>Keywords:</w:t>
      </w:r>
      <w:r w:rsidRPr="00C04EA2">
        <w:rPr>
          <w:rFonts w:ascii="Times New Roman" w:hAnsi="Times New Roman" w:cs="Times New Roman"/>
          <w:sz w:val="24"/>
          <w:szCs w:val="24"/>
        </w:rPr>
        <w:t xml:space="preserve"> Islamic Banks, </w:t>
      </w:r>
      <w:r w:rsidR="001235A1" w:rsidRPr="00C04EA2">
        <w:rPr>
          <w:rFonts w:ascii="Times New Roman" w:hAnsi="Times New Roman" w:cs="Times New Roman"/>
          <w:sz w:val="24"/>
          <w:szCs w:val="24"/>
        </w:rPr>
        <w:t xml:space="preserve">Bangladesh, </w:t>
      </w:r>
      <w:r w:rsidRPr="00C04EA2">
        <w:rPr>
          <w:rFonts w:ascii="Times New Roman" w:hAnsi="Times New Roman" w:cs="Times New Roman"/>
          <w:sz w:val="24"/>
          <w:szCs w:val="24"/>
        </w:rPr>
        <w:t>Economic Growth, Panel Data</w:t>
      </w:r>
      <w:r w:rsidR="00C04EA2">
        <w:rPr>
          <w:rFonts w:ascii="Times New Roman" w:hAnsi="Times New Roman" w:cs="Times New Roman"/>
          <w:sz w:val="24"/>
          <w:szCs w:val="24"/>
        </w:rPr>
        <w:t>, Financial Ratio Analysis</w:t>
      </w:r>
      <w:r w:rsidRPr="00C04EA2">
        <w:rPr>
          <w:rFonts w:ascii="Times New Roman" w:hAnsi="Times New Roman" w:cs="Times New Roman"/>
          <w:sz w:val="24"/>
          <w:szCs w:val="24"/>
        </w:rPr>
        <w:t>.</w:t>
      </w:r>
    </w:p>
    <w:p w14:paraId="593591B0" w14:textId="6C6BB4BB" w:rsidR="00E46F45" w:rsidRDefault="00C04EA2" w:rsidP="005A30C7">
      <w:pPr>
        <w:spacing w:line="360" w:lineRule="auto"/>
        <w:jc w:val="both"/>
        <w:rPr>
          <w:rFonts w:ascii="Times New Roman" w:hAnsi="Times New Roman" w:cs="Times New Roman"/>
          <w:sz w:val="24"/>
          <w:szCs w:val="24"/>
        </w:rPr>
      </w:pPr>
      <w:r>
        <w:rPr>
          <w:rFonts w:ascii="Times New Roman" w:hAnsi="Times New Roman" w:cs="Times New Roman"/>
          <w:b/>
          <w:sz w:val="24"/>
          <w:szCs w:val="24"/>
        </w:rPr>
        <w:t>Manuscript</w:t>
      </w:r>
      <w:r w:rsidR="00C53E4E" w:rsidRPr="00C04EA2">
        <w:rPr>
          <w:rFonts w:ascii="Times New Roman" w:hAnsi="Times New Roman" w:cs="Times New Roman"/>
          <w:b/>
          <w:sz w:val="24"/>
          <w:szCs w:val="24"/>
        </w:rPr>
        <w:t xml:space="preserve"> </w:t>
      </w:r>
      <w:r w:rsidR="00371A39" w:rsidRPr="00C04EA2">
        <w:rPr>
          <w:rFonts w:ascii="Times New Roman" w:hAnsi="Times New Roman" w:cs="Times New Roman"/>
          <w:b/>
          <w:sz w:val="24"/>
          <w:szCs w:val="24"/>
        </w:rPr>
        <w:t>type</w:t>
      </w:r>
      <w:r w:rsidR="00C53E4E" w:rsidRPr="00C04EA2">
        <w:rPr>
          <w:rFonts w:ascii="Times New Roman" w:hAnsi="Times New Roman" w:cs="Times New Roman"/>
          <w:sz w:val="24"/>
          <w:szCs w:val="24"/>
        </w:rPr>
        <w:t>:</w:t>
      </w:r>
      <w:r>
        <w:rPr>
          <w:rFonts w:ascii="Times New Roman" w:hAnsi="Times New Roman" w:cs="Times New Roman"/>
          <w:sz w:val="24"/>
          <w:szCs w:val="24"/>
        </w:rPr>
        <w:t xml:space="preserve"> Original article</w:t>
      </w:r>
      <w:r w:rsidR="00C53E4E" w:rsidRPr="00C04EA2">
        <w:rPr>
          <w:rFonts w:ascii="Times New Roman" w:hAnsi="Times New Roman" w:cs="Times New Roman"/>
          <w:sz w:val="24"/>
          <w:szCs w:val="24"/>
        </w:rPr>
        <w:t>.</w:t>
      </w:r>
    </w:p>
    <w:p w14:paraId="7B0152C2" w14:textId="77777777" w:rsidR="00C04EA2" w:rsidRPr="00C04EA2" w:rsidRDefault="00C04EA2" w:rsidP="005A30C7">
      <w:pPr>
        <w:spacing w:line="360" w:lineRule="auto"/>
        <w:jc w:val="both"/>
        <w:rPr>
          <w:rFonts w:ascii="Times New Roman" w:hAnsi="Times New Roman" w:cs="Times New Roman"/>
          <w:sz w:val="24"/>
          <w:szCs w:val="24"/>
        </w:rPr>
      </w:pPr>
    </w:p>
    <w:p w14:paraId="41545097" w14:textId="17BD371F" w:rsidR="006B361E" w:rsidRPr="00C04EA2" w:rsidRDefault="00474E2B" w:rsidP="005A30C7">
      <w:pPr>
        <w:tabs>
          <w:tab w:val="left" w:pos="3780"/>
        </w:tabs>
        <w:spacing w:line="360" w:lineRule="auto"/>
        <w:jc w:val="center"/>
        <w:rPr>
          <w:rFonts w:ascii="Times New Roman" w:hAnsi="Times New Roman" w:cs="Times New Roman"/>
          <w:b/>
          <w:sz w:val="24"/>
          <w:szCs w:val="24"/>
        </w:rPr>
      </w:pPr>
      <w:r w:rsidRPr="00C04EA2">
        <w:rPr>
          <w:rFonts w:ascii="Times New Roman" w:hAnsi="Times New Roman" w:cs="Times New Roman"/>
          <w:b/>
          <w:sz w:val="24"/>
          <w:szCs w:val="24"/>
        </w:rPr>
        <w:t>INTRODUCTION</w:t>
      </w:r>
    </w:p>
    <w:p w14:paraId="24E26150" w14:textId="318FE401" w:rsidR="004B0584" w:rsidRPr="00EA5472" w:rsidRDefault="00474E2B" w:rsidP="00AC395F">
      <w:pPr>
        <w:spacing w:line="360" w:lineRule="auto"/>
        <w:jc w:val="both"/>
        <w:rPr>
          <w:rFonts w:ascii="Times New Roman" w:eastAsia="Times New Roman" w:hAnsi="Times New Roman" w:cs="Times New Roman"/>
          <w:sz w:val="24"/>
          <w:szCs w:val="24"/>
        </w:rPr>
      </w:pPr>
      <w:r w:rsidRPr="00C04EA2">
        <w:rPr>
          <w:rFonts w:ascii="Times New Roman" w:hAnsi="Times New Roman" w:cs="Times New Roman"/>
          <w:sz w:val="24"/>
          <w:szCs w:val="24"/>
        </w:rPr>
        <w:t xml:space="preserve">In </w:t>
      </w:r>
      <w:r w:rsidR="00E56909">
        <w:rPr>
          <w:rFonts w:ascii="Times New Roman" w:hAnsi="Times New Roman" w:cs="Times New Roman"/>
          <w:sz w:val="24"/>
          <w:szCs w:val="24"/>
        </w:rPr>
        <w:t>the past few</w:t>
      </w:r>
      <w:r w:rsidRPr="00C04EA2">
        <w:rPr>
          <w:rFonts w:ascii="Times New Roman" w:hAnsi="Times New Roman" w:cs="Times New Roman"/>
          <w:sz w:val="24"/>
          <w:szCs w:val="24"/>
        </w:rPr>
        <w:t xml:space="preserve"> decades, the </w:t>
      </w:r>
      <w:r w:rsidR="00E56909" w:rsidRPr="00C04EA2">
        <w:rPr>
          <w:rFonts w:ascii="Times New Roman" w:hAnsi="Times New Roman" w:cs="Times New Roman"/>
          <w:sz w:val="24"/>
          <w:szCs w:val="24"/>
        </w:rPr>
        <w:t xml:space="preserve">system </w:t>
      </w:r>
      <w:r w:rsidR="00E56909">
        <w:rPr>
          <w:rFonts w:ascii="Times New Roman" w:hAnsi="Times New Roman" w:cs="Times New Roman"/>
          <w:sz w:val="24"/>
          <w:szCs w:val="24"/>
        </w:rPr>
        <w:t xml:space="preserve">of </w:t>
      </w:r>
      <w:r w:rsidRPr="00C04EA2">
        <w:rPr>
          <w:rFonts w:ascii="Times New Roman" w:hAnsi="Times New Roman" w:cs="Times New Roman"/>
          <w:sz w:val="24"/>
          <w:szCs w:val="24"/>
        </w:rPr>
        <w:t>Islamic banking has become increasingly popular with consumers, policymakers, and researchers. In any economy, the banking sector helps to improve financial performance and resource efficiency (Ahmed, 2010</w:t>
      </w:r>
      <w:r w:rsidR="00277EFD">
        <w:rPr>
          <w:rFonts w:ascii="Times New Roman" w:hAnsi="Times New Roman" w:cs="Times New Roman"/>
          <w:sz w:val="24"/>
          <w:szCs w:val="24"/>
        </w:rPr>
        <w:t xml:space="preserve">; </w:t>
      </w:r>
      <w:proofErr w:type="spellStart"/>
      <w:r w:rsidR="000A44CA" w:rsidRPr="00C04EA2">
        <w:rPr>
          <w:rFonts w:ascii="Times New Roman" w:hAnsi="Times New Roman" w:cs="Times New Roman"/>
          <w:sz w:val="24"/>
          <w:szCs w:val="24"/>
        </w:rPr>
        <w:t>Rabaa</w:t>
      </w:r>
      <w:proofErr w:type="spellEnd"/>
      <w:r w:rsidR="000A44CA" w:rsidRPr="00C04EA2">
        <w:rPr>
          <w:rFonts w:ascii="Times New Roman" w:hAnsi="Times New Roman" w:cs="Times New Roman"/>
          <w:sz w:val="24"/>
          <w:szCs w:val="24"/>
        </w:rPr>
        <w:t xml:space="preserve"> &amp; Younes, 2016)</w:t>
      </w:r>
      <w:r w:rsidRPr="00C04EA2">
        <w:rPr>
          <w:rFonts w:ascii="Times New Roman" w:hAnsi="Times New Roman" w:cs="Times New Roman"/>
          <w:sz w:val="24"/>
          <w:szCs w:val="24"/>
        </w:rPr>
        <w:t>.</w:t>
      </w:r>
      <w:r w:rsidR="00E46F45" w:rsidRPr="00C04EA2">
        <w:rPr>
          <w:rFonts w:ascii="Times New Roman" w:hAnsi="Times New Roman" w:cs="Times New Roman"/>
          <w:sz w:val="24"/>
          <w:szCs w:val="24"/>
        </w:rPr>
        <w:t xml:space="preserve"> </w:t>
      </w:r>
      <w:r w:rsidRPr="00C04EA2">
        <w:rPr>
          <w:rFonts w:ascii="Times New Roman" w:hAnsi="Times New Roman" w:cs="Times New Roman"/>
          <w:sz w:val="24"/>
          <w:szCs w:val="24"/>
        </w:rPr>
        <w:t xml:space="preserve">Banks that are profitable consistently maintain a healthy level of capital and have easy access to funds. </w:t>
      </w:r>
      <w:r w:rsidR="00580DB7">
        <w:rPr>
          <w:rFonts w:ascii="Times New Roman" w:hAnsi="Times New Roman" w:cs="Times New Roman"/>
          <w:sz w:val="24"/>
          <w:szCs w:val="24"/>
        </w:rPr>
        <w:t>Resource</w:t>
      </w:r>
      <w:r w:rsidRPr="00C04EA2">
        <w:rPr>
          <w:rFonts w:ascii="Times New Roman" w:hAnsi="Times New Roman" w:cs="Times New Roman"/>
          <w:sz w:val="24"/>
          <w:szCs w:val="24"/>
        </w:rPr>
        <w:t xml:space="preserve"> allocation, economic growth, and financial performance are all significantly influenced by a healthy banking system. Better financial performance also encourages investment growth, which is good for shareholders and the economy as a whole (Bourke, 1989</w:t>
      </w:r>
      <w:r w:rsidR="00277EFD">
        <w:rPr>
          <w:rFonts w:ascii="Times New Roman" w:hAnsi="Times New Roman" w:cs="Times New Roman"/>
          <w:sz w:val="24"/>
          <w:szCs w:val="24"/>
        </w:rPr>
        <w:t xml:space="preserve">; </w:t>
      </w:r>
      <w:proofErr w:type="spellStart"/>
      <w:r w:rsidR="000A44CA" w:rsidRPr="00C04EA2">
        <w:rPr>
          <w:rFonts w:ascii="Times New Roman" w:hAnsi="Times New Roman" w:cs="Times New Roman"/>
          <w:sz w:val="24"/>
          <w:szCs w:val="24"/>
        </w:rPr>
        <w:t>Rabaa</w:t>
      </w:r>
      <w:proofErr w:type="spellEnd"/>
      <w:r w:rsidR="000A44CA" w:rsidRPr="00C04EA2">
        <w:rPr>
          <w:rFonts w:ascii="Times New Roman" w:hAnsi="Times New Roman" w:cs="Times New Roman"/>
          <w:sz w:val="24"/>
          <w:szCs w:val="24"/>
        </w:rPr>
        <w:t xml:space="preserve"> &amp; Younes, 2016)</w:t>
      </w:r>
      <w:r w:rsidRPr="00C04EA2">
        <w:rPr>
          <w:rFonts w:ascii="Times New Roman" w:hAnsi="Times New Roman" w:cs="Times New Roman"/>
          <w:sz w:val="24"/>
          <w:szCs w:val="24"/>
        </w:rPr>
        <w:t>.</w:t>
      </w:r>
      <w:r w:rsidR="00E46F45" w:rsidRPr="00C04EA2">
        <w:rPr>
          <w:rFonts w:ascii="Times New Roman" w:hAnsi="Times New Roman" w:cs="Times New Roman"/>
          <w:sz w:val="24"/>
          <w:szCs w:val="24"/>
        </w:rPr>
        <w:t xml:space="preserve"> </w:t>
      </w:r>
      <w:r w:rsidR="00E56909" w:rsidRPr="00E56909">
        <w:rPr>
          <w:rFonts w:ascii="Times New Roman" w:eastAsia="Times New Roman" w:hAnsi="Times New Roman" w:cs="Times New Roman"/>
          <w:sz w:val="24"/>
          <w:szCs w:val="24"/>
        </w:rPr>
        <w:t xml:space="preserve">Muslims and their businesses can now obtain funding or make the switch from an informal </w:t>
      </w:r>
      <w:r w:rsidR="00E56909" w:rsidRPr="00E56909">
        <w:rPr>
          <w:rFonts w:ascii="Times New Roman" w:eastAsia="Times New Roman" w:hAnsi="Times New Roman" w:cs="Times New Roman"/>
          <w:sz w:val="24"/>
          <w:szCs w:val="24"/>
        </w:rPr>
        <w:lastRenderedPageBreak/>
        <w:t xml:space="preserve">to an official financial system thanks to Islamic banks, which offer financial services and goods compliant with their faith. Stated differently, Islamic banks can increase the accessibility of financial services to a wider range of people while also reducing financial exclusion. Furthermore, as suggested by </w:t>
      </w:r>
      <w:proofErr w:type="spellStart"/>
      <w:r w:rsidR="00E56909" w:rsidRPr="00E56909">
        <w:rPr>
          <w:rFonts w:ascii="Times New Roman" w:eastAsia="Times New Roman" w:hAnsi="Times New Roman" w:cs="Times New Roman"/>
          <w:sz w:val="24"/>
          <w:szCs w:val="24"/>
        </w:rPr>
        <w:t>Rajan</w:t>
      </w:r>
      <w:proofErr w:type="spellEnd"/>
      <w:r w:rsidR="00E56909" w:rsidRPr="00E56909">
        <w:rPr>
          <w:rFonts w:ascii="Times New Roman" w:eastAsia="Times New Roman" w:hAnsi="Times New Roman" w:cs="Times New Roman"/>
          <w:sz w:val="24"/>
          <w:szCs w:val="24"/>
        </w:rPr>
        <w:t xml:space="preserve"> (2006), this could stimulate more successful methods of reducing poverty. In recent times, there has been a notable surge in the acceptance of Islamic banking. The Islamic banking system differs from the regular banking system primarily in that it is interest-free. Put another way, depositors who use traditional banks are assured of receiving the agreed upon interest amount when it becomes due.</w:t>
      </w:r>
      <w:r w:rsidR="00EA5472">
        <w:rPr>
          <w:rFonts w:ascii="Times New Roman" w:eastAsia="Times New Roman" w:hAnsi="Times New Roman" w:cs="Times New Roman"/>
          <w:sz w:val="24"/>
          <w:szCs w:val="24"/>
        </w:rPr>
        <w:t xml:space="preserve"> </w:t>
      </w:r>
      <w:r w:rsidR="00EA360E" w:rsidRPr="00C04EA2">
        <w:rPr>
          <w:rFonts w:ascii="Times New Roman" w:hAnsi="Times New Roman" w:cs="Times New Roman"/>
          <w:sz w:val="24"/>
          <w:szCs w:val="24"/>
        </w:rPr>
        <w:t>However, when depositing money into Islamic banks, people do not feel secure in this regard. Depending on how profitable these banks are, they receive a certain amount in profit sharing (Hassan</w:t>
      </w:r>
      <w:r w:rsidR="000A44CA" w:rsidRPr="00C04EA2">
        <w:rPr>
          <w:rFonts w:ascii="Times New Roman" w:hAnsi="Times New Roman" w:cs="Times New Roman"/>
          <w:sz w:val="24"/>
          <w:szCs w:val="24"/>
        </w:rPr>
        <w:t xml:space="preserve"> &amp;</w:t>
      </w:r>
      <w:r w:rsidR="00EA360E" w:rsidRPr="00C04EA2">
        <w:rPr>
          <w:rFonts w:ascii="Times New Roman" w:hAnsi="Times New Roman" w:cs="Times New Roman"/>
          <w:sz w:val="24"/>
          <w:szCs w:val="24"/>
        </w:rPr>
        <w:t xml:space="preserve"> Bashir, 2003</w:t>
      </w:r>
      <w:r w:rsidR="00277EFD">
        <w:rPr>
          <w:rFonts w:ascii="Times New Roman" w:hAnsi="Times New Roman" w:cs="Times New Roman"/>
          <w:sz w:val="24"/>
          <w:szCs w:val="24"/>
        </w:rPr>
        <w:t>;</w:t>
      </w:r>
      <w:r w:rsidR="000A44CA" w:rsidRPr="00C04EA2">
        <w:rPr>
          <w:rFonts w:ascii="Times New Roman" w:hAnsi="Times New Roman" w:cs="Times New Roman"/>
          <w:sz w:val="24"/>
          <w:szCs w:val="24"/>
        </w:rPr>
        <w:t xml:space="preserve"> </w:t>
      </w:r>
      <w:proofErr w:type="spellStart"/>
      <w:r w:rsidR="000A44CA" w:rsidRPr="00C04EA2">
        <w:rPr>
          <w:rFonts w:ascii="Times New Roman" w:hAnsi="Times New Roman" w:cs="Times New Roman"/>
          <w:sz w:val="24"/>
          <w:szCs w:val="24"/>
        </w:rPr>
        <w:t>Yüksel</w:t>
      </w:r>
      <w:proofErr w:type="spellEnd"/>
      <w:r w:rsidR="000A44CA" w:rsidRPr="00C04EA2">
        <w:rPr>
          <w:rFonts w:ascii="Times New Roman" w:hAnsi="Times New Roman" w:cs="Times New Roman"/>
          <w:sz w:val="24"/>
          <w:szCs w:val="24"/>
        </w:rPr>
        <w:t xml:space="preserve"> &amp; </w:t>
      </w:r>
      <w:proofErr w:type="spellStart"/>
      <w:r w:rsidR="000A44CA" w:rsidRPr="00C04EA2">
        <w:rPr>
          <w:rFonts w:ascii="Times New Roman" w:hAnsi="Times New Roman" w:cs="Times New Roman"/>
          <w:sz w:val="24"/>
          <w:szCs w:val="24"/>
        </w:rPr>
        <w:t>Canöz</w:t>
      </w:r>
      <w:proofErr w:type="spellEnd"/>
      <w:r w:rsidR="000A44CA" w:rsidRPr="00C04EA2">
        <w:rPr>
          <w:rFonts w:ascii="Times New Roman" w:hAnsi="Times New Roman" w:cs="Times New Roman"/>
          <w:sz w:val="24"/>
          <w:szCs w:val="24"/>
        </w:rPr>
        <w:t>, 2017)</w:t>
      </w:r>
      <w:r w:rsidR="00EA360E" w:rsidRPr="00C04EA2">
        <w:rPr>
          <w:rFonts w:ascii="Times New Roman" w:hAnsi="Times New Roman" w:cs="Times New Roman"/>
          <w:sz w:val="24"/>
          <w:szCs w:val="24"/>
        </w:rPr>
        <w:t>.</w:t>
      </w:r>
    </w:p>
    <w:p w14:paraId="12585447" w14:textId="448427F7" w:rsidR="00EA360E" w:rsidRPr="00EA5472" w:rsidRDefault="00EA5472" w:rsidP="00AC395F">
      <w:pPr>
        <w:spacing w:after="240" w:line="360" w:lineRule="auto"/>
        <w:jc w:val="both"/>
        <w:rPr>
          <w:rFonts w:ascii="Times New Roman" w:eastAsia="Times New Roman" w:hAnsi="Times New Roman" w:cs="Times New Roman"/>
          <w:sz w:val="24"/>
          <w:szCs w:val="24"/>
        </w:rPr>
      </w:pPr>
      <w:r w:rsidRPr="00EA5472">
        <w:rPr>
          <w:rFonts w:ascii="Times New Roman" w:eastAsia="Times New Roman" w:hAnsi="Times New Roman" w:cs="Times New Roman"/>
          <w:sz w:val="24"/>
          <w:szCs w:val="24"/>
        </w:rPr>
        <w:t>The relationship between financial growth and economic expansion is mainly supported by empirical data, but it's interesting to think about the potential contributions of Islamic banking practices to economic progress. People who do not want to employ interest-related financial instruments can nonetheless transfer money into the financial system thanks to Islamic financial practices, especially in countries where Muslims make up the majority population. By strengthening the financial system, financial diversity and the rise of Islamic finance may benefit economic expansion. Moreover, the expansion of the financial system might contribute to the preservation of financial stability, which would indirectly boost economic growth. Conversely, in countries that have two banking systems, the Islamic banking structure might assist the traditional financial system and avert a possible halt in economic expansion, especially if the conventional financial services system is unreliable or unable to sufficiently foster economic expansion (</w:t>
      </w:r>
      <w:proofErr w:type="spellStart"/>
      <w:r w:rsidRPr="00EA5472">
        <w:rPr>
          <w:rFonts w:ascii="Times New Roman" w:eastAsia="Times New Roman" w:hAnsi="Times New Roman" w:cs="Times New Roman"/>
          <w:sz w:val="24"/>
          <w:szCs w:val="24"/>
        </w:rPr>
        <w:t>Sekmen</w:t>
      </w:r>
      <w:proofErr w:type="spellEnd"/>
      <w:r w:rsidRPr="00EA5472">
        <w:rPr>
          <w:rFonts w:ascii="Times New Roman" w:eastAsia="Times New Roman" w:hAnsi="Times New Roman" w:cs="Times New Roman"/>
          <w:sz w:val="24"/>
          <w:szCs w:val="24"/>
        </w:rPr>
        <w:t xml:space="preserve">, 2021). </w:t>
      </w:r>
      <w:r w:rsidR="00EA360E" w:rsidRPr="00C04EA2">
        <w:rPr>
          <w:rFonts w:ascii="Times New Roman" w:hAnsi="Times New Roman" w:cs="Times New Roman"/>
          <w:sz w:val="24"/>
          <w:szCs w:val="24"/>
        </w:rPr>
        <w:t xml:space="preserve">Regarding the emergence of the Islamic banking system, there are a few factors. The first and most important factor in this situation is religious </w:t>
      </w:r>
      <w:r>
        <w:rPr>
          <w:rFonts w:ascii="Times New Roman" w:hAnsi="Times New Roman" w:cs="Times New Roman"/>
          <w:sz w:val="24"/>
          <w:szCs w:val="24"/>
        </w:rPr>
        <w:t>motivation</w:t>
      </w:r>
      <w:r w:rsidR="00EA360E" w:rsidRPr="00C04EA2">
        <w:rPr>
          <w:rFonts w:ascii="Times New Roman" w:hAnsi="Times New Roman" w:cs="Times New Roman"/>
          <w:sz w:val="24"/>
          <w:szCs w:val="24"/>
        </w:rPr>
        <w:t>. Muslims require a banking s</w:t>
      </w:r>
      <w:r>
        <w:rPr>
          <w:rFonts w:ascii="Times New Roman" w:hAnsi="Times New Roman" w:cs="Times New Roman"/>
          <w:sz w:val="24"/>
          <w:szCs w:val="24"/>
        </w:rPr>
        <w:t>tructure</w:t>
      </w:r>
      <w:r w:rsidR="00EA360E" w:rsidRPr="00C04EA2">
        <w:rPr>
          <w:rFonts w:ascii="Times New Roman" w:hAnsi="Times New Roman" w:cs="Times New Roman"/>
          <w:sz w:val="24"/>
          <w:szCs w:val="24"/>
        </w:rPr>
        <w:t xml:space="preserve"> with</w:t>
      </w:r>
      <w:r>
        <w:rPr>
          <w:rFonts w:ascii="Times New Roman" w:hAnsi="Times New Roman" w:cs="Times New Roman"/>
          <w:sz w:val="24"/>
          <w:szCs w:val="24"/>
        </w:rPr>
        <w:t xml:space="preserve"> no</w:t>
      </w:r>
      <w:r w:rsidR="00EA360E" w:rsidRPr="00C04EA2">
        <w:rPr>
          <w:rFonts w:ascii="Times New Roman" w:hAnsi="Times New Roman" w:cs="Times New Roman"/>
          <w:sz w:val="24"/>
          <w:szCs w:val="24"/>
        </w:rPr>
        <w:t xml:space="preserve"> interest </w:t>
      </w:r>
      <w:r>
        <w:rPr>
          <w:rFonts w:ascii="Times New Roman" w:hAnsi="Times New Roman" w:cs="Times New Roman"/>
          <w:sz w:val="24"/>
          <w:szCs w:val="24"/>
        </w:rPr>
        <w:t>as</w:t>
      </w:r>
      <w:r w:rsidR="00EA360E" w:rsidRPr="00C04EA2">
        <w:rPr>
          <w:rFonts w:ascii="Times New Roman" w:hAnsi="Times New Roman" w:cs="Times New Roman"/>
          <w:sz w:val="24"/>
          <w:szCs w:val="24"/>
        </w:rPr>
        <w:t xml:space="preserve"> it is strictly forbidden in Islam. In addition to religious motivations, social factors were a major factor in the </w:t>
      </w:r>
      <w:r w:rsidR="00AC395F">
        <w:rPr>
          <w:rFonts w:ascii="Times New Roman" w:hAnsi="Times New Roman" w:cs="Times New Roman"/>
          <w:sz w:val="24"/>
          <w:szCs w:val="24"/>
        </w:rPr>
        <w:t>growth</w:t>
      </w:r>
      <w:r w:rsidR="00EA360E" w:rsidRPr="00C04EA2">
        <w:rPr>
          <w:rFonts w:ascii="Times New Roman" w:hAnsi="Times New Roman" w:cs="Times New Roman"/>
          <w:sz w:val="24"/>
          <w:szCs w:val="24"/>
        </w:rPr>
        <w:t xml:space="preserve"> of the Islamic banking system. Interest is thought to be the root of income disparity. A new banking system without interest is therefore required to solve this issue (</w:t>
      </w:r>
      <w:proofErr w:type="spellStart"/>
      <w:r w:rsidR="00EA360E" w:rsidRPr="00C04EA2">
        <w:rPr>
          <w:rFonts w:ascii="Times New Roman" w:hAnsi="Times New Roman" w:cs="Times New Roman"/>
          <w:sz w:val="24"/>
          <w:szCs w:val="24"/>
        </w:rPr>
        <w:t>Yüksel</w:t>
      </w:r>
      <w:proofErr w:type="spellEnd"/>
      <w:r w:rsidR="00EA360E" w:rsidRPr="00C04EA2">
        <w:rPr>
          <w:rFonts w:ascii="Times New Roman" w:hAnsi="Times New Roman" w:cs="Times New Roman"/>
          <w:sz w:val="24"/>
          <w:szCs w:val="24"/>
        </w:rPr>
        <w:t xml:space="preserve"> &amp; </w:t>
      </w:r>
      <w:proofErr w:type="spellStart"/>
      <w:r w:rsidR="00EA360E" w:rsidRPr="00C04EA2">
        <w:rPr>
          <w:rFonts w:ascii="Times New Roman" w:hAnsi="Times New Roman" w:cs="Times New Roman"/>
          <w:sz w:val="24"/>
          <w:szCs w:val="24"/>
        </w:rPr>
        <w:t>Canöz</w:t>
      </w:r>
      <w:proofErr w:type="spellEnd"/>
      <w:r w:rsidR="00EA360E" w:rsidRPr="00C04EA2">
        <w:rPr>
          <w:rFonts w:ascii="Times New Roman" w:hAnsi="Times New Roman" w:cs="Times New Roman"/>
          <w:sz w:val="24"/>
          <w:szCs w:val="24"/>
        </w:rPr>
        <w:t>, 2017). The Islamic banking system is thought to be superior to the conventional banking system in many ways. Because Muslims deposit money in banks, it firstly increases market liquidity. Additionally, because these banks hire new employees, i</w:t>
      </w:r>
      <w:r w:rsidR="00AC395F">
        <w:rPr>
          <w:rFonts w:ascii="Times New Roman" w:hAnsi="Times New Roman" w:cs="Times New Roman"/>
          <w:sz w:val="24"/>
          <w:szCs w:val="24"/>
        </w:rPr>
        <w:t>t substantially contributes</w:t>
      </w:r>
      <w:r w:rsidR="00EA360E" w:rsidRPr="00C04EA2">
        <w:rPr>
          <w:rFonts w:ascii="Times New Roman" w:hAnsi="Times New Roman" w:cs="Times New Roman"/>
          <w:sz w:val="24"/>
          <w:szCs w:val="24"/>
        </w:rPr>
        <w:t xml:space="preserve"> </w:t>
      </w:r>
      <w:r w:rsidR="00AC395F">
        <w:rPr>
          <w:rFonts w:ascii="Times New Roman" w:hAnsi="Times New Roman" w:cs="Times New Roman"/>
          <w:sz w:val="24"/>
          <w:szCs w:val="24"/>
        </w:rPr>
        <w:t>to</w:t>
      </w:r>
      <w:r w:rsidR="00EA360E" w:rsidRPr="00C04EA2">
        <w:rPr>
          <w:rFonts w:ascii="Times New Roman" w:hAnsi="Times New Roman" w:cs="Times New Roman"/>
          <w:sz w:val="24"/>
          <w:szCs w:val="24"/>
        </w:rPr>
        <w:t xml:space="preserve"> lowering the nation's unemployment rate. In addition to these elements, lending money to businesses also contributes to a rise in national production. Given this </w:t>
      </w:r>
      <w:r w:rsidR="00EA360E" w:rsidRPr="00C04EA2">
        <w:rPr>
          <w:rFonts w:ascii="Times New Roman" w:hAnsi="Times New Roman" w:cs="Times New Roman"/>
          <w:sz w:val="24"/>
          <w:szCs w:val="24"/>
        </w:rPr>
        <w:lastRenderedPageBreak/>
        <w:t>circumstance, it can be said that the Islamic banking system helps that nation's economy</w:t>
      </w:r>
      <w:r w:rsidR="00580DB7">
        <w:rPr>
          <w:rFonts w:ascii="Times New Roman" w:hAnsi="Times New Roman" w:cs="Times New Roman"/>
          <w:sz w:val="24"/>
          <w:szCs w:val="24"/>
        </w:rPr>
        <w:t xml:space="preserve"> to</w:t>
      </w:r>
      <w:r w:rsidR="00EA360E" w:rsidRPr="00C04EA2">
        <w:rPr>
          <w:rFonts w:ascii="Times New Roman" w:hAnsi="Times New Roman" w:cs="Times New Roman"/>
          <w:sz w:val="24"/>
          <w:szCs w:val="24"/>
        </w:rPr>
        <w:t xml:space="preserve"> grow (</w:t>
      </w:r>
      <w:proofErr w:type="spellStart"/>
      <w:r w:rsidR="00EA360E" w:rsidRPr="00C04EA2">
        <w:rPr>
          <w:rFonts w:ascii="Times New Roman" w:hAnsi="Times New Roman" w:cs="Times New Roman"/>
          <w:sz w:val="24"/>
          <w:szCs w:val="24"/>
        </w:rPr>
        <w:t>Furqani</w:t>
      </w:r>
      <w:proofErr w:type="spellEnd"/>
      <w:r w:rsidR="00EA360E" w:rsidRPr="00C04EA2">
        <w:rPr>
          <w:rFonts w:ascii="Times New Roman" w:hAnsi="Times New Roman" w:cs="Times New Roman"/>
          <w:sz w:val="24"/>
          <w:szCs w:val="24"/>
        </w:rPr>
        <w:t xml:space="preserve"> </w:t>
      </w:r>
      <w:r w:rsidR="000A44CA" w:rsidRPr="00C04EA2">
        <w:rPr>
          <w:rFonts w:ascii="Times New Roman" w:hAnsi="Times New Roman" w:cs="Times New Roman"/>
          <w:sz w:val="24"/>
          <w:szCs w:val="24"/>
        </w:rPr>
        <w:t>&amp;</w:t>
      </w:r>
      <w:r w:rsidR="00EA360E" w:rsidRPr="00C04EA2">
        <w:rPr>
          <w:rFonts w:ascii="Times New Roman" w:hAnsi="Times New Roman" w:cs="Times New Roman"/>
          <w:sz w:val="24"/>
          <w:szCs w:val="24"/>
        </w:rPr>
        <w:t xml:space="preserve"> </w:t>
      </w:r>
      <w:proofErr w:type="spellStart"/>
      <w:r w:rsidR="00EA360E" w:rsidRPr="00C04EA2">
        <w:rPr>
          <w:rFonts w:ascii="Times New Roman" w:hAnsi="Times New Roman" w:cs="Times New Roman"/>
          <w:sz w:val="24"/>
          <w:szCs w:val="24"/>
        </w:rPr>
        <w:t>Mulyany</w:t>
      </w:r>
      <w:proofErr w:type="spellEnd"/>
      <w:r w:rsidR="00EA360E" w:rsidRPr="00C04EA2">
        <w:rPr>
          <w:rFonts w:ascii="Times New Roman" w:hAnsi="Times New Roman" w:cs="Times New Roman"/>
          <w:sz w:val="24"/>
          <w:szCs w:val="24"/>
        </w:rPr>
        <w:t>, 2009</w:t>
      </w:r>
      <w:r w:rsidR="00277EFD">
        <w:rPr>
          <w:rFonts w:ascii="Times New Roman" w:hAnsi="Times New Roman" w:cs="Times New Roman"/>
          <w:sz w:val="24"/>
          <w:szCs w:val="24"/>
        </w:rPr>
        <w:t xml:space="preserve">; </w:t>
      </w:r>
      <w:proofErr w:type="spellStart"/>
      <w:r w:rsidR="000A44CA" w:rsidRPr="00C04EA2">
        <w:rPr>
          <w:rFonts w:ascii="Times New Roman" w:hAnsi="Times New Roman" w:cs="Times New Roman"/>
          <w:sz w:val="24"/>
          <w:szCs w:val="24"/>
        </w:rPr>
        <w:t>Yüksel</w:t>
      </w:r>
      <w:proofErr w:type="spellEnd"/>
      <w:r w:rsidR="000A44CA" w:rsidRPr="00C04EA2">
        <w:rPr>
          <w:rFonts w:ascii="Times New Roman" w:hAnsi="Times New Roman" w:cs="Times New Roman"/>
          <w:sz w:val="24"/>
          <w:szCs w:val="24"/>
        </w:rPr>
        <w:t xml:space="preserve"> &amp; </w:t>
      </w:r>
      <w:proofErr w:type="spellStart"/>
      <w:r w:rsidR="000A44CA" w:rsidRPr="00C04EA2">
        <w:rPr>
          <w:rFonts w:ascii="Times New Roman" w:hAnsi="Times New Roman" w:cs="Times New Roman"/>
          <w:sz w:val="24"/>
          <w:szCs w:val="24"/>
        </w:rPr>
        <w:t>Canöz</w:t>
      </w:r>
      <w:proofErr w:type="spellEnd"/>
      <w:r w:rsidR="000A44CA" w:rsidRPr="00C04EA2">
        <w:rPr>
          <w:rFonts w:ascii="Times New Roman" w:hAnsi="Times New Roman" w:cs="Times New Roman"/>
          <w:sz w:val="24"/>
          <w:szCs w:val="24"/>
        </w:rPr>
        <w:t>, 2017).</w:t>
      </w:r>
    </w:p>
    <w:p w14:paraId="2A2872D7" w14:textId="77777777" w:rsidR="00AC395F" w:rsidRPr="00AC395F" w:rsidRDefault="00AC395F" w:rsidP="00AC395F">
      <w:pPr>
        <w:spacing w:after="0" w:line="360" w:lineRule="auto"/>
        <w:jc w:val="both"/>
        <w:rPr>
          <w:rFonts w:ascii="Times New Roman" w:eastAsia="Times New Roman" w:hAnsi="Times New Roman" w:cs="Times New Roman"/>
          <w:sz w:val="24"/>
          <w:szCs w:val="24"/>
        </w:rPr>
      </w:pPr>
      <w:r w:rsidRPr="00AC395F">
        <w:rPr>
          <w:rFonts w:ascii="Times New Roman" w:eastAsia="Times New Roman" w:hAnsi="Times New Roman" w:cs="Times New Roman"/>
          <w:sz w:val="24"/>
          <w:szCs w:val="24"/>
        </w:rPr>
        <w:t xml:space="preserve">The study aims to examine the influence of Islamic banks' performance on economic growth within the setting of Bangladesh. This article's outline is provided below. In the first portion, the introduction is covered. The second section aims to highlight the important research that Islamic banking and finance have done as they have developed from a theoretical field to one that is fast changing in our modern era. A summary of the contributions Islamic finance has contributed to economic growth is given in the third part, which also analyzes a number of empirical </w:t>
      </w:r>
      <w:proofErr w:type="gramStart"/>
      <w:r w:rsidRPr="00AC395F">
        <w:rPr>
          <w:rFonts w:ascii="Times New Roman" w:eastAsia="Times New Roman" w:hAnsi="Times New Roman" w:cs="Times New Roman"/>
          <w:sz w:val="24"/>
          <w:szCs w:val="24"/>
        </w:rPr>
        <w:t>research</w:t>
      </w:r>
      <w:proofErr w:type="gramEnd"/>
      <w:r w:rsidRPr="00AC395F">
        <w:rPr>
          <w:rFonts w:ascii="Times New Roman" w:eastAsia="Times New Roman" w:hAnsi="Times New Roman" w:cs="Times New Roman"/>
          <w:sz w:val="24"/>
          <w:szCs w:val="24"/>
        </w:rPr>
        <w:t>. The study's discussion is covered in the fifth portion, while the results and findings are included in the fourth section. The sixth and last section offers recommendations for more research after drawing a conclusion.</w:t>
      </w:r>
    </w:p>
    <w:p w14:paraId="59823CC4" w14:textId="77777777" w:rsidR="00C53E4E" w:rsidRPr="00C04EA2" w:rsidRDefault="00C53E4E" w:rsidP="005A30C7">
      <w:pPr>
        <w:tabs>
          <w:tab w:val="left" w:pos="3780"/>
        </w:tabs>
        <w:spacing w:line="360" w:lineRule="auto"/>
        <w:rPr>
          <w:rFonts w:ascii="Times New Roman" w:hAnsi="Times New Roman" w:cs="Times New Roman"/>
          <w:sz w:val="24"/>
          <w:szCs w:val="24"/>
        </w:rPr>
      </w:pPr>
    </w:p>
    <w:p w14:paraId="2F7241C0" w14:textId="74620111" w:rsidR="00F14DB3" w:rsidRPr="00C04EA2" w:rsidRDefault="00C0445D" w:rsidP="005A30C7">
      <w:pPr>
        <w:tabs>
          <w:tab w:val="left" w:pos="3780"/>
        </w:tabs>
        <w:spacing w:line="360" w:lineRule="auto"/>
        <w:jc w:val="center"/>
        <w:rPr>
          <w:rFonts w:ascii="Times New Roman" w:hAnsi="Times New Roman" w:cs="Times New Roman"/>
          <w:b/>
          <w:sz w:val="24"/>
          <w:szCs w:val="24"/>
        </w:rPr>
      </w:pPr>
      <w:r w:rsidRPr="00C04EA2">
        <w:rPr>
          <w:rFonts w:ascii="Times New Roman" w:hAnsi="Times New Roman" w:cs="Times New Roman"/>
          <w:b/>
          <w:sz w:val="24"/>
          <w:szCs w:val="24"/>
        </w:rPr>
        <w:t>LITERATURE REVIEW</w:t>
      </w:r>
    </w:p>
    <w:p w14:paraId="467B2016" w14:textId="0260295F" w:rsidR="0009680B" w:rsidRPr="00C04EA2" w:rsidRDefault="00356B93" w:rsidP="005A30C7">
      <w:pPr>
        <w:tabs>
          <w:tab w:val="left" w:pos="3780"/>
        </w:tabs>
        <w:spacing w:before="240" w:line="360" w:lineRule="auto"/>
        <w:jc w:val="both"/>
        <w:rPr>
          <w:rFonts w:ascii="Times New Roman" w:hAnsi="Times New Roman" w:cs="Times New Roman"/>
          <w:sz w:val="24"/>
          <w:szCs w:val="24"/>
        </w:rPr>
      </w:pPr>
      <w:r w:rsidRPr="00C04EA2">
        <w:rPr>
          <w:rFonts w:ascii="Times New Roman" w:hAnsi="Times New Roman" w:cs="Times New Roman"/>
          <w:sz w:val="24"/>
          <w:szCs w:val="24"/>
        </w:rPr>
        <w:t>Islamic banks become a matter of concern that has attracted the interest of many researchers</w:t>
      </w:r>
      <w:r w:rsidR="00A35617" w:rsidRPr="00C04EA2">
        <w:rPr>
          <w:rFonts w:ascii="Times New Roman" w:hAnsi="Times New Roman" w:cs="Times New Roman"/>
          <w:sz w:val="24"/>
          <w:szCs w:val="24"/>
        </w:rPr>
        <w:t xml:space="preserve"> (</w:t>
      </w:r>
      <w:proofErr w:type="spellStart"/>
      <w:r w:rsidR="00A35617" w:rsidRPr="00C04EA2">
        <w:rPr>
          <w:rFonts w:ascii="Times New Roman" w:hAnsi="Times New Roman" w:cs="Times New Roman"/>
          <w:sz w:val="24"/>
          <w:szCs w:val="24"/>
        </w:rPr>
        <w:t>Yüksel</w:t>
      </w:r>
      <w:proofErr w:type="spellEnd"/>
      <w:r w:rsidR="00A35617" w:rsidRPr="00C04EA2">
        <w:rPr>
          <w:rFonts w:ascii="Times New Roman" w:hAnsi="Times New Roman" w:cs="Times New Roman"/>
          <w:sz w:val="24"/>
          <w:szCs w:val="24"/>
        </w:rPr>
        <w:t xml:space="preserve"> </w:t>
      </w:r>
      <w:r w:rsidR="00277EFD">
        <w:rPr>
          <w:rFonts w:ascii="Times New Roman" w:hAnsi="Times New Roman" w:cs="Times New Roman"/>
          <w:sz w:val="24"/>
          <w:szCs w:val="24"/>
        </w:rPr>
        <w:t>&amp;</w:t>
      </w:r>
      <w:r w:rsidR="00A35617" w:rsidRPr="00C04EA2">
        <w:rPr>
          <w:rFonts w:ascii="Times New Roman" w:hAnsi="Times New Roman" w:cs="Times New Roman"/>
          <w:sz w:val="24"/>
          <w:szCs w:val="24"/>
        </w:rPr>
        <w:t xml:space="preserve"> </w:t>
      </w:r>
      <w:proofErr w:type="spellStart"/>
      <w:r w:rsidR="00A35617" w:rsidRPr="00C04EA2">
        <w:rPr>
          <w:rFonts w:ascii="Times New Roman" w:hAnsi="Times New Roman" w:cs="Times New Roman"/>
          <w:sz w:val="24"/>
          <w:szCs w:val="24"/>
        </w:rPr>
        <w:t>Canöz</w:t>
      </w:r>
      <w:proofErr w:type="spellEnd"/>
      <w:r w:rsidR="00A35617" w:rsidRPr="00C04EA2">
        <w:rPr>
          <w:rFonts w:ascii="Times New Roman" w:hAnsi="Times New Roman" w:cs="Times New Roman"/>
          <w:sz w:val="24"/>
          <w:szCs w:val="24"/>
        </w:rPr>
        <w:t>, 2017)</w:t>
      </w:r>
      <w:r w:rsidRPr="00C04EA2">
        <w:rPr>
          <w:rFonts w:ascii="Times New Roman" w:hAnsi="Times New Roman" w:cs="Times New Roman"/>
          <w:sz w:val="24"/>
          <w:szCs w:val="24"/>
        </w:rPr>
        <w:t>.</w:t>
      </w:r>
      <w:r w:rsidR="00EE3326" w:rsidRPr="00C04EA2">
        <w:rPr>
          <w:rFonts w:ascii="Times New Roman" w:hAnsi="Times New Roman" w:cs="Times New Roman"/>
          <w:sz w:val="24"/>
          <w:szCs w:val="24"/>
        </w:rPr>
        <w:t xml:space="preserve"> Numerous empirical </w:t>
      </w:r>
      <w:r w:rsidR="00B17160">
        <w:rPr>
          <w:rFonts w:ascii="Times New Roman" w:hAnsi="Times New Roman" w:cs="Times New Roman"/>
          <w:sz w:val="24"/>
          <w:szCs w:val="24"/>
        </w:rPr>
        <w:t>investigation</w:t>
      </w:r>
      <w:r w:rsidR="00EE3326" w:rsidRPr="00C04EA2">
        <w:rPr>
          <w:rFonts w:ascii="Times New Roman" w:hAnsi="Times New Roman" w:cs="Times New Roman"/>
          <w:sz w:val="24"/>
          <w:szCs w:val="24"/>
        </w:rPr>
        <w:t xml:space="preserve">s have been conducted, and in these </w:t>
      </w:r>
      <w:r w:rsidR="00B17160">
        <w:rPr>
          <w:rFonts w:ascii="Times New Roman" w:hAnsi="Times New Roman" w:cs="Times New Roman"/>
          <w:sz w:val="24"/>
          <w:szCs w:val="24"/>
        </w:rPr>
        <w:t>investigations</w:t>
      </w:r>
      <w:r w:rsidR="00EE3326" w:rsidRPr="00C04EA2">
        <w:rPr>
          <w:rFonts w:ascii="Times New Roman" w:hAnsi="Times New Roman" w:cs="Times New Roman"/>
          <w:sz w:val="24"/>
          <w:szCs w:val="24"/>
        </w:rPr>
        <w:t xml:space="preserve">, researchers have used various statistical methodologies to </w:t>
      </w:r>
      <w:r w:rsidR="00B17160">
        <w:rPr>
          <w:rFonts w:ascii="Times New Roman" w:hAnsi="Times New Roman" w:cs="Times New Roman"/>
          <w:sz w:val="24"/>
          <w:szCs w:val="24"/>
        </w:rPr>
        <w:t>evaluate</w:t>
      </w:r>
      <w:r w:rsidR="00EE3326" w:rsidRPr="00C04EA2">
        <w:rPr>
          <w:rFonts w:ascii="Times New Roman" w:hAnsi="Times New Roman" w:cs="Times New Roman"/>
          <w:sz w:val="24"/>
          <w:szCs w:val="24"/>
        </w:rPr>
        <w:t xml:space="preserve"> the performance of the banking </w:t>
      </w:r>
      <w:r w:rsidR="0009680B" w:rsidRPr="00C04EA2">
        <w:rPr>
          <w:rFonts w:ascii="Times New Roman" w:hAnsi="Times New Roman" w:cs="Times New Roman"/>
          <w:sz w:val="24"/>
          <w:szCs w:val="24"/>
        </w:rPr>
        <w:t xml:space="preserve">sector, such as, Johansen Cointegration Analysis, Granger Causality Analysis, ARDL, Regression, Survey, </w:t>
      </w:r>
      <w:proofErr w:type="spellStart"/>
      <w:r w:rsidR="0009680B" w:rsidRPr="00C04EA2">
        <w:rPr>
          <w:rFonts w:ascii="Times New Roman" w:hAnsi="Times New Roman" w:cs="Times New Roman"/>
          <w:sz w:val="24"/>
          <w:szCs w:val="24"/>
        </w:rPr>
        <w:t>Pedroni</w:t>
      </w:r>
      <w:proofErr w:type="spellEnd"/>
      <w:r w:rsidR="0009680B" w:rsidRPr="00C04EA2">
        <w:rPr>
          <w:rFonts w:ascii="Times New Roman" w:hAnsi="Times New Roman" w:cs="Times New Roman"/>
          <w:sz w:val="24"/>
          <w:szCs w:val="24"/>
        </w:rPr>
        <w:t xml:space="preserve"> Cointegration Test, Stochastic Frontier Approach, Descriptive Statistics, VAR Granger Causality Analysis, </w:t>
      </w:r>
      <w:proofErr w:type="spellStart"/>
      <w:r w:rsidR="0009680B" w:rsidRPr="00C04EA2">
        <w:rPr>
          <w:rFonts w:ascii="Times New Roman" w:hAnsi="Times New Roman" w:cs="Times New Roman"/>
          <w:sz w:val="24"/>
          <w:szCs w:val="24"/>
        </w:rPr>
        <w:t>Westerlund</w:t>
      </w:r>
      <w:proofErr w:type="spellEnd"/>
      <w:r w:rsidR="0009680B" w:rsidRPr="00C04EA2">
        <w:rPr>
          <w:rFonts w:ascii="Times New Roman" w:hAnsi="Times New Roman" w:cs="Times New Roman"/>
          <w:sz w:val="24"/>
          <w:szCs w:val="24"/>
        </w:rPr>
        <w:t xml:space="preserve"> Panel Cointegration Test, Mediation of Profitability, Qualitative Research Paradigm, Structural Equation Model. The empirical factors that influence bank performance around the world have also been the subject of various studies</w:t>
      </w:r>
      <w:r w:rsidR="00B51579" w:rsidRPr="00C04EA2">
        <w:rPr>
          <w:rFonts w:ascii="Times New Roman" w:hAnsi="Times New Roman" w:cs="Times New Roman"/>
          <w:sz w:val="24"/>
          <w:szCs w:val="24"/>
        </w:rPr>
        <w:t>, as well as in terms of a set of countries or a particular country. This section summarizes the literature on the financial, macroeconomic, and industry-specific factors that affect banks' financial performance. The gaps pertinent to this study have been found after a review of the literature. Additionally, the shortcomings of the available empirical investigations have been emphasized</w:t>
      </w:r>
      <w:r w:rsidR="00A35617" w:rsidRPr="00C04EA2">
        <w:rPr>
          <w:rFonts w:ascii="Times New Roman" w:hAnsi="Times New Roman" w:cs="Times New Roman"/>
          <w:sz w:val="24"/>
          <w:szCs w:val="24"/>
        </w:rPr>
        <w:t xml:space="preserve"> (</w:t>
      </w:r>
      <w:proofErr w:type="spellStart"/>
      <w:r w:rsidR="00A35617" w:rsidRPr="00C04EA2">
        <w:rPr>
          <w:rFonts w:ascii="Times New Roman" w:hAnsi="Times New Roman" w:cs="Times New Roman"/>
          <w:sz w:val="24"/>
          <w:szCs w:val="24"/>
        </w:rPr>
        <w:t>Rabaa</w:t>
      </w:r>
      <w:proofErr w:type="spellEnd"/>
      <w:r w:rsidR="00A35617" w:rsidRPr="00C04EA2">
        <w:rPr>
          <w:rFonts w:ascii="Times New Roman" w:hAnsi="Times New Roman" w:cs="Times New Roman"/>
          <w:sz w:val="24"/>
          <w:szCs w:val="24"/>
        </w:rPr>
        <w:t xml:space="preserve"> </w:t>
      </w:r>
      <w:r w:rsidR="00277EFD">
        <w:rPr>
          <w:rFonts w:ascii="Times New Roman" w:hAnsi="Times New Roman" w:cs="Times New Roman"/>
          <w:sz w:val="24"/>
          <w:szCs w:val="24"/>
        </w:rPr>
        <w:t>&amp;</w:t>
      </w:r>
      <w:r w:rsidR="00A35617" w:rsidRPr="00C04EA2">
        <w:rPr>
          <w:rFonts w:ascii="Times New Roman" w:hAnsi="Times New Roman" w:cs="Times New Roman"/>
          <w:sz w:val="24"/>
          <w:szCs w:val="24"/>
        </w:rPr>
        <w:t xml:space="preserve"> Younes, 2016).</w:t>
      </w:r>
    </w:p>
    <w:p w14:paraId="22CEE2F4" w14:textId="1F4BFDED" w:rsidR="00371016" w:rsidRPr="00C04EA2" w:rsidRDefault="00B51579" w:rsidP="005A30C7">
      <w:pPr>
        <w:tabs>
          <w:tab w:val="left" w:pos="2088"/>
        </w:tabs>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t xml:space="preserve">Table </w:t>
      </w:r>
      <w:r w:rsidR="006836BC">
        <w:rPr>
          <w:rFonts w:ascii="Times New Roman" w:hAnsi="Times New Roman" w:cs="Times New Roman"/>
          <w:sz w:val="24"/>
          <w:szCs w:val="24"/>
        </w:rPr>
        <w:t>0</w:t>
      </w:r>
      <w:r w:rsidRPr="00C04EA2">
        <w:rPr>
          <w:rFonts w:ascii="Times New Roman" w:hAnsi="Times New Roman" w:cs="Times New Roman"/>
          <w:sz w:val="24"/>
          <w:szCs w:val="24"/>
        </w:rPr>
        <w:t xml:space="preserve">1: </w:t>
      </w:r>
      <w:r w:rsidR="005A30C7">
        <w:rPr>
          <w:rFonts w:ascii="Times New Roman" w:hAnsi="Times New Roman" w:cs="Times New Roman"/>
          <w:sz w:val="24"/>
          <w:szCs w:val="24"/>
        </w:rPr>
        <w:t>Review of the literature</w:t>
      </w:r>
    </w:p>
    <w:tbl>
      <w:tblPr>
        <w:tblStyle w:val="TableGridLight"/>
        <w:tblW w:w="9355" w:type="dxa"/>
        <w:tblLayout w:type="fixed"/>
        <w:tblLook w:val="04A0" w:firstRow="1" w:lastRow="0" w:firstColumn="1" w:lastColumn="0" w:noHBand="0" w:noVBand="1"/>
      </w:tblPr>
      <w:tblGrid>
        <w:gridCol w:w="1869"/>
        <w:gridCol w:w="16"/>
        <w:gridCol w:w="1350"/>
        <w:gridCol w:w="1620"/>
        <w:gridCol w:w="4500"/>
      </w:tblGrid>
      <w:tr w:rsidR="00D3340F" w:rsidRPr="00C04EA2" w14:paraId="60EE0C27" w14:textId="77777777" w:rsidTr="00371016">
        <w:trPr>
          <w:trHeight w:val="449"/>
        </w:trPr>
        <w:tc>
          <w:tcPr>
            <w:tcW w:w="1885" w:type="dxa"/>
            <w:gridSpan w:val="2"/>
          </w:tcPr>
          <w:p w14:paraId="2FD1501C" w14:textId="1537246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Authors</w:t>
            </w:r>
          </w:p>
        </w:tc>
        <w:tc>
          <w:tcPr>
            <w:tcW w:w="1350" w:type="dxa"/>
          </w:tcPr>
          <w:p w14:paraId="0BFB0F6D" w14:textId="786F7A6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Field</w:t>
            </w:r>
          </w:p>
        </w:tc>
        <w:tc>
          <w:tcPr>
            <w:tcW w:w="1620" w:type="dxa"/>
          </w:tcPr>
          <w:p w14:paraId="398B867D" w14:textId="4AA05E17"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Method</w:t>
            </w:r>
          </w:p>
        </w:tc>
        <w:tc>
          <w:tcPr>
            <w:tcW w:w="4500" w:type="dxa"/>
          </w:tcPr>
          <w:p w14:paraId="38B34499" w14:textId="7F1F31C6" w:rsidR="00D3340F" w:rsidRPr="00C04EA2" w:rsidRDefault="007D79F5"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Results</w:t>
            </w:r>
            <w:r w:rsidR="00321453" w:rsidRPr="00C04EA2">
              <w:rPr>
                <w:rFonts w:ascii="Times New Roman" w:hAnsi="Times New Roman" w:cs="Times New Roman"/>
                <w:b/>
                <w:sz w:val="24"/>
                <w:szCs w:val="24"/>
              </w:rPr>
              <w:t xml:space="preserve">/ Findings </w:t>
            </w:r>
          </w:p>
        </w:tc>
      </w:tr>
      <w:tr w:rsidR="00D3340F" w:rsidRPr="00C04EA2" w14:paraId="5E0FC6FE" w14:textId="77777777" w:rsidTr="00371016">
        <w:trPr>
          <w:trHeight w:val="350"/>
        </w:trPr>
        <w:tc>
          <w:tcPr>
            <w:tcW w:w="1869" w:type="dxa"/>
          </w:tcPr>
          <w:p w14:paraId="4255BA16" w14:textId="123F64C5"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lastRenderedPageBreak/>
              <w:t>Furqani</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Mulyayn</w:t>
            </w:r>
            <w:proofErr w:type="spellEnd"/>
            <w:r w:rsidRPr="00C04EA2">
              <w:rPr>
                <w:rFonts w:ascii="Times New Roman" w:hAnsi="Times New Roman" w:cs="Times New Roman"/>
                <w:sz w:val="24"/>
                <w:szCs w:val="24"/>
              </w:rPr>
              <w:t xml:space="preserve"> (2009)</w:t>
            </w:r>
            <w:r w:rsidR="00833107" w:rsidRPr="00C04EA2">
              <w:rPr>
                <w:rFonts w:ascii="Times New Roman" w:hAnsi="Times New Roman" w:cs="Times New Roman"/>
                <w:sz w:val="24"/>
                <w:szCs w:val="24"/>
              </w:rPr>
              <w:t xml:space="preserve"> </w:t>
            </w:r>
          </w:p>
        </w:tc>
        <w:tc>
          <w:tcPr>
            <w:tcW w:w="1366" w:type="dxa"/>
            <w:gridSpan w:val="2"/>
          </w:tcPr>
          <w:p w14:paraId="6DD0C76A" w14:textId="26A4415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Malaysia</w:t>
            </w:r>
          </w:p>
        </w:tc>
        <w:tc>
          <w:tcPr>
            <w:tcW w:w="1620" w:type="dxa"/>
          </w:tcPr>
          <w:p w14:paraId="7D7F1D26" w14:textId="79A084F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108E2D86" w14:textId="5A7CD40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 xml:space="preserve"> </w:t>
            </w:r>
            <w:r w:rsidR="008F3F69" w:rsidRPr="00C04EA2">
              <w:rPr>
                <w:rFonts w:ascii="Times New Roman" w:hAnsi="Times New Roman" w:cs="Times New Roman"/>
                <w:sz w:val="24"/>
                <w:szCs w:val="24"/>
              </w:rPr>
              <w:t xml:space="preserve">They analyzed </w:t>
            </w:r>
            <w:r w:rsidR="000A4A4F" w:rsidRPr="00C04EA2">
              <w:rPr>
                <w:rFonts w:ascii="Times New Roman" w:hAnsi="Times New Roman" w:cs="Times New Roman"/>
                <w:sz w:val="24"/>
                <w:szCs w:val="24"/>
              </w:rPr>
              <w:t xml:space="preserve">that </w:t>
            </w:r>
            <w:r w:rsidR="00F6229E" w:rsidRPr="00C04EA2">
              <w:rPr>
                <w:rFonts w:ascii="Times New Roman" w:hAnsi="Times New Roman" w:cs="Times New Roman"/>
                <w:sz w:val="24"/>
                <w:szCs w:val="24"/>
              </w:rPr>
              <w:t xml:space="preserve">Islamic banking and economic </w:t>
            </w:r>
            <w:r w:rsidR="00B17160">
              <w:rPr>
                <w:rFonts w:ascii="Times New Roman" w:hAnsi="Times New Roman" w:cs="Times New Roman"/>
                <w:sz w:val="24"/>
                <w:szCs w:val="24"/>
              </w:rPr>
              <w:t>expansion</w:t>
            </w:r>
            <w:r w:rsidR="00F6229E" w:rsidRPr="00C04EA2">
              <w:rPr>
                <w:rFonts w:ascii="Times New Roman" w:hAnsi="Times New Roman" w:cs="Times New Roman"/>
                <w:sz w:val="24"/>
                <w:szCs w:val="24"/>
              </w:rPr>
              <w:t xml:space="preserve"> are </w:t>
            </w:r>
            <w:r w:rsidR="00B17160">
              <w:rPr>
                <w:rFonts w:ascii="Times New Roman" w:hAnsi="Times New Roman" w:cs="Times New Roman"/>
                <w:sz w:val="24"/>
                <w:szCs w:val="24"/>
              </w:rPr>
              <w:t>connected</w:t>
            </w:r>
            <w:r w:rsidR="00F6229E" w:rsidRPr="00C04EA2">
              <w:rPr>
                <w:rFonts w:ascii="Times New Roman" w:hAnsi="Times New Roman" w:cs="Times New Roman"/>
                <w:sz w:val="24"/>
                <w:szCs w:val="24"/>
              </w:rPr>
              <w:t>.</w:t>
            </w:r>
          </w:p>
        </w:tc>
      </w:tr>
      <w:tr w:rsidR="00D3340F" w:rsidRPr="00C04EA2" w14:paraId="4F77A789" w14:textId="77777777" w:rsidTr="00371016">
        <w:trPr>
          <w:trHeight w:val="998"/>
        </w:trPr>
        <w:tc>
          <w:tcPr>
            <w:tcW w:w="1869" w:type="dxa"/>
          </w:tcPr>
          <w:p w14:paraId="444DB193" w14:textId="29DB7D0A"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Abduh</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Pr="00C04EA2">
              <w:rPr>
                <w:rFonts w:ascii="Times New Roman" w:hAnsi="Times New Roman" w:cs="Times New Roman"/>
                <w:sz w:val="24"/>
                <w:szCs w:val="24"/>
              </w:rPr>
              <w:t xml:space="preserve"> Chowdhury (2012)</w:t>
            </w:r>
            <w:r w:rsidR="00833107" w:rsidRPr="00C04EA2">
              <w:rPr>
                <w:rFonts w:ascii="Times New Roman" w:hAnsi="Times New Roman" w:cs="Times New Roman"/>
                <w:sz w:val="24"/>
                <w:szCs w:val="24"/>
              </w:rPr>
              <w:t xml:space="preserve"> </w:t>
            </w:r>
          </w:p>
        </w:tc>
        <w:tc>
          <w:tcPr>
            <w:tcW w:w="1366" w:type="dxa"/>
            <w:gridSpan w:val="2"/>
          </w:tcPr>
          <w:p w14:paraId="73A22253" w14:textId="205D37E6"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Bangladesh</w:t>
            </w:r>
          </w:p>
        </w:tc>
        <w:tc>
          <w:tcPr>
            <w:tcW w:w="1620" w:type="dxa"/>
          </w:tcPr>
          <w:p w14:paraId="2E0BC6C2" w14:textId="55579536"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14D4DD04" w14:textId="6CB31729" w:rsidR="00D3340F" w:rsidRPr="00C04EA2" w:rsidRDefault="00F6229E"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w:t>
            </w:r>
            <w:r w:rsidR="00320336">
              <w:rPr>
                <w:rFonts w:ascii="Times New Roman" w:hAnsi="Times New Roman" w:cs="Times New Roman"/>
                <w:sz w:val="24"/>
                <w:szCs w:val="24"/>
              </w:rPr>
              <w:t xml:space="preserve"> researchers</w:t>
            </w:r>
            <w:r w:rsidRPr="00C04EA2">
              <w:rPr>
                <w:rFonts w:ascii="Times New Roman" w:hAnsi="Times New Roman" w:cs="Times New Roman"/>
                <w:sz w:val="24"/>
                <w:szCs w:val="24"/>
              </w:rPr>
              <w:t xml:space="preserve"> found that the Islamic finance </w:t>
            </w:r>
            <w:r w:rsidR="00B17160">
              <w:rPr>
                <w:rFonts w:ascii="Times New Roman" w:hAnsi="Times New Roman" w:cs="Times New Roman"/>
                <w:sz w:val="24"/>
                <w:szCs w:val="24"/>
              </w:rPr>
              <w:t>structure</w:t>
            </w:r>
            <w:r w:rsidRPr="00C04EA2">
              <w:rPr>
                <w:rFonts w:ascii="Times New Roman" w:hAnsi="Times New Roman" w:cs="Times New Roman"/>
                <w:sz w:val="24"/>
                <w:szCs w:val="24"/>
              </w:rPr>
              <w:t xml:space="preserve"> and economic growth have a s</w:t>
            </w:r>
            <w:r w:rsidR="00320336">
              <w:rPr>
                <w:rFonts w:ascii="Times New Roman" w:hAnsi="Times New Roman" w:cs="Times New Roman"/>
                <w:sz w:val="24"/>
                <w:szCs w:val="24"/>
              </w:rPr>
              <w:t>ubstantial</w:t>
            </w:r>
            <w:r w:rsidRPr="00C04EA2">
              <w:rPr>
                <w:rFonts w:ascii="Times New Roman" w:hAnsi="Times New Roman" w:cs="Times New Roman"/>
                <w:sz w:val="24"/>
                <w:szCs w:val="24"/>
              </w:rPr>
              <w:t xml:space="preserve"> and favorable association.</w:t>
            </w:r>
          </w:p>
        </w:tc>
      </w:tr>
      <w:tr w:rsidR="00D3340F" w:rsidRPr="00C04EA2" w14:paraId="26A9C65D" w14:textId="77777777" w:rsidTr="00371016">
        <w:trPr>
          <w:trHeight w:val="989"/>
        </w:trPr>
        <w:tc>
          <w:tcPr>
            <w:tcW w:w="1869" w:type="dxa"/>
          </w:tcPr>
          <w:p w14:paraId="03A49767" w14:textId="04B3165E"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Abduh</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00277EFD" w:rsidRPr="00C04EA2">
              <w:rPr>
                <w:rFonts w:ascii="Times New Roman" w:hAnsi="Times New Roman" w:cs="Times New Roman"/>
                <w:sz w:val="24"/>
                <w:szCs w:val="24"/>
              </w:rPr>
              <w:t xml:space="preserve"> </w:t>
            </w:r>
            <w:r w:rsidRPr="00C04EA2">
              <w:rPr>
                <w:rFonts w:ascii="Times New Roman" w:hAnsi="Times New Roman" w:cs="Times New Roman"/>
                <w:sz w:val="24"/>
                <w:szCs w:val="24"/>
              </w:rPr>
              <w:t>Omar (2012)</w:t>
            </w:r>
            <w:r w:rsidR="00833107" w:rsidRPr="00C04EA2">
              <w:rPr>
                <w:rFonts w:ascii="Times New Roman" w:hAnsi="Times New Roman" w:cs="Times New Roman"/>
                <w:sz w:val="24"/>
                <w:szCs w:val="24"/>
              </w:rPr>
              <w:t xml:space="preserve"> </w:t>
            </w:r>
          </w:p>
        </w:tc>
        <w:tc>
          <w:tcPr>
            <w:tcW w:w="1366" w:type="dxa"/>
            <w:gridSpan w:val="2"/>
          </w:tcPr>
          <w:p w14:paraId="5C5107C8" w14:textId="3F4FC81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Indonesia</w:t>
            </w:r>
          </w:p>
        </w:tc>
        <w:tc>
          <w:tcPr>
            <w:tcW w:w="1620" w:type="dxa"/>
          </w:tcPr>
          <w:p w14:paraId="2BA47ACB" w14:textId="6758553A"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075AF255" w14:textId="19376B13" w:rsidR="00D3340F" w:rsidRPr="00C04EA2" w:rsidRDefault="00F6229E"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They stressed the close </w:t>
            </w:r>
            <w:r w:rsidR="00320336">
              <w:rPr>
                <w:rFonts w:ascii="Times New Roman" w:hAnsi="Times New Roman" w:cs="Times New Roman"/>
                <w:sz w:val="24"/>
                <w:szCs w:val="24"/>
              </w:rPr>
              <w:t>rela</w:t>
            </w:r>
            <w:r w:rsidRPr="00C04EA2">
              <w:rPr>
                <w:rFonts w:ascii="Times New Roman" w:hAnsi="Times New Roman" w:cs="Times New Roman"/>
                <w:sz w:val="24"/>
                <w:szCs w:val="24"/>
              </w:rPr>
              <w:t xml:space="preserve">tion between the development of Islamic finance and economic </w:t>
            </w:r>
            <w:r w:rsidR="00320336">
              <w:rPr>
                <w:rFonts w:ascii="Times New Roman" w:hAnsi="Times New Roman" w:cs="Times New Roman"/>
                <w:sz w:val="24"/>
                <w:szCs w:val="24"/>
              </w:rPr>
              <w:t>expansion</w:t>
            </w:r>
            <w:r w:rsidRPr="00C04EA2">
              <w:rPr>
                <w:rFonts w:ascii="Times New Roman" w:hAnsi="Times New Roman" w:cs="Times New Roman"/>
                <w:sz w:val="24"/>
                <w:szCs w:val="24"/>
              </w:rPr>
              <w:t>.</w:t>
            </w:r>
          </w:p>
        </w:tc>
      </w:tr>
      <w:tr w:rsidR="00D3340F" w:rsidRPr="00C04EA2" w14:paraId="529A9831" w14:textId="77777777" w:rsidTr="00371016">
        <w:trPr>
          <w:trHeight w:val="350"/>
        </w:trPr>
        <w:tc>
          <w:tcPr>
            <w:tcW w:w="1869" w:type="dxa"/>
          </w:tcPr>
          <w:p w14:paraId="51851F09" w14:textId="5AC6DDDF"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Yazdan</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00277EFD" w:rsidRPr="00C04EA2">
              <w:rPr>
                <w:rFonts w:ascii="Times New Roman" w:hAnsi="Times New Roman" w:cs="Times New Roman"/>
                <w:sz w:val="24"/>
                <w:szCs w:val="24"/>
              </w:rPr>
              <w:t xml:space="preserve"> </w:t>
            </w:r>
            <w:r w:rsidRPr="00C04EA2">
              <w:rPr>
                <w:rFonts w:ascii="Times New Roman" w:hAnsi="Times New Roman" w:cs="Times New Roman"/>
                <w:sz w:val="24"/>
                <w:szCs w:val="24"/>
              </w:rPr>
              <w:t>Sadr (2012)</w:t>
            </w:r>
            <w:r w:rsidR="00833107" w:rsidRPr="00C04EA2">
              <w:rPr>
                <w:rFonts w:ascii="Times New Roman" w:hAnsi="Times New Roman" w:cs="Times New Roman"/>
                <w:sz w:val="24"/>
                <w:szCs w:val="24"/>
              </w:rPr>
              <w:t xml:space="preserve"> </w:t>
            </w:r>
          </w:p>
        </w:tc>
        <w:tc>
          <w:tcPr>
            <w:tcW w:w="1366" w:type="dxa"/>
            <w:gridSpan w:val="2"/>
          </w:tcPr>
          <w:p w14:paraId="7B048730" w14:textId="77DD75F6"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Iran and Indonesia</w:t>
            </w:r>
          </w:p>
        </w:tc>
        <w:tc>
          <w:tcPr>
            <w:tcW w:w="1620" w:type="dxa"/>
          </w:tcPr>
          <w:p w14:paraId="77C3445B" w14:textId="32003F4D"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ARDL</w:t>
            </w:r>
          </w:p>
        </w:tc>
        <w:tc>
          <w:tcPr>
            <w:tcW w:w="4500" w:type="dxa"/>
          </w:tcPr>
          <w:p w14:paraId="19224415" w14:textId="15C32CEF" w:rsidR="008F3F69" w:rsidRPr="00C04EA2" w:rsidRDefault="008F3F69"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According to analysis, Islamic financing </w:t>
            </w:r>
            <w:r w:rsidR="00320336">
              <w:rPr>
                <w:rFonts w:ascii="Times New Roman" w:hAnsi="Times New Roman" w:cs="Times New Roman"/>
                <w:sz w:val="24"/>
                <w:szCs w:val="24"/>
              </w:rPr>
              <w:t xml:space="preserve">is significantly associated with </w:t>
            </w:r>
            <w:r w:rsidRPr="00C04EA2">
              <w:rPr>
                <w:rFonts w:ascii="Times New Roman" w:hAnsi="Times New Roman" w:cs="Times New Roman"/>
                <w:sz w:val="24"/>
                <w:szCs w:val="24"/>
              </w:rPr>
              <w:t>economic growth.</w:t>
            </w:r>
          </w:p>
        </w:tc>
      </w:tr>
      <w:tr w:rsidR="00D3340F" w:rsidRPr="00C04EA2" w14:paraId="581EE31C" w14:textId="77777777" w:rsidTr="00371016">
        <w:trPr>
          <w:trHeight w:val="350"/>
        </w:trPr>
        <w:tc>
          <w:tcPr>
            <w:tcW w:w="1869" w:type="dxa"/>
          </w:tcPr>
          <w:p w14:paraId="74891927" w14:textId="18EE3E57"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Johnson (2013)</w:t>
            </w:r>
            <w:r w:rsidR="00833107" w:rsidRPr="00C04EA2">
              <w:rPr>
                <w:rFonts w:ascii="Times New Roman" w:hAnsi="Times New Roman" w:cs="Times New Roman"/>
                <w:sz w:val="24"/>
                <w:szCs w:val="24"/>
              </w:rPr>
              <w:t xml:space="preserve"> </w:t>
            </w:r>
          </w:p>
        </w:tc>
        <w:tc>
          <w:tcPr>
            <w:tcW w:w="1366" w:type="dxa"/>
            <w:gridSpan w:val="2"/>
          </w:tcPr>
          <w:p w14:paraId="4A96D6BE" w14:textId="4D343ED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345 Islamic banks</w:t>
            </w:r>
          </w:p>
        </w:tc>
        <w:tc>
          <w:tcPr>
            <w:tcW w:w="1620" w:type="dxa"/>
          </w:tcPr>
          <w:p w14:paraId="17B90E51" w14:textId="309DD005"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Regression</w:t>
            </w:r>
          </w:p>
        </w:tc>
        <w:tc>
          <w:tcPr>
            <w:tcW w:w="4500" w:type="dxa"/>
          </w:tcPr>
          <w:p w14:paraId="3167045B" w14:textId="7B9F7701" w:rsidR="008F3F69" w:rsidRPr="00C04EA2" w:rsidRDefault="00320336" w:rsidP="005A30C7">
            <w:pPr>
              <w:tabs>
                <w:tab w:val="left" w:pos="3780"/>
              </w:tabs>
              <w:spacing w:line="360" w:lineRule="auto"/>
              <w:jc w:val="both"/>
              <w:rPr>
                <w:rFonts w:ascii="Times New Roman" w:hAnsi="Times New Roman" w:cs="Times New Roman"/>
                <w:sz w:val="24"/>
                <w:szCs w:val="24"/>
              </w:rPr>
            </w:pPr>
            <w:r>
              <w:rPr>
                <w:rFonts w:ascii="Times New Roman" w:hAnsi="Times New Roman" w:cs="Times New Roman"/>
                <w:sz w:val="24"/>
                <w:szCs w:val="24"/>
              </w:rPr>
              <w:t>The study</w:t>
            </w:r>
            <w:r w:rsidR="008F3F69" w:rsidRPr="00C04EA2">
              <w:rPr>
                <w:rFonts w:ascii="Times New Roman" w:hAnsi="Times New Roman" w:cs="Times New Roman"/>
                <w:sz w:val="24"/>
                <w:szCs w:val="24"/>
              </w:rPr>
              <w:t xml:space="preserve"> found that there is no connection between the development of the economy and the Islamic banking system.</w:t>
            </w:r>
          </w:p>
        </w:tc>
      </w:tr>
      <w:tr w:rsidR="00D3340F" w:rsidRPr="00C04EA2" w14:paraId="0AA98D95" w14:textId="77777777" w:rsidTr="00371016">
        <w:trPr>
          <w:trHeight w:val="350"/>
        </w:trPr>
        <w:tc>
          <w:tcPr>
            <w:tcW w:w="1869" w:type="dxa"/>
          </w:tcPr>
          <w:p w14:paraId="43BDCB26" w14:textId="06DA42EF"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Sarwer</w:t>
            </w:r>
            <w:proofErr w:type="spellEnd"/>
            <w:r w:rsidRPr="00C04EA2">
              <w:rPr>
                <w:rFonts w:ascii="Times New Roman" w:hAnsi="Times New Roman" w:cs="Times New Roman"/>
                <w:sz w:val="24"/>
                <w:szCs w:val="24"/>
              </w:rPr>
              <w:t xml:space="preserve"> et. al. (2013)</w:t>
            </w:r>
            <w:r w:rsidR="00833107" w:rsidRPr="00C04EA2">
              <w:rPr>
                <w:rFonts w:ascii="Times New Roman" w:hAnsi="Times New Roman" w:cs="Times New Roman"/>
                <w:sz w:val="24"/>
                <w:szCs w:val="24"/>
              </w:rPr>
              <w:t xml:space="preserve"> </w:t>
            </w:r>
          </w:p>
        </w:tc>
        <w:tc>
          <w:tcPr>
            <w:tcW w:w="1366" w:type="dxa"/>
            <w:gridSpan w:val="2"/>
          </w:tcPr>
          <w:p w14:paraId="63275249" w14:textId="194E190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Pakistan</w:t>
            </w:r>
          </w:p>
        </w:tc>
        <w:tc>
          <w:tcPr>
            <w:tcW w:w="1620" w:type="dxa"/>
          </w:tcPr>
          <w:p w14:paraId="768CA06B" w14:textId="1C949458"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Survey</w:t>
            </w:r>
          </w:p>
        </w:tc>
        <w:tc>
          <w:tcPr>
            <w:tcW w:w="4500" w:type="dxa"/>
          </w:tcPr>
          <w:p w14:paraId="0BF32A47" w14:textId="2FA56BAF" w:rsidR="008F3F69" w:rsidRPr="00C04EA2" w:rsidRDefault="008F3F69"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They draw the conclusion that Islamic banking is strongly and favorably and </w:t>
            </w:r>
            <w:r w:rsidR="00320336">
              <w:rPr>
                <w:rFonts w:ascii="Times New Roman" w:hAnsi="Times New Roman" w:cs="Times New Roman"/>
                <w:sz w:val="24"/>
                <w:szCs w:val="24"/>
              </w:rPr>
              <w:t>favorab</w:t>
            </w:r>
            <w:r w:rsidRPr="00C04EA2">
              <w:rPr>
                <w:rFonts w:ascii="Times New Roman" w:hAnsi="Times New Roman" w:cs="Times New Roman"/>
                <w:sz w:val="24"/>
                <w:szCs w:val="24"/>
              </w:rPr>
              <w:t>ly related to economic growth.</w:t>
            </w:r>
          </w:p>
        </w:tc>
      </w:tr>
      <w:tr w:rsidR="00D3340F" w:rsidRPr="00C04EA2" w14:paraId="22B58935" w14:textId="77777777" w:rsidTr="00371016">
        <w:trPr>
          <w:trHeight w:val="350"/>
        </w:trPr>
        <w:tc>
          <w:tcPr>
            <w:tcW w:w="1869" w:type="dxa"/>
          </w:tcPr>
          <w:p w14:paraId="5C82C07A" w14:textId="7E468E8E"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Tajgardoon</w:t>
            </w:r>
            <w:proofErr w:type="spellEnd"/>
            <w:r w:rsidRPr="00C04EA2">
              <w:rPr>
                <w:rFonts w:ascii="Times New Roman" w:hAnsi="Times New Roman" w:cs="Times New Roman"/>
                <w:sz w:val="24"/>
                <w:szCs w:val="24"/>
              </w:rPr>
              <w:t xml:space="preserve"> et. al. (2013)</w:t>
            </w:r>
            <w:r w:rsidR="00833107" w:rsidRPr="00C04EA2">
              <w:rPr>
                <w:rFonts w:ascii="Times New Roman" w:hAnsi="Times New Roman" w:cs="Times New Roman"/>
                <w:sz w:val="24"/>
                <w:szCs w:val="24"/>
              </w:rPr>
              <w:t xml:space="preserve"> </w:t>
            </w:r>
          </w:p>
        </w:tc>
        <w:tc>
          <w:tcPr>
            <w:tcW w:w="1366" w:type="dxa"/>
            <w:gridSpan w:val="2"/>
          </w:tcPr>
          <w:p w14:paraId="1F1EF7E4" w14:textId="1CF4C70C"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12 Asian countries</w:t>
            </w:r>
          </w:p>
        </w:tc>
        <w:tc>
          <w:tcPr>
            <w:tcW w:w="1620" w:type="dxa"/>
          </w:tcPr>
          <w:p w14:paraId="0218AB11" w14:textId="51DD494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0767585C" w14:textId="7820D809" w:rsidR="00320336" w:rsidRPr="00320336" w:rsidRDefault="00320336" w:rsidP="00320336">
            <w:pPr>
              <w:spacing w:line="360" w:lineRule="auto"/>
              <w:jc w:val="both"/>
              <w:rPr>
                <w:rFonts w:ascii="Times New Roman" w:eastAsia="Times New Roman" w:hAnsi="Times New Roman" w:cs="Times New Roman"/>
                <w:sz w:val="24"/>
                <w:szCs w:val="24"/>
              </w:rPr>
            </w:pPr>
            <w:r w:rsidRPr="00320336">
              <w:rPr>
                <w:rFonts w:ascii="Times New Roman" w:eastAsia="Times New Roman" w:hAnsi="Times New Roman" w:cs="Times New Roman"/>
                <w:sz w:val="24"/>
                <w:szCs w:val="24"/>
              </w:rPr>
              <w:t>Economic growth and the Islamic banking system have been proven to be significantly correlated in the short term, but this relationship is not true in the long run.</w:t>
            </w:r>
          </w:p>
        </w:tc>
      </w:tr>
      <w:tr w:rsidR="00D3340F" w:rsidRPr="00C04EA2" w14:paraId="7B2A78D1" w14:textId="77777777" w:rsidTr="00371016">
        <w:trPr>
          <w:trHeight w:val="350"/>
        </w:trPr>
        <w:tc>
          <w:tcPr>
            <w:tcW w:w="1869" w:type="dxa"/>
          </w:tcPr>
          <w:p w14:paraId="223EB5F9" w14:textId="55240190"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Yazdan</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Pr="00C04EA2">
              <w:rPr>
                <w:rFonts w:ascii="Times New Roman" w:hAnsi="Times New Roman" w:cs="Times New Roman"/>
                <w:sz w:val="24"/>
                <w:szCs w:val="24"/>
              </w:rPr>
              <w:t xml:space="preserve"> Dastan (2013)</w:t>
            </w:r>
            <w:r w:rsidR="00833107" w:rsidRPr="00C04EA2">
              <w:rPr>
                <w:rFonts w:ascii="Times New Roman" w:hAnsi="Times New Roman" w:cs="Times New Roman"/>
                <w:sz w:val="24"/>
                <w:szCs w:val="24"/>
              </w:rPr>
              <w:t xml:space="preserve"> </w:t>
            </w:r>
          </w:p>
        </w:tc>
        <w:tc>
          <w:tcPr>
            <w:tcW w:w="1366" w:type="dxa"/>
            <w:gridSpan w:val="2"/>
          </w:tcPr>
          <w:p w14:paraId="5AD7C3A8" w14:textId="787D8ABC"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9 Islamic countries</w:t>
            </w:r>
          </w:p>
        </w:tc>
        <w:tc>
          <w:tcPr>
            <w:tcW w:w="1620" w:type="dxa"/>
          </w:tcPr>
          <w:p w14:paraId="2279F8B2" w14:textId="50A660BD"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3C469763" w14:textId="41BFE731" w:rsidR="00D3340F" w:rsidRPr="00C04EA2" w:rsidRDefault="00493478"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 xml:space="preserve">They defined that Islamic banking </w:t>
            </w:r>
            <w:r w:rsidR="00320336">
              <w:rPr>
                <w:rFonts w:ascii="Times New Roman" w:hAnsi="Times New Roman" w:cs="Times New Roman"/>
                <w:sz w:val="24"/>
                <w:szCs w:val="24"/>
              </w:rPr>
              <w:t>boost</w:t>
            </w:r>
            <w:r w:rsidRPr="00C04EA2">
              <w:rPr>
                <w:rFonts w:ascii="Times New Roman" w:hAnsi="Times New Roman" w:cs="Times New Roman"/>
                <w:sz w:val="24"/>
                <w:szCs w:val="24"/>
              </w:rPr>
              <w:t>s economic growth.</w:t>
            </w:r>
          </w:p>
        </w:tc>
      </w:tr>
      <w:tr w:rsidR="00D3340F" w:rsidRPr="00C04EA2" w14:paraId="2F1050B4" w14:textId="77777777" w:rsidTr="00371016">
        <w:trPr>
          <w:trHeight w:val="350"/>
        </w:trPr>
        <w:tc>
          <w:tcPr>
            <w:tcW w:w="1869" w:type="dxa"/>
          </w:tcPr>
          <w:p w14:paraId="6E6BA4A6" w14:textId="1C0E985A"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 xml:space="preserve">Yusof </w:t>
            </w:r>
            <w:r w:rsidR="004A1513">
              <w:rPr>
                <w:rFonts w:ascii="Times New Roman" w:hAnsi="Times New Roman" w:cs="Times New Roman"/>
                <w:sz w:val="24"/>
                <w:szCs w:val="24"/>
              </w:rPr>
              <w:t>and</w:t>
            </w:r>
            <w:r w:rsidR="004A1513"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Bahlous</w:t>
            </w:r>
            <w:proofErr w:type="spellEnd"/>
            <w:r w:rsidRPr="00C04EA2">
              <w:rPr>
                <w:rFonts w:ascii="Times New Roman" w:hAnsi="Times New Roman" w:cs="Times New Roman"/>
                <w:sz w:val="24"/>
                <w:szCs w:val="24"/>
              </w:rPr>
              <w:t xml:space="preserve"> (2013)</w:t>
            </w:r>
            <w:r w:rsidR="00833107" w:rsidRPr="00C04EA2">
              <w:rPr>
                <w:rFonts w:ascii="Times New Roman" w:hAnsi="Times New Roman" w:cs="Times New Roman"/>
                <w:sz w:val="24"/>
                <w:szCs w:val="24"/>
              </w:rPr>
              <w:t xml:space="preserve"> </w:t>
            </w:r>
          </w:p>
        </w:tc>
        <w:tc>
          <w:tcPr>
            <w:tcW w:w="1366" w:type="dxa"/>
            <w:gridSpan w:val="2"/>
          </w:tcPr>
          <w:p w14:paraId="32985FE8" w14:textId="74157947"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Malaysia, Indonesia and GCC countries</w:t>
            </w:r>
          </w:p>
        </w:tc>
        <w:tc>
          <w:tcPr>
            <w:tcW w:w="1620" w:type="dxa"/>
          </w:tcPr>
          <w:p w14:paraId="1AA40B8B" w14:textId="2B77781F"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Pedroni</w:t>
            </w:r>
            <w:proofErr w:type="spellEnd"/>
            <w:r w:rsidRPr="00C04EA2">
              <w:rPr>
                <w:rFonts w:ascii="Times New Roman" w:hAnsi="Times New Roman" w:cs="Times New Roman"/>
                <w:sz w:val="24"/>
                <w:szCs w:val="24"/>
              </w:rPr>
              <w:t xml:space="preserve"> Cointegration Test</w:t>
            </w:r>
          </w:p>
        </w:tc>
        <w:tc>
          <w:tcPr>
            <w:tcW w:w="4500" w:type="dxa"/>
          </w:tcPr>
          <w:p w14:paraId="225B992E" w14:textId="5B3C23A4"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They </w:t>
            </w:r>
            <w:r w:rsidR="00250850" w:rsidRPr="00C04EA2">
              <w:rPr>
                <w:rFonts w:ascii="Times New Roman" w:hAnsi="Times New Roman" w:cs="Times New Roman"/>
                <w:sz w:val="24"/>
                <w:szCs w:val="24"/>
              </w:rPr>
              <w:t>have</w:t>
            </w:r>
            <w:r w:rsidRPr="00C04EA2">
              <w:rPr>
                <w:rFonts w:ascii="Times New Roman" w:hAnsi="Times New Roman" w:cs="Times New Roman"/>
                <w:sz w:val="24"/>
                <w:szCs w:val="24"/>
              </w:rPr>
              <w:t xml:space="preserve"> shown that long-term and short-term economic growth are both facilitated by the Islamic banking sector.</w:t>
            </w:r>
          </w:p>
        </w:tc>
      </w:tr>
      <w:tr w:rsidR="00D3340F" w:rsidRPr="00C04EA2" w14:paraId="348255D4" w14:textId="77777777" w:rsidTr="00371016">
        <w:trPr>
          <w:trHeight w:val="350"/>
        </w:trPr>
        <w:tc>
          <w:tcPr>
            <w:tcW w:w="1869" w:type="dxa"/>
          </w:tcPr>
          <w:p w14:paraId="447CEC2C" w14:textId="0C83D03D"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lastRenderedPageBreak/>
              <w:t>Tabash</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(2014a)</w:t>
            </w:r>
            <w:r w:rsidR="00833107" w:rsidRPr="00C04EA2">
              <w:rPr>
                <w:rFonts w:ascii="Times New Roman" w:hAnsi="Times New Roman" w:cs="Times New Roman"/>
                <w:sz w:val="24"/>
                <w:szCs w:val="24"/>
              </w:rPr>
              <w:t xml:space="preserve"> </w:t>
            </w:r>
          </w:p>
        </w:tc>
        <w:tc>
          <w:tcPr>
            <w:tcW w:w="1366" w:type="dxa"/>
            <w:gridSpan w:val="2"/>
          </w:tcPr>
          <w:p w14:paraId="077D1B05" w14:textId="5791F43E"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Qatar</w:t>
            </w:r>
          </w:p>
        </w:tc>
        <w:tc>
          <w:tcPr>
            <w:tcW w:w="1620" w:type="dxa"/>
          </w:tcPr>
          <w:p w14:paraId="658249C8" w14:textId="5448A6D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52557BFC" w14:textId="6E9D0641"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Economic growth and Islamic banking were found to be strongly correlated.</w:t>
            </w:r>
          </w:p>
        </w:tc>
      </w:tr>
      <w:tr w:rsidR="00D3340F" w:rsidRPr="00C04EA2" w14:paraId="039492BC" w14:textId="77777777" w:rsidTr="00371016">
        <w:trPr>
          <w:trHeight w:val="350"/>
        </w:trPr>
        <w:tc>
          <w:tcPr>
            <w:tcW w:w="1869" w:type="dxa"/>
          </w:tcPr>
          <w:p w14:paraId="5ABA0E9C" w14:textId="02F2F691"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(2014b)</w:t>
            </w:r>
            <w:r w:rsidR="00833107" w:rsidRPr="00C04EA2">
              <w:rPr>
                <w:rFonts w:ascii="Times New Roman" w:hAnsi="Times New Roman" w:cs="Times New Roman"/>
                <w:sz w:val="24"/>
                <w:szCs w:val="24"/>
              </w:rPr>
              <w:t xml:space="preserve"> </w:t>
            </w:r>
          </w:p>
        </w:tc>
        <w:tc>
          <w:tcPr>
            <w:tcW w:w="1366" w:type="dxa"/>
            <w:gridSpan w:val="2"/>
          </w:tcPr>
          <w:p w14:paraId="2ECF5528" w14:textId="2F0D99F8"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Qatar, Bahrain, UAE</w:t>
            </w:r>
          </w:p>
        </w:tc>
        <w:tc>
          <w:tcPr>
            <w:tcW w:w="1620" w:type="dxa"/>
          </w:tcPr>
          <w:p w14:paraId="6302BB3E" w14:textId="1FDA7940"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7AD61FF2" w14:textId="41E16788"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It was discovered that Islamic finance and economic growth have a significant association.</w:t>
            </w:r>
          </w:p>
        </w:tc>
      </w:tr>
      <w:tr w:rsidR="00D3340F" w:rsidRPr="00C04EA2" w14:paraId="0A1A64EA" w14:textId="77777777" w:rsidTr="00371016">
        <w:trPr>
          <w:trHeight w:val="350"/>
        </w:trPr>
        <w:tc>
          <w:tcPr>
            <w:tcW w:w="1869" w:type="dxa"/>
          </w:tcPr>
          <w:p w14:paraId="4CFC52BA" w14:textId="4E01249D"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4A1513"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(2014c)</w:t>
            </w:r>
            <w:r w:rsidR="00833107" w:rsidRPr="00C04EA2">
              <w:rPr>
                <w:rFonts w:ascii="Times New Roman" w:hAnsi="Times New Roman" w:cs="Times New Roman"/>
                <w:sz w:val="24"/>
                <w:szCs w:val="24"/>
              </w:rPr>
              <w:t xml:space="preserve"> </w:t>
            </w:r>
          </w:p>
        </w:tc>
        <w:tc>
          <w:tcPr>
            <w:tcW w:w="1366" w:type="dxa"/>
            <w:gridSpan w:val="2"/>
          </w:tcPr>
          <w:p w14:paraId="06FE7D92" w14:textId="02A7B962"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UAE</w:t>
            </w:r>
          </w:p>
        </w:tc>
        <w:tc>
          <w:tcPr>
            <w:tcW w:w="1620" w:type="dxa"/>
          </w:tcPr>
          <w:p w14:paraId="6C23EEE7" w14:textId="44613ADB"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3990FBD8" w14:textId="2C111998"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They established </w:t>
            </w:r>
            <w:r w:rsidR="00320336">
              <w:rPr>
                <w:rFonts w:ascii="Times New Roman" w:hAnsi="Times New Roman" w:cs="Times New Roman"/>
                <w:sz w:val="24"/>
                <w:szCs w:val="24"/>
              </w:rPr>
              <w:t>an association</w:t>
            </w:r>
            <w:r w:rsidRPr="00C04EA2">
              <w:rPr>
                <w:rFonts w:ascii="Times New Roman" w:hAnsi="Times New Roman" w:cs="Times New Roman"/>
                <w:sz w:val="24"/>
                <w:szCs w:val="24"/>
              </w:rPr>
              <w:t xml:space="preserve"> between economic growth and the Islamic banking s</w:t>
            </w:r>
            <w:r w:rsidR="00320336">
              <w:rPr>
                <w:rFonts w:ascii="Times New Roman" w:hAnsi="Times New Roman" w:cs="Times New Roman"/>
                <w:sz w:val="24"/>
                <w:szCs w:val="24"/>
              </w:rPr>
              <w:t>tructure</w:t>
            </w:r>
            <w:r w:rsidRPr="00C04EA2">
              <w:rPr>
                <w:rFonts w:ascii="Times New Roman" w:hAnsi="Times New Roman" w:cs="Times New Roman"/>
                <w:sz w:val="24"/>
                <w:szCs w:val="24"/>
              </w:rPr>
              <w:t>.</w:t>
            </w:r>
          </w:p>
        </w:tc>
      </w:tr>
      <w:tr w:rsidR="00D3340F" w:rsidRPr="00C04EA2" w14:paraId="176083E5" w14:textId="77777777" w:rsidTr="00371016">
        <w:trPr>
          <w:trHeight w:val="368"/>
        </w:trPr>
        <w:tc>
          <w:tcPr>
            <w:tcW w:w="1869" w:type="dxa"/>
          </w:tcPr>
          <w:p w14:paraId="6B25BF78" w14:textId="50580476"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Gheeraert</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Weill (2015)</w:t>
            </w:r>
            <w:r w:rsidR="00833107" w:rsidRPr="00C04EA2">
              <w:rPr>
                <w:rFonts w:ascii="Times New Roman" w:hAnsi="Times New Roman" w:cs="Times New Roman"/>
                <w:sz w:val="24"/>
                <w:szCs w:val="24"/>
              </w:rPr>
              <w:t xml:space="preserve"> </w:t>
            </w:r>
          </w:p>
        </w:tc>
        <w:tc>
          <w:tcPr>
            <w:tcW w:w="1366" w:type="dxa"/>
            <w:gridSpan w:val="2"/>
          </w:tcPr>
          <w:p w14:paraId="222F4685" w14:textId="0009C4EE"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70 countries</w:t>
            </w:r>
          </w:p>
        </w:tc>
        <w:tc>
          <w:tcPr>
            <w:tcW w:w="1620" w:type="dxa"/>
          </w:tcPr>
          <w:p w14:paraId="0AB133C3" w14:textId="7B8F519F"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Stochastic Frontier Approach</w:t>
            </w:r>
          </w:p>
        </w:tc>
        <w:tc>
          <w:tcPr>
            <w:tcW w:w="4500" w:type="dxa"/>
          </w:tcPr>
          <w:p w14:paraId="4B1B7257" w14:textId="7829A0D2"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 co</w:t>
            </w:r>
            <w:r w:rsidR="00320336">
              <w:rPr>
                <w:rFonts w:ascii="Times New Roman" w:hAnsi="Times New Roman" w:cs="Times New Roman"/>
                <w:sz w:val="24"/>
                <w:szCs w:val="24"/>
              </w:rPr>
              <w:t>nnectivity</w:t>
            </w:r>
            <w:r w:rsidRPr="00C04EA2">
              <w:rPr>
                <w:rFonts w:ascii="Times New Roman" w:hAnsi="Times New Roman" w:cs="Times New Roman"/>
                <w:sz w:val="24"/>
                <w:szCs w:val="24"/>
              </w:rPr>
              <w:t xml:space="preserve"> between Islamic finance and economic growth was found.</w:t>
            </w:r>
          </w:p>
        </w:tc>
      </w:tr>
      <w:tr w:rsidR="00D3340F" w:rsidRPr="00C04EA2" w14:paraId="4568E6AB" w14:textId="77777777" w:rsidTr="00371016">
        <w:trPr>
          <w:trHeight w:val="350"/>
        </w:trPr>
        <w:tc>
          <w:tcPr>
            <w:tcW w:w="1869" w:type="dxa"/>
          </w:tcPr>
          <w:p w14:paraId="0D0A9AB6" w14:textId="0892C809"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Hachicha</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Amar (2015)</w:t>
            </w:r>
            <w:r w:rsidR="00833107" w:rsidRPr="00C04EA2">
              <w:rPr>
                <w:rFonts w:ascii="Times New Roman" w:hAnsi="Times New Roman" w:cs="Times New Roman"/>
                <w:sz w:val="24"/>
                <w:szCs w:val="24"/>
              </w:rPr>
              <w:t xml:space="preserve"> </w:t>
            </w:r>
          </w:p>
        </w:tc>
        <w:tc>
          <w:tcPr>
            <w:tcW w:w="1366" w:type="dxa"/>
            <w:gridSpan w:val="2"/>
          </w:tcPr>
          <w:p w14:paraId="6ADDF076" w14:textId="786AF298"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w:t>
            </w:r>
          </w:p>
        </w:tc>
        <w:tc>
          <w:tcPr>
            <w:tcW w:w="1620" w:type="dxa"/>
          </w:tcPr>
          <w:p w14:paraId="534AA22F" w14:textId="7D10BA4B"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Johansen Cointegration Analysis</w:t>
            </w:r>
          </w:p>
        </w:tc>
        <w:tc>
          <w:tcPr>
            <w:tcW w:w="4500" w:type="dxa"/>
          </w:tcPr>
          <w:p w14:paraId="713CD29E" w14:textId="02C2F7BA"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deter</w:t>
            </w:r>
            <w:r w:rsidR="003734E3" w:rsidRPr="00C04EA2">
              <w:rPr>
                <w:rFonts w:ascii="Times New Roman" w:hAnsi="Times New Roman" w:cs="Times New Roman"/>
                <w:sz w:val="24"/>
                <w:szCs w:val="24"/>
              </w:rPr>
              <w:t xml:space="preserve">mined </w:t>
            </w:r>
            <w:r w:rsidRPr="00C04EA2">
              <w:rPr>
                <w:rFonts w:ascii="Times New Roman" w:hAnsi="Times New Roman" w:cs="Times New Roman"/>
                <w:sz w:val="24"/>
                <w:szCs w:val="24"/>
              </w:rPr>
              <w:t>that Islamic financing has no impact on economic</w:t>
            </w:r>
            <w:r w:rsidR="003734E3" w:rsidRPr="00C04EA2">
              <w:rPr>
                <w:rFonts w:ascii="Times New Roman" w:hAnsi="Times New Roman" w:cs="Times New Roman"/>
                <w:sz w:val="24"/>
                <w:szCs w:val="24"/>
              </w:rPr>
              <w:t xml:space="preserve"> growth</w:t>
            </w:r>
            <w:r w:rsidRPr="00C04EA2">
              <w:rPr>
                <w:rFonts w:ascii="Times New Roman" w:hAnsi="Times New Roman" w:cs="Times New Roman"/>
                <w:sz w:val="24"/>
                <w:szCs w:val="24"/>
              </w:rPr>
              <w:t>.</w:t>
            </w:r>
          </w:p>
        </w:tc>
      </w:tr>
      <w:tr w:rsidR="00D3340F" w:rsidRPr="00C04EA2" w14:paraId="107A23EE" w14:textId="77777777" w:rsidTr="00371016">
        <w:trPr>
          <w:trHeight w:val="350"/>
        </w:trPr>
        <w:tc>
          <w:tcPr>
            <w:tcW w:w="1869" w:type="dxa"/>
          </w:tcPr>
          <w:p w14:paraId="6BA11E53" w14:textId="34ED99A2"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Abedifar</w:t>
            </w:r>
            <w:proofErr w:type="spellEnd"/>
            <w:r w:rsidRPr="00C04EA2">
              <w:rPr>
                <w:rFonts w:ascii="Times New Roman" w:hAnsi="Times New Roman" w:cs="Times New Roman"/>
                <w:sz w:val="24"/>
                <w:szCs w:val="24"/>
              </w:rPr>
              <w:t xml:space="preserve"> et. al. (2016)</w:t>
            </w:r>
            <w:r w:rsidR="00833107" w:rsidRPr="00C04EA2">
              <w:rPr>
                <w:rFonts w:ascii="Times New Roman" w:hAnsi="Times New Roman" w:cs="Times New Roman"/>
                <w:sz w:val="24"/>
                <w:szCs w:val="24"/>
              </w:rPr>
              <w:t xml:space="preserve"> </w:t>
            </w:r>
          </w:p>
        </w:tc>
        <w:tc>
          <w:tcPr>
            <w:tcW w:w="1366" w:type="dxa"/>
            <w:gridSpan w:val="2"/>
          </w:tcPr>
          <w:p w14:paraId="1F154E4D" w14:textId="739B16DA"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22 Islamic countries</w:t>
            </w:r>
          </w:p>
        </w:tc>
        <w:tc>
          <w:tcPr>
            <w:tcW w:w="1620" w:type="dxa"/>
          </w:tcPr>
          <w:p w14:paraId="64AB8203" w14:textId="2203E104"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Descriptive Statistics</w:t>
            </w:r>
          </w:p>
        </w:tc>
        <w:tc>
          <w:tcPr>
            <w:tcW w:w="4500" w:type="dxa"/>
          </w:tcPr>
          <w:p w14:paraId="22A78A87" w14:textId="48EF8ABD" w:rsidR="003734E3" w:rsidRPr="00017561" w:rsidRDefault="00320336" w:rsidP="00017561">
            <w:pPr>
              <w:spacing w:line="360" w:lineRule="auto"/>
              <w:jc w:val="both"/>
              <w:rPr>
                <w:rFonts w:ascii="Times New Roman" w:eastAsia="Times New Roman" w:hAnsi="Times New Roman" w:cs="Times New Roman"/>
                <w:sz w:val="24"/>
                <w:szCs w:val="24"/>
              </w:rPr>
            </w:pPr>
            <w:r w:rsidRPr="00320336">
              <w:rPr>
                <w:rFonts w:ascii="Times New Roman" w:eastAsia="Times New Roman" w:hAnsi="Times New Roman" w:cs="Times New Roman"/>
                <w:sz w:val="24"/>
                <w:szCs w:val="24"/>
              </w:rPr>
              <w:t>Economic growth and the market share of Islamic banks were shown to be correlated.</w:t>
            </w:r>
          </w:p>
        </w:tc>
      </w:tr>
      <w:tr w:rsidR="00D3340F" w:rsidRPr="00C04EA2" w14:paraId="4113ACED" w14:textId="77777777" w:rsidTr="00371016">
        <w:trPr>
          <w:trHeight w:val="350"/>
        </w:trPr>
        <w:tc>
          <w:tcPr>
            <w:tcW w:w="1869" w:type="dxa"/>
          </w:tcPr>
          <w:p w14:paraId="0C421D3E" w14:textId="1A2BAE6D"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Kassim</w:t>
            </w:r>
            <w:proofErr w:type="spellEnd"/>
            <w:r w:rsidRPr="00C04EA2">
              <w:rPr>
                <w:rFonts w:ascii="Times New Roman" w:hAnsi="Times New Roman" w:cs="Times New Roman"/>
                <w:sz w:val="24"/>
                <w:szCs w:val="24"/>
              </w:rPr>
              <w:t xml:space="preserve"> (2016)</w:t>
            </w:r>
            <w:r w:rsidR="00833107" w:rsidRPr="00C04EA2">
              <w:rPr>
                <w:rFonts w:ascii="Times New Roman" w:hAnsi="Times New Roman" w:cs="Times New Roman"/>
                <w:sz w:val="24"/>
                <w:szCs w:val="24"/>
              </w:rPr>
              <w:t xml:space="preserve"> </w:t>
            </w:r>
          </w:p>
        </w:tc>
        <w:tc>
          <w:tcPr>
            <w:tcW w:w="1366" w:type="dxa"/>
            <w:gridSpan w:val="2"/>
          </w:tcPr>
          <w:p w14:paraId="5F688666" w14:textId="5627D29A"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w:t>
            </w:r>
          </w:p>
        </w:tc>
        <w:tc>
          <w:tcPr>
            <w:tcW w:w="1620" w:type="dxa"/>
          </w:tcPr>
          <w:p w14:paraId="331778DC" w14:textId="392736EA"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ARDL</w:t>
            </w:r>
          </w:p>
        </w:tc>
        <w:tc>
          <w:tcPr>
            <w:tcW w:w="4500" w:type="dxa"/>
          </w:tcPr>
          <w:p w14:paraId="26846B43" w14:textId="1F0CCBB4" w:rsidR="003734E3"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It has been determined that the Islamic banking system supports economic activity by funding investment initiatives.</w:t>
            </w:r>
          </w:p>
        </w:tc>
      </w:tr>
      <w:tr w:rsidR="00D3340F" w:rsidRPr="00C04EA2" w14:paraId="6F8DFBC5" w14:textId="77777777" w:rsidTr="00371016">
        <w:trPr>
          <w:trHeight w:val="350"/>
        </w:trPr>
        <w:tc>
          <w:tcPr>
            <w:tcW w:w="1869" w:type="dxa"/>
          </w:tcPr>
          <w:p w14:paraId="592989DD" w14:textId="54C7E282"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Lebdaoui</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Wild (2016)</w:t>
            </w:r>
            <w:r w:rsidR="00833107" w:rsidRPr="00C04EA2">
              <w:rPr>
                <w:rFonts w:ascii="Times New Roman" w:hAnsi="Times New Roman" w:cs="Times New Roman"/>
                <w:sz w:val="24"/>
                <w:szCs w:val="24"/>
              </w:rPr>
              <w:t xml:space="preserve"> </w:t>
            </w:r>
          </w:p>
        </w:tc>
        <w:tc>
          <w:tcPr>
            <w:tcW w:w="1366" w:type="dxa"/>
            <w:gridSpan w:val="2"/>
          </w:tcPr>
          <w:p w14:paraId="299AC405" w14:textId="0F320F48"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Southeast Asian countries</w:t>
            </w:r>
          </w:p>
        </w:tc>
        <w:tc>
          <w:tcPr>
            <w:tcW w:w="1620" w:type="dxa"/>
          </w:tcPr>
          <w:p w14:paraId="1A21B8F1" w14:textId="663DF908"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Regression</w:t>
            </w:r>
          </w:p>
        </w:tc>
        <w:tc>
          <w:tcPr>
            <w:tcW w:w="4500" w:type="dxa"/>
          </w:tcPr>
          <w:p w14:paraId="1AC0BFE2" w14:textId="28AA400A" w:rsidR="003734E3" w:rsidRPr="00017561" w:rsidRDefault="00320336" w:rsidP="00017561">
            <w:pPr>
              <w:spacing w:line="360" w:lineRule="auto"/>
              <w:jc w:val="both"/>
              <w:rPr>
                <w:rFonts w:ascii="Times New Roman" w:eastAsia="Times New Roman" w:hAnsi="Times New Roman" w:cs="Times New Roman"/>
                <w:sz w:val="24"/>
                <w:szCs w:val="24"/>
              </w:rPr>
            </w:pPr>
            <w:r w:rsidRPr="00320336">
              <w:rPr>
                <w:rFonts w:ascii="Times New Roman" w:eastAsia="Times New Roman" w:hAnsi="Times New Roman" w:cs="Times New Roman"/>
                <w:sz w:val="24"/>
                <w:szCs w:val="24"/>
              </w:rPr>
              <w:t>It was shown that, while not being relevant in the near term, there is a significant long-term correlation between Islamic banking and economic growth.</w:t>
            </w:r>
          </w:p>
        </w:tc>
      </w:tr>
      <w:tr w:rsidR="00D3340F" w:rsidRPr="00C04EA2" w14:paraId="00B819D1" w14:textId="77777777" w:rsidTr="00371016">
        <w:trPr>
          <w:trHeight w:val="350"/>
        </w:trPr>
        <w:tc>
          <w:tcPr>
            <w:tcW w:w="1869" w:type="dxa"/>
          </w:tcPr>
          <w:p w14:paraId="79E2BC0B" w14:textId="62AAC273"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Tunay</w:t>
            </w:r>
            <w:proofErr w:type="spellEnd"/>
            <w:r w:rsidRPr="00C04EA2">
              <w:rPr>
                <w:rFonts w:ascii="Times New Roman" w:hAnsi="Times New Roman" w:cs="Times New Roman"/>
                <w:sz w:val="24"/>
                <w:szCs w:val="24"/>
              </w:rPr>
              <w:t xml:space="preserve"> (2016)</w:t>
            </w:r>
            <w:r w:rsidR="00833107" w:rsidRPr="00C04EA2">
              <w:rPr>
                <w:rFonts w:ascii="Times New Roman" w:hAnsi="Times New Roman" w:cs="Times New Roman"/>
                <w:sz w:val="24"/>
                <w:szCs w:val="24"/>
              </w:rPr>
              <w:t xml:space="preserve"> </w:t>
            </w:r>
          </w:p>
        </w:tc>
        <w:tc>
          <w:tcPr>
            <w:tcW w:w="1366" w:type="dxa"/>
            <w:gridSpan w:val="2"/>
          </w:tcPr>
          <w:p w14:paraId="0A54E863" w14:textId="42CE6492"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 Islamic countries</w:t>
            </w:r>
          </w:p>
        </w:tc>
        <w:tc>
          <w:tcPr>
            <w:tcW w:w="1620" w:type="dxa"/>
          </w:tcPr>
          <w:p w14:paraId="6E5B2E3D" w14:textId="0D9389EB" w:rsidR="00D3340F" w:rsidRPr="00C04EA2" w:rsidRDefault="00D3340F"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Dumitrescu</w:t>
            </w:r>
            <w:proofErr w:type="spellEnd"/>
            <w:r w:rsidRPr="00C04EA2">
              <w:rPr>
                <w:rFonts w:ascii="Times New Roman" w:hAnsi="Times New Roman" w:cs="Times New Roman"/>
                <w:sz w:val="24"/>
                <w:szCs w:val="24"/>
              </w:rPr>
              <w:t xml:space="preserve"> and </w:t>
            </w:r>
            <w:proofErr w:type="spellStart"/>
            <w:r w:rsidRPr="00C04EA2">
              <w:rPr>
                <w:rFonts w:ascii="Times New Roman" w:hAnsi="Times New Roman" w:cs="Times New Roman"/>
                <w:sz w:val="24"/>
                <w:szCs w:val="24"/>
              </w:rPr>
              <w:t>Hurlin</w:t>
            </w:r>
            <w:proofErr w:type="spellEnd"/>
            <w:r w:rsidRPr="00C04EA2">
              <w:rPr>
                <w:rFonts w:ascii="Times New Roman" w:hAnsi="Times New Roman" w:cs="Times New Roman"/>
                <w:sz w:val="24"/>
                <w:szCs w:val="24"/>
              </w:rPr>
              <w:t xml:space="preserve"> Causality Test</w:t>
            </w:r>
          </w:p>
        </w:tc>
        <w:tc>
          <w:tcPr>
            <w:tcW w:w="4500" w:type="dxa"/>
          </w:tcPr>
          <w:p w14:paraId="3B09C42F" w14:textId="4D5BCD0D" w:rsidR="00D3340F"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Islamic banks play very important role for economic growth.</w:t>
            </w:r>
          </w:p>
        </w:tc>
      </w:tr>
      <w:tr w:rsidR="00D3340F" w:rsidRPr="00C04EA2" w14:paraId="04B62507" w14:textId="77777777" w:rsidTr="00371016">
        <w:trPr>
          <w:trHeight w:val="350"/>
        </w:trPr>
        <w:tc>
          <w:tcPr>
            <w:tcW w:w="1869" w:type="dxa"/>
          </w:tcPr>
          <w:p w14:paraId="3ADA2003" w14:textId="4F69A9FC"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Wahab et. al. (2016)</w:t>
            </w:r>
            <w:r w:rsidR="00833107" w:rsidRPr="00C04EA2">
              <w:rPr>
                <w:rFonts w:ascii="Times New Roman" w:hAnsi="Times New Roman" w:cs="Times New Roman"/>
                <w:sz w:val="24"/>
                <w:szCs w:val="24"/>
              </w:rPr>
              <w:t xml:space="preserve"> </w:t>
            </w:r>
          </w:p>
        </w:tc>
        <w:tc>
          <w:tcPr>
            <w:tcW w:w="1366" w:type="dxa"/>
            <w:gridSpan w:val="2"/>
          </w:tcPr>
          <w:p w14:paraId="5D0AE1C3" w14:textId="1A141483"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 and Pakistan</w:t>
            </w:r>
          </w:p>
        </w:tc>
        <w:tc>
          <w:tcPr>
            <w:tcW w:w="1620" w:type="dxa"/>
          </w:tcPr>
          <w:p w14:paraId="30EAA809" w14:textId="47DF20E9"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Engle Granger Cointegration Analysis</w:t>
            </w:r>
          </w:p>
        </w:tc>
        <w:tc>
          <w:tcPr>
            <w:tcW w:w="4500" w:type="dxa"/>
          </w:tcPr>
          <w:p w14:paraId="353D1E0A" w14:textId="26678F22" w:rsidR="003734E3"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 Malaysia, but not in Pakistan, there is a considerable correlation between Islamic financing and economic growth.</w:t>
            </w:r>
          </w:p>
        </w:tc>
      </w:tr>
      <w:tr w:rsidR="002908C2" w:rsidRPr="00C04EA2" w14:paraId="38D7CDD6" w14:textId="77777777" w:rsidTr="00371016">
        <w:trPr>
          <w:trHeight w:val="350"/>
        </w:trPr>
        <w:tc>
          <w:tcPr>
            <w:tcW w:w="1869" w:type="dxa"/>
          </w:tcPr>
          <w:p w14:paraId="3C9DC97A" w14:textId="04227D40"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lastRenderedPageBreak/>
              <w:t>Yüksel</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Canöz</w:t>
            </w:r>
            <w:proofErr w:type="spellEnd"/>
            <w:r w:rsidRPr="00C04EA2">
              <w:rPr>
                <w:rFonts w:ascii="Times New Roman" w:hAnsi="Times New Roman" w:cs="Times New Roman"/>
                <w:sz w:val="24"/>
                <w:szCs w:val="24"/>
              </w:rPr>
              <w:t xml:space="preserve"> (2017)</w:t>
            </w:r>
          </w:p>
        </w:tc>
        <w:tc>
          <w:tcPr>
            <w:tcW w:w="1366" w:type="dxa"/>
            <w:gridSpan w:val="2"/>
          </w:tcPr>
          <w:p w14:paraId="0C4717CD" w14:textId="1E7C63E2"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Turkey</w:t>
            </w:r>
          </w:p>
        </w:tc>
        <w:tc>
          <w:tcPr>
            <w:tcW w:w="1620" w:type="dxa"/>
          </w:tcPr>
          <w:p w14:paraId="1E68DC15" w14:textId="0A75FE75"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VAR Granger Causality Analysis</w:t>
            </w:r>
          </w:p>
        </w:tc>
        <w:tc>
          <w:tcPr>
            <w:tcW w:w="4500" w:type="dxa"/>
          </w:tcPr>
          <w:p w14:paraId="37CFC57B" w14:textId="6DEADA79"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 study found that the growth of the economy and industry was not significantly impacted by loans from Islamic banks.</w:t>
            </w:r>
          </w:p>
        </w:tc>
      </w:tr>
      <w:tr w:rsidR="00D3340F" w:rsidRPr="00C04EA2" w14:paraId="733A79E9" w14:textId="77777777" w:rsidTr="00371016">
        <w:trPr>
          <w:trHeight w:val="350"/>
        </w:trPr>
        <w:tc>
          <w:tcPr>
            <w:tcW w:w="1869" w:type="dxa"/>
          </w:tcPr>
          <w:p w14:paraId="3756F649" w14:textId="39475BFE"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Boukhatem</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Ben Moussa (2018)</w:t>
            </w:r>
          </w:p>
        </w:tc>
        <w:tc>
          <w:tcPr>
            <w:tcW w:w="1366" w:type="dxa"/>
            <w:gridSpan w:val="2"/>
          </w:tcPr>
          <w:p w14:paraId="1E331A93" w14:textId="77DE56BC"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13 countries in the MENA region</w:t>
            </w:r>
          </w:p>
        </w:tc>
        <w:tc>
          <w:tcPr>
            <w:tcW w:w="1620" w:type="dxa"/>
          </w:tcPr>
          <w:p w14:paraId="76D30D39" w14:textId="07DFE216" w:rsidR="00D3340F" w:rsidRPr="00C04EA2" w:rsidRDefault="00D3340F"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Pedroni</w:t>
            </w:r>
            <w:proofErr w:type="spellEnd"/>
            <w:r w:rsidRPr="00C04EA2">
              <w:rPr>
                <w:rFonts w:ascii="Times New Roman" w:hAnsi="Times New Roman" w:cs="Times New Roman"/>
                <w:sz w:val="24"/>
                <w:szCs w:val="24"/>
              </w:rPr>
              <w:t xml:space="preserve"> and </w:t>
            </w:r>
            <w:proofErr w:type="spellStart"/>
            <w:r w:rsidRPr="00C04EA2">
              <w:rPr>
                <w:rFonts w:ascii="Times New Roman" w:hAnsi="Times New Roman" w:cs="Times New Roman"/>
                <w:sz w:val="24"/>
                <w:szCs w:val="24"/>
              </w:rPr>
              <w:t>Westerlund</w:t>
            </w:r>
            <w:proofErr w:type="spellEnd"/>
            <w:r w:rsidRPr="00C04EA2">
              <w:rPr>
                <w:rFonts w:ascii="Times New Roman" w:hAnsi="Times New Roman" w:cs="Times New Roman"/>
                <w:sz w:val="24"/>
                <w:szCs w:val="24"/>
              </w:rPr>
              <w:t xml:space="preserve"> </w:t>
            </w:r>
            <w:r w:rsidR="000A4A4F" w:rsidRPr="00C04EA2">
              <w:rPr>
                <w:rFonts w:ascii="Times New Roman" w:hAnsi="Times New Roman" w:cs="Times New Roman"/>
                <w:sz w:val="24"/>
                <w:szCs w:val="24"/>
              </w:rPr>
              <w:t>P</w:t>
            </w:r>
            <w:r w:rsidRPr="00C04EA2">
              <w:rPr>
                <w:rFonts w:ascii="Times New Roman" w:hAnsi="Times New Roman" w:cs="Times New Roman"/>
                <w:sz w:val="24"/>
                <w:szCs w:val="24"/>
              </w:rPr>
              <w:t xml:space="preserve">anel </w:t>
            </w:r>
            <w:r w:rsidR="000A4A4F" w:rsidRPr="00C04EA2">
              <w:rPr>
                <w:rFonts w:ascii="Times New Roman" w:hAnsi="Times New Roman" w:cs="Times New Roman"/>
                <w:sz w:val="24"/>
                <w:szCs w:val="24"/>
              </w:rPr>
              <w:t>C</w:t>
            </w:r>
            <w:r w:rsidRPr="00C04EA2">
              <w:rPr>
                <w:rFonts w:ascii="Times New Roman" w:hAnsi="Times New Roman" w:cs="Times New Roman"/>
                <w:sz w:val="24"/>
                <w:szCs w:val="24"/>
              </w:rPr>
              <w:t xml:space="preserve">ointegration </w:t>
            </w:r>
            <w:r w:rsidR="000A4A4F" w:rsidRPr="00C04EA2">
              <w:rPr>
                <w:rFonts w:ascii="Times New Roman" w:hAnsi="Times New Roman" w:cs="Times New Roman"/>
                <w:sz w:val="24"/>
                <w:szCs w:val="24"/>
              </w:rPr>
              <w:t>T</w:t>
            </w:r>
            <w:r w:rsidRPr="00C04EA2">
              <w:rPr>
                <w:rFonts w:ascii="Times New Roman" w:hAnsi="Times New Roman" w:cs="Times New Roman"/>
                <w:sz w:val="24"/>
                <w:szCs w:val="24"/>
              </w:rPr>
              <w:t>est</w:t>
            </w:r>
          </w:p>
        </w:tc>
        <w:tc>
          <w:tcPr>
            <w:tcW w:w="4500" w:type="dxa"/>
          </w:tcPr>
          <w:p w14:paraId="19AF4017" w14:textId="053A7960" w:rsidR="00D3340F"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 expansion of the banking system encouraged economic growth in the MENA countries that were chosen, </w:t>
            </w:r>
            <w:r w:rsidR="000F398E" w:rsidRPr="00C04EA2">
              <w:rPr>
                <w:rFonts w:ascii="Times New Roman" w:hAnsi="Times New Roman" w:cs="Times New Roman"/>
                <w:sz w:val="24"/>
                <w:szCs w:val="24"/>
              </w:rPr>
              <w:t>and</w:t>
            </w:r>
            <w:r w:rsidRPr="00C04EA2">
              <w:rPr>
                <w:rFonts w:ascii="Times New Roman" w:hAnsi="Times New Roman" w:cs="Times New Roman"/>
                <w:sz w:val="24"/>
                <w:szCs w:val="24"/>
              </w:rPr>
              <w:t xml:space="preserve"> </w:t>
            </w:r>
            <w:r w:rsidR="000F398E" w:rsidRPr="00C04EA2">
              <w:rPr>
                <w:rFonts w:ascii="Times New Roman" w:hAnsi="Times New Roman" w:cs="Times New Roman"/>
                <w:sz w:val="24"/>
                <w:szCs w:val="24"/>
              </w:rPr>
              <w:t>impact positively</w:t>
            </w:r>
            <w:r w:rsidRPr="00C04EA2">
              <w:rPr>
                <w:rFonts w:ascii="Times New Roman" w:hAnsi="Times New Roman" w:cs="Times New Roman"/>
                <w:sz w:val="24"/>
                <w:szCs w:val="24"/>
              </w:rPr>
              <w:t>.</w:t>
            </w:r>
          </w:p>
        </w:tc>
      </w:tr>
      <w:tr w:rsidR="002908C2" w:rsidRPr="00C04EA2" w14:paraId="370E54BC" w14:textId="77777777" w:rsidTr="00371016">
        <w:trPr>
          <w:trHeight w:val="350"/>
        </w:trPr>
        <w:tc>
          <w:tcPr>
            <w:tcW w:w="1869" w:type="dxa"/>
          </w:tcPr>
          <w:p w14:paraId="72C30F35" w14:textId="0BCF58B5"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Atici</w:t>
            </w:r>
            <w:proofErr w:type="spellEnd"/>
            <w:r w:rsidRPr="00C04EA2">
              <w:rPr>
                <w:rFonts w:ascii="Times New Roman" w:hAnsi="Times New Roman" w:cs="Times New Roman"/>
                <w:sz w:val="24"/>
                <w:szCs w:val="24"/>
              </w:rPr>
              <w:t xml:space="preserve"> (2018)</w:t>
            </w:r>
          </w:p>
        </w:tc>
        <w:tc>
          <w:tcPr>
            <w:tcW w:w="1366" w:type="dxa"/>
            <w:gridSpan w:val="2"/>
          </w:tcPr>
          <w:p w14:paraId="402B5313" w14:textId="23C473B6"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Turkey</w:t>
            </w:r>
          </w:p>
        </w:tc>
        <w:tc>
          <w:tcPr>
            <w:tcW w:w="1620" w:type="dxa"/>
          </w:tcPr>
          <w:p w14:paraId="591ECC41" w14:textId="57C1D513"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Granger Causality test</w:t>
            </w:r>
          </w:p>
        </w:tc>
        <w:tc>
          <w:tcPr>
            <w:tcW w:w="4500" w:type="dxa"/>
          </w:tcPr>
          <w:p w14:paraId="0D8EB6FA" w14:textId="65CC4CF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identified considerable long-term unidirectional connection between Islamic (participation) banking and economic growth</w:t>
            </w:r>
          </w:p>
        </w:tc>
      </w:tr>
      <w:tr w:rsidR="002908C2" w:rsidRPr="00C04EA2" w14:paraId="0CBAD0BB" w14:textId="77777777" w:rsidTr="00371016">
        <w:trPr>
          <w:trHeight w:val="350"/>
        </w:trPr>
        <w:tc>
          <w:tcPr>
            <w:tcW w:w="1869" w:type="dxa"/>
          </w:tcPr>
          <w:p w14:paraId="62F370C7" w14:textId="1819F85B" w:rsidR="002908C2" w:rsidRPr="00C04EA2" w:rsidRDefault="002908C2"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Jawad</w:t>
            </w:r>
            <w:r w:rsidR="00F14DB3"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Christian (2019)</w:t>
            </w:r>
          </w:p>
        </w:tc>
        <w:tc>
          <w:tcPr>
            <w:tcW w:w="1366" w:type="dxa"/>
            <w:gridSpan w:val="2"/>
          </w:tcPr>
          <w:p w14:paraId="303A7FB9" w14:textId="2222A2C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 24 countries</w:t>
            </w:r>
          </w:p>
        </w:tc>
        <w:tc>
          <w:tcPr>
            <w:tcW w:w="1620" w:type="dxa"/>
          </w:tcPr>
          <w:p w14:paraId="4DB077A2" w14:textId="4E55CBD8"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Panel Co-Integration Test and Granger Causality Test</w:t>
            </w:r>
          </w:p>
        </w:tc>
        <w:tc>
          <w:tcPr>
            <w:tcW w:w="4500" w:type="dxa"/>
          </w:tcPr>
          <w:p w14:paraId="05EA6895" w14:textId="13DC3A38"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recognized that Islamic Banking Development (IBD) affect economic growth positively and was a long run relationship between IBD and economic growth.</w:t>
            </w:r>
          </w:p>
        </w:tc>
      </w:tr>
      <w:tr w:rsidR="002908C2" w:rsidRPr="00C04EA2" w14:paraId="7330B4D6" w14:textId="77777777" w:rsidTr="00371016">
        <w:trPr>
          <w:trHeight w:val="350"/>
        </w:trPr>
        <w:tc>
          <w:tcPr>
            <w:tcW w:w="1869" w:type="dxa"/>
          </w:tcPr>
          <w:p w14:paraId="6F1F2DD1" w14:textId="7EA46769"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Afandi</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Amin (2019)</w:t>
            </w:r>
          </w:p>
        </w:tc>
        <w:tc>
          <w:tcPr>
            <w:tcW w:w="1366" w:type="dxa"/>
            <w:gridSpan w:val="2"/>
          </w:tcPr>
          <w:p w14:paraId="1A2D8D76" w14:textId="58B88C58" w:rsidR="002908C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Indonesia</w:t>
            </w:r>
          </w:p>
        </w:tc>
        <w:tc>
          <w:tcPr>
            <w:tcW w:w="1620" w:type="dxa"/>
          </w:tcPr>
          <w:p w14:paraId="609895F2" w14:textId="54BCC281" w:rsidR="002908C2" w:rsidRPr="00C04EA2" w:rsidRDefault="00D01152"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Regression</w:t>
            </w:r>
          </w:p>
        </w:tc>
        <w:tc>
          <w:tcPr>
            <w:tcW w:w="4500" w:type="dxa"/>
          </w:tcPr>
          <w:p w14:paraId="58BD59F3" w14:textId="69B1870E" w:rsidR="002908C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 findings indicate that Islamic bank financing has no bearing on economic growth.</w:t>
            </w:r>
          </w:p>
        </w:tc>
      </w:tr>
      <w:tr w:rsidR="002908C2" w:rsidRPr="00C04EA2" w14:paraId="7774D6EB" w14:textId="77777777" w:rsidTr="00371016">
        <w:trPr>
          <w:trHeight w:val="350"/>
        </w:trPr>
        <w:tc>
          <w:tcPr>
            <w:tcW w:w="1869" w:type="dxa"/>
          </w:tcPr>
          <w:p w14:paraId="76D6C8AD" w14:textId="76A1F11D"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Nasution</w:t>
            </w:r>
            <w:proofErr w:type="spellEnd"/>
            <w:r w:rsidRPr="00C04EA2">
              <w:rPr>
                <w:rFonts w:ascii="Times New Roman" w:hAnsi="Times New Roman" w:cs="Times New Roman"/>
                <w:sz w:val="24"/>
                <w:szCs w:val="24"/>
              </w:rPr>
              <w:t xml:space="preserve"> et al. (2019)</w:t>
            </w:r>
          </w:p>
        </w:tc>
        <w:tc>
          <w:tcPr>
            <w:tcW w:w="1366" w:type="dxa"/>
            <w:gridSpan w:val="2"/>
          </w:tcPr>
          <w:p w14:paraId="28DD9760" w14:textId="6135662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Indonesia</w:t>
            </w:r>
          </w:p>
        </w:tc>
        <w:tc>
          <w:tcPr>
            <w:tcW w:w="1620" w:type="dxa"/>
          </w:tcPr>
          <w:p w14:paraId="58050189" w14:textId="5786F924"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Mediation of Profitability</w:t>
            </w:r>
          </w:p>
        </w:tc>
        <w:tc>
          <w:tcPr>
            <w:tcW w:w="4500" w:type="dxa"/>
          </w:tcPr>
          <w:p w14:paraId="5318BF6F" w14:textId="5A97106E"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discovered that CAR, NPF, FDR, and BOPO have a marginally negative direct impact on ROA. However, ROA has a positive and substantial direct impact on economic growth.</w:t>
            </w:r>
          </w:p>
        </w:tc>
      </w:tr>
      <w:tr w:rsidR="002908C2" w:rsidRPr="00C04EA2" w14:paraId="4C0166C1" w14:textId="77777777" w:rsidTr="00371016">
        <w:trPr>
          <w:trHeight w:val="350"/>
        </w:trPr>
        <w:tc>
          <w:tcPr>
            <w:tcW w:w="1869" w:type="dxa"/>
          </w:tcPr>
          <w:p w14:paraId="0B18DB6C" w14:textId="3F46172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Faculty of Entrepreneurship and Business, </w:t>
            </w:r>
            <w:proofErr w:type="spellStart"/>
            <w:r w:rsidRPr="00C04EA2">
              <w:rPr>
                <w:rFonts w:ascii="Times New Roman" w:hAnsi="Times New Roman" w:cs="Times New Roman"/>
                <w:sz w:val="24"/>
                <w:szCs w:val="24"/>
              </w:rPr>
              <w:t>Universiti</w:t>
            </w:r>
            <w:proofErr w:type="spellEnd"/>
            <w:r w:rsidRPr="00C04EA2">
              <w:rPr>
                <w:rFonts w:ascii="Times New Roman" w:hAnsi="Times New Roman" w:cs="Times New Roman"/>
                <w:sz w:val="24"/>
                <w:szCs w:val="24"/>
              </w:rPr>
              <w:t xml:space="preserve"> Malaysia Kelantan (2020)</w:t>
            </w:r>
          </w:p>
        </w:tc>
        <w:tc>
          <w:tcPr>
            <w:tcW w:w="1366" w:type="dxa"/>
            <w:gridSpan w:val="2"/>
          </w:tcPr>
          <w:p w14:paraId="53A6784E" w14:textId="4D27F3C8"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w:t>
            </w:r>
          </w:p>
        </w:tc>
        <w:tc>
          <w:tcPr>
            <w:tcW w:w="1620" w:type="dxa"/>
          </w:tcPr>
          <w:p w14:paraId="32759927" w14:textId="0578E886"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ARDL</w:t>
            </w:r>
          </w:p>
        </w:tc>
        <w:tc>
          <w:tcPr>
            <w:tcW w:w="4500" w:type="dxa"/>
          </w:tcPr>
          <w:p w14:paraId="648135FF" w14:textId="5B7FF01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demonstrated a connection between economic growth and Islamic finance.</w:t>
            </w:r>
          </w:p>
        </w:tc>
      </w:tr>
      <w:tr w:rsidR="002908C2" w:rsidRPr="00C04EA2" w14:paraId="13AE0963" w14:textId="77777777" w:rsidTr="00371016">
        <w:trPr>
          <w:trHeight w:val="350"/>
        </w:trPr>
        <w:tc>
          <w:tcPr>
            <w:tcW w:w="1869" w:type="dxa"/>
          </w:tcPr>
          <w:p w14:paraId="487D80B3" w14:textId="3F7EAF9B" w:rsidR="002908C2" w:rsidRPr="00C04EA2" w:rsidRDefault="002908C2"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lastRenderedPageBreak/>
              <w:t>M. Anwar et. al. (2020)</w:t>
            </w:r>
          </w:p>
        </w:tc>
        <w:tc>
          <w:tcPr>
            <w:tcW w:w="1366" w:type="dxa"/>
            <w:gridSpan w:val="2"/>
          </w:tcPr>
          <w:p w14:paraId="11BF2BF8" w14:textId="1427FB53"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Indonesia</w:t>
            </w:r>
          </w:p>
        </w:tc>
        <w:tc>
          <w:tcPr>
            <w:tcW w:w="1620" w:type="dxa"/>
          </w:tcPr>
          <w:p w14:paraId="0D63B67E" w14:textId="156B0AD4"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ARDL </w:t>
            </w:r>
          </w:p>
        </w:tc>
        <w:tc>
          <w:tcPr>
            <w:tcW w:w="4500" w:type="dxa"/>
          </w:tcPr>
          <w:p w14:paraId="455CC994" w14:textId="705E3ED3" w:rsidR="002908C2" w:rsidRPr="00017561" w:rsidRDefault="00320336" w:rsidP="00017561">
            <w:pPr>
              <w:spacing w:line="360" w:lineRule="auto"/>
              <w:jc w:val="both"/>
              <w:rPr>
                <w:rFonts w:ascii="Times New Roman" w:eastAsia="Times New Roman" w:hAnsi="Times New Roman" w:cs="Times New Roman"/>
                <w:sz w:val="24"/>
                <w:szCs w:val="24"/>
              </w:rPr>
            </w:pPr>
            <w:r w:rsidRPr="00320336">
              <w:rPr>
                <w:rFonts w:ascii="Times New Roman" w:eastAsia="Times New Roman" w:hAnsi="Times New Roman" w:cs="Times New Roman"/>
                <w:sz w:val="24"/>
                <w:szCs w:val="24"/>
              </w:rPr>
              <w:t>Short- and long-term economic growth are closely correlated with IIB offices, deposits, and expansion. There is evidence to support the relationship between economic expansion and Islamic banks.</w:t>
            </w:r>
          </w:p>
        </w:tc>
      </w:tr>
      <w:tr w:rsidR="002908C2" w:rsidRPr="00C04EA2" w14:paraId="370C0797" w14:textId="77777777" w:rsidTr="00371016">
        <w:trPr>
          <w:trHeight w:val="350"/>
        </w:trPr>
        <w:tc>
          <w:tcPr>
            <w:tcW w:w="1869" w:type="dxa"/>
          </w:tcPr>
          <w:p w14:paraId="273713E8" w14:textId="2AFE669D" w:rsidR="002908C2" w:rsidRPr="00C04EA2" w:rsidRDefault="002908C2"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Osmanovica</w:t>
            </w:r>
            <w:proofErr w:type="spellEnd"/>
            <w:r w:rsidRPr="00C04EA2">
              <w:rPr>
                <w:rFonts w:ascii="Times New Roman" w:hAnsi="Times New Roman" w:cs="Times New Roman"/>
                <w:sz w:val="24"/>
                <w:szCs w:val="24"/>
              </w:rPr>
              <w:t xml:space="preserve"> et. al. (2020)</w:t>
            </w:r>
          </w:p>
        </w:tc>
        <w:tc>
          <w:tcPr>
            <w:tcW w:w="1366" w:type="dxa"/>
            <w:gridSpan w:val="2"/>
          </w:tcPr>
          <w:p w14:paraId="070377A3" w14:textId="0AC76F23"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UAE</w:t>
            </w:r>
          </w:p>
        </w:tc>
        <w:tc>
          <w:tcPr>
            <w:tcW w:w="1620" w:type="dxa"/>
          </w:tcPr>
          <w:p w14:paraId="547E80E5" w14:textId="57234AC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 Qualitative Research Paradigm</w:t>
            </w:r>
          </w:p>
        </w:tc>
        <w:tc>
          <w:tcPr>
            <w:tcW w:w="4500" w:type="dxa"/>
          </w:tcPr>
          <w:p w14:paraId="1423A8B6" w14:textId="70F035D2"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Around 8.3% of the GDP in 2018 was contributed by Islamic financial institutions.</w:t>
            </w:r>
          </w:p>
        </w:tc>
      </w:tr>
      <w:tr w:rsidR="002908C2" w:rsidRPr="00C04EA2" w14:paraId="29915577" w14:textId="77777777" w:rsidTr="00371016">
        <w:trPr>
          <w:trHeight w:val="350"/>
        </w:trPr>
        <w:tc>
          <w:tcPr>
            <w:tcW w:w="1869" w:type="dxa"/>
          </w:tcPr>
          <w:p w14:paraId="77EF2606" w14:textId="3C7F2D59" w:rsidR="002908C2" w:rsidRPr="00C04EA2" w:rsidRDefault="002908C2"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Bendriouch</w:t>
            </w:r>
            <w:proofErr w:type="spellEnd"/>
            <w:r w:rsidRPr="00C04EA2">
              <w:rPr>
                <w:rFonts w:ascii="Times New Roman" w:hAnsi="Times New Roman" w:cs="Times New Roman"/>
                <w:sz w:val="24"/>
                <w:szCs w:val="24"/>
              </w:rPr>
              <w:t xml:space="preserve"> et al. (2020)</w:t>
            </w:r>
          </w:p>
        </w:tc>
        <w:tc>
          <w:tcPr>
            <w:tcW w:w="1366" w:type="dxa"/>
            <w:gridSpan w:val="2"/>
          </w:tcPr>
          <w:p w14:paraId="2C92A95E" w14:textId="6E69D03C"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GCC countries</w:t>
            </w:r>
          </w:p>
        </w:tc>
        <w:tc>
          <w:tcPr>
            <w:tcW w:w="1620" w:type="dxa"/>
          </w:tcPr>
          <w:p w14:paraId="50DFB9E4" w14:textId="290759EA"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Structural Equation Model</w:t>
            </w:r>
          </w:p>
        </w:tc>
        <w:tc>
          <w:tcPr>
            <w:tcW w:w="4500" w:type="dxa"/>
          </w:tcPr>
          <w:p w14:paraId="31EB43B5" w14:textId="6A9D0FF3" w:rsidR="00B51579" w:rsidRPr="00017561" w:rsidRDefault="00320336" w:rsidP="0001756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320336">
              <w:rPr>
                <w:rFonts w:ascii="Times New Roman" w:eastAsia="Times New Roman" w:hAnsi="Times New Roman" w:cs="Times New Roman"/>
                <w:sz w:val="24"/>
                <w:szCs w:val="24"/>
              </w:rPr>
              <w:t xml:space="preserve"> strong relationship between Islamic banks and economic expansion, especially in the years after the global financial crisis.</w:t>
            </w:r>
          </w:p>
        </w:tc>
      </w:tr>
      <w:tr w:rsidR="00D01152" w:rsidRPr="00C04EA2" w14:paraId="3DDC0F6E" w14:textId="77777777" w:rsidTr="00371016">
        <w:trPr>
          <w:trHeight w:val="350"/>
        </w:trPr>
        <w:tc>
          <w:tcPr>
            <w:tcW w:w="1869" w:type="dxa"/>
          </w:tcPr>
          <w:p w14:paraId="1CCE2ECF" w14:textId="6481B532" w:rsidR="00D01152" w:rsidRPr="00C04EA2" w:rsidRDefault="00D0115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Sekmen</w:t>
            </w:r>
            <w:proofErr w:type="spellEnd"/>
            <w:r w:rsidRPr="00C04EA2">
              <w:rPr>
                <w:rFonts w:ascii="Times New Roman" w:hAnsi="Times New Roman" w:cs="Times New Roman"/>
                <w:sz w:val="24"/>
                <w:szCs w:val="24"/>
              </w:rPr>
              <w:t xml:space="preserve"> (2021)</w:t>
            </w:r>
          </w:p>
        </w:tc>
        <w:tc>
          <w:tcPr>
            <w:tcW w:w="1366" w:type="dxa"/>
            <w:gridSpan w:val="2"/>
          </w:tcPr>
          <w:p w14:paraId="2CE6757F" w14:textId="2104F6A6" w:rsidR="00D0115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Turkey</w:t>
            </w:r>
          </w:p>
        </w:tc>
        <w:tc>
          <w:tcPr>
            <w:tcW w:w="1620" w:type="dxa"/>
          </w:tcPr>
          <w:p w14:paraId="203648C1" w14:textId="4063C072" w:rsidR="00D0115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ARDL</w:t>
            </w:r>
          </w:p>
        </w:tc>
        <w:tc>
          <w:tcPr>
            <w:tcW w:w="4500" w:type="dxa"/>
          </w:tcPr>
          <w:p w14:paraId="5D91CFC1" w14:textId="2679BB50" w:rsidR="00B51579"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determined the financial sector still only includes a very modest amount of Islamic banking.</w:t>
            </w:r>
          </w:p>
        </w:tc>
      </w:tr>
    </w:tbl>
    <w:p w14:paraId="6491BC79" w14:textId="3CE4437D" w:rsidR="005A3758" w:rsidRPr="00C04EA2" w:rsidRDefault="005A3758" w:rsidP="005A30C7">
      <w:pPr>
        <w:tabs>
          <w:tab w:val="left" w:pos="3780"/>
        </w:tabs>
        <w:spacing w:line="360" w:lineRule="auto"/>
        <w:jc w:val="both"/>
        <w:rPr>
          <w:rFonts w:ascii="Times New Roman" w:hAnsi="Times New Roman" w:cs="Times New Roman"/>
          <w:b/>
          <w:sz w:val="24"/>
          <w:szCs w:val="24"/>
        </w:rPr>
      </w:pPr>
    </w:p>
    <w:p w14:paraId="43829F9A" w14:textId="77777777" w:rsidR="00282B1A" w:rsidRDefault="00282B1A" w:rsidP="005A30C7">
      <w:pPr>
        <w:tabs>
          <w:tab w:val="left" w:pos="3780"/>
        </w:tabs>
        <w:spacing w:line="360" w:lineRule="auto"/>
        <w:jc w:val="both"/>
        <w:rPr>
          <w:rFonts w:ascii="Times New Roman" w:hAnsi="Times New Roman" w:cs="Times New Roman"/>
          <w:sz w:val="24"/>
          <w:szCs w:val="24"/>
        </w:rPr>
      </w:pPr>
      <w:r w:rsidRPr="00282B1A">
        <w:rPr>
          <w:rFonts w:ascii="Times New Roman" w:hAnsi="Times New Roman" w:cs="Times New Roman"/>
          <w:sz w:val="24"/>
          <w:szCs w:val="24"/>
        </w:rPr>
        <w:t xml:space="preserve">Table 1 provides an overview of the substantial research that highlights the connection between the Islamic banking system and economic growth. </w:t>
      </w:r>
      <w:proofErr w:type="spellStart"/>
      <w:r w:rsidRPr="00282B1A">
        <w:rPr>
          <w:rFonts w:ascii="Times New Roman" w:hAnsi="Times New Roman" w:cs="Times New Roman"/>
          <w:sz w:val="24"/>
          <w:szCs w:val="24"/>
        </w:rPr>
        <w:t>Furqani</w:t>
      </w:r>
      <w:proofErr w:type="spellEnd"/>
      <w:r w:rsidRPr="00282B1A">
        <w:rPr>
          <w:rFonts w:ascii="Times New Roman" w:hAnsi="Times New Roman" w:cs="Times New Roman"/>
          <w:sz w:val="24"/>
          <w:szCs w:val="24"/>
        </w:rPr>
        <w:t xml:space="preserve"> and </w:t>
      </w:r>
      <w:proofErr w:type="spellStart"/>
      <w:r w:rsidRPr="00282B1A">
        <w:rPr>
          <w:rFonts w:ascii="Times New Roman" w:hAnsi="Times New Roman" w:cs="Times New Roman"/>
          <w:sz w:val="24"/>
          <w:szCs w:val="24"/>
        </w:rPr>
        <w:t>Mulyayn</w:t>
      </w:r>
      <w:proofErr w:type="spellEnd"/>
      <w:r w:rsidRPr="00282B1A">
        <w:rPr>
          <w:rFonts w:ascii="Times New Roman" w:hAnsi="Times New Roman" w:cs="Times New Roman"/>
          <w:sz w:val="24"/>
          <w:szCs w:val="24"/>
        </w:rPr>
        <w:t xml:space="preserve"> (2009) conducted a study in Malaysia, where they applied the ‘Johansen Co-integration Analysis’ to investigate this relationship and concluded that Islamic banking plays a pivotal role in promoting economic growth. Other studies, such as those by </w:t>
      </w:r>
      <w:proofErr w:type="spellStart"/>
      <w:r w:rsidRPr="00282B1A">
        <w:rPr>
          <w:rFonts w:ascii="Times New Roman" w:hAnsi="Times New Roman" w:cs="Times New Roman"/>
          <w:sz w:val="24"/>
          <w:szCs w:val="24"/>
        </w:rPr>
        <w:t>Abduh</w:t>
      </w:r>
      <w:proofErr w:type="spellEnd"/>
      <w:r w:rsidRPr="00282B1A">
        <w:rPr>
          <w:rFonts w:ascii="Times New Roman" w:hAnsi="Times New Roman" w:cs="Times New Roman"/>
          <w:sz w:val="24"/>
          <w:szCs w:val="24"/>
        </w:rPr>
        <w:t xml:space="preserve"> and Omar (2012), </w:t>
      </w:r>
      <w:proofErr w:type="spellStart"/>
      <w:r w:rsidRPr="00282B1A">
        <w:rPr>
          <w:rFonts w:ascii="Times New Roman" w:hAnsi="Times New Roman" w:cs="Times New Roman"/>
          <w:sz w:val="24"/>
          <w:szCs w:val="24"/>
        </w:rPr>
        <w:t>Tabash</w:t>
      </w:r>
      <w:proofErr w:type="spellEnd"/>
      <w:r w:rsidRPr="00282B1A">
        <w:rPr>
          <w:rFonts w:ascii="Times New Roman" w:hAnsi="Times New Roman" w:cs="Times New Roman"/>
          <w:sz w:val="24"/>
          <w:szCs w:val="24"/>
        </w:rPr>
        <w:t xml:space="preserve"> and </w:t>
      </w:r>
      <w:proofErr w:type="spellStart"/>
      <w:r w:rsidRPr="00282B1A">
        <w:rPr>
          <w:rFonts w:ascii="Times New Roman" w:hAnsi="Times New Roman" w:cs="Times New Roman"/>
          <w:sz w:val="24"/>
          <w:szCs w:val="24"/>
        </w:rPr>
        <w:t>Dhankar</w:t>
      </w:r>
      <w:proofErr w:type="spellEnd"/>
      <w:r w:rsidRPr="00282B1A">
        <w:rPr>
          <w:rFonts w:ascii="Times New Roman" w:hAnsi="Times New Roman" w:cs="Times New Roman"/>
          <w:sz w:val="24"/>
          <w:szCs w:val="24"/>
        </w:rPr>
        <w:t xml:space="preserve"> (2014a), and </w:t>
      </w:r>
      <w:proofErr w:type="spellStart"/>
      <w:r w:rsidRPr="00282B1A">
        <w:rPr>
          <w:rFonts w:ascii="Times New Roman" w:hAnsi="Times New Roman" w:cs="Times New Roman"/>
          <w:sz w:val="24"/>
          <w:szCs w:val="24"/>
        </w:rPr>
        <w:t>Tabash</w:t>
      </w:r>
      <w:proofErr w:type="spellEnd"/>
      <w:r w:rsidRPr="00282B1A">
        <w:rPr>
          <w:rFonts w:ascii="Times New Roman" w:hAnsi="Times New Roman" w:cs="Times New Roman"/>
          <w:sz w:val="24"/>
          <w:szCs w:val="24"/>
        </w:rPr>
        <w:t xml:space="preserve"> and </w:t>
      </w:r>
      <w:proofErr w:type="spellStart"/>
      <w:r w:rsidRPr="00282B1A">
        <w:rPr>
          <w:rFonts w:ascii="Times New Roman" w:hAnsi="Times New Roman" w:cs="Times New Roman"/>
          <w:sz w:val="24"/>
          <w:szCs w:val="24"/>
        </w:rPr>
        <w:t>Dhankar</w:t>
      </w:r>
      <w:proofErr w:type="spellEnd"/>
      <w:r w:rsidRPr="00282B1A">
        <w:rPr>
          <w:rFonts w:ascii="Times New Roman" w:hAnsi="Times New Roman" w:cs="Times New Roman"/>
          <w:sz w:val="24"/>
          <w:szCs w:val="24"/>
        </w:rPr>
        <w:t xml:space="preserve"> (2014c), also used this methodology and arrived at similar findings. Furthermore, researchers like </w:t>
      </w:r>
      <w:proofErr w:type="spellStart"/>
      <w:r w:rsidRPr="00282B1A">
        <w:rPr>
          <w:rFonts w:ascii="Times New Roman" w:hAnsi="Times New Roman" w:cs="Times New Roman"/>
          <w:sz w:val="24"/>
          <w:szCs w:val="24"/>
        </w:rPr>
        <w:t>Abduh</w:t>
      </w:r>
      <w:proofErr w:type="spellEnd"/>
      <w:r w:rsidRPr="00282B1A">
        <w:rPr>
          <w:rFonts w:ascii="Times New Roman" w:hAnsi="Times New Roman" w:cs="Times New Roman"/>
          <w:sz w:val="24"/>
          <w:szCs w:val="24"/>
        </w:rPr>
        <w:t xml:space="preserve"> and Chowdhury (2012), </w:t>
      </w:r>
      <w:proofErr w:type="spellStart"/>
      <w:r w:rsidRPr="00282B1A">
        <w:rPr>
          <w:rFonts w:ascii="Times New Roman" w:hAnsi="Times New Roman" w:cs="Times New Roman"/>
          <w:sz w:val="24"/>
          <w:szCs w:val="24"/>
        </w:rPr>
        <w:t>Yazdan</w:t>
      </w:r>
      <w:proofErr w:type="spellEnd"/>
      <w:r w:rsidRPr="00282B1A">
        <w:rPr>
          <w:rFonts w:ascii="Times New Roman" w:hAnsi="Times New Roman" w:cs="Times New Roman"/>
          <w:sz w:val="24"/>
          <w:szCs w:val="24"/>
        </w:rPr>
        <w:t xml:space="preserve"> and Dastan (2013), </w:t>
      </w:r>
      <w:proofErr w:type="spellStart"/>
      <w:r w:rsidRPr="00282B1A">
        <w:rPr>
          <w:rFonts w:ascii="Times New Roman" w:hAnsi="Times New Roman" w:cs="Times New Roman"/>
          <w:sz w:val="24"/>
          <w:szCs w:val="24"/>
        </w:rPr>
        <w:t>Tabash</w:t>
      </w:r>
      <w:proofErr w:type="spellEnd"/>
      <w:r w:rsidRPr="00282B1A">
        <w:rPr>
          <w:rFonts w:ascii="Times New Roman" w:hAnsi="Times New Roman" w:cs="Times New Roman"/>
          <w:sz w:val="24"/>
          <w:szCs w:val="24"/>
        </w:rPr>
        <w:t xml:space="preserve"> and </w:t>
      </w:r>
      <w:proofErr w:type="spellStart"/>
      <w:r w:rsidRPr="00282B1A">
        <w:rPr>
          <w:rFonts w:ascii="Times New Roman" w:hAnsi="Times New Roman" w:cs="Times New Roman"/>
          <w:sz w:val="24"/>
          <w:szCs w:val="24"/>
        </w:rPr>
        <w:t>Dhankar</w:t>
      </w:r>
      <w:proofErr w:type="spellEnd"/>
      <w:r w:rsidRPr="00282B1A">
        <w:rPr>
          <w:rFonts w:ascii="Times New Roman" w:hAnsi="Times New Roman" w:cs="Times New Roman"/>
          <w:sz w:val="24"/>
          <w:szCs w:val="24"/>
        </w:rPr>
        <w:t xml:space="preserve"> (2014b), </w:t>
      </w:r>
      <w:proofErr w:type="spellStart"/>
      <w:r w:rsidRPr="00282B1A">
        <w:rPr>
          <w:rFonts w:ascii="Times New Roman" w:hAnsi="Times New Roman" w:cs="Times New Roman"/>
          <w:sz w:val="24"/>
          <w:szCs w:val="24"/>
        </w:rPr>
        <w:t>Atici</w:t>
      </w:r>
      <w:proofErr w:type="spellEnd"/>
      <w:r w:rsidRPr="00282B1A">
        <w:rPr>
          <w:rFonts w:ascii="Times New Roman" w:hAnsi="Times New Roman" w:cs="Times New Roman"/>
          <w:sz w:val="24"/>
          <w:szCs w:val="24"/>
        </w:rPr>
        <w:t xml:space="preserve"> (2018), and Jawad and Christian (2019) confirmed the positive impact of Islamic banking on economic growth through ‘Granger Causality Analysis.’ In addition, studies by </w:t>
      </w:r>
      <w:proofErr w:type="spellStart"/>
      <w:r w:rsidRPr="00282B1A">
        <w:rPr>
          <w:rFonts w:ascii="Times New Roman" w:hAnsi="Times New Roman" w:cs="Times New Roman"/>
          <w:sz w:val="24"/>
          <w:szCs w:val="24"/>
        </w:rPr>
        <w:t>Kassim</w:t>
      </w:r>
      <w:proofErr w:type="spellEnd"/>
      <w:r w:rsidRPr="00282B1A">
        <w:rPr>
          <w:rFonts w:ascii="Times New Roman" w:hAnsi="Times New Roman" w:cs="Times New Roman"/>
          <w:sz w:val="24"/>
          <w:szCs w:val="24"/>
        </w:rPr>
        <w:t xml:space="preserve"> (2016), </w:t>
      </w:r>
      <w:proofErr w:type="spellStart"/>
      <w:r w:rsidRPr="00282B1A">
        <w:rPr>
          <w:rFonts w:ascii="Times New Roman" w:hAnsi="Times New Roman" w:cs="Times New Roman"/>
          <w:sz w:val="24"/>
          <w:szCs w:val="24"/>
        </w:rPr>
        <w:t>Yazdan</w:t>
      </w:r>
      <w:proofErr w:type="spellEnd"/>
      <w:r w:rsidRPr="00282B1A">
        <w:rPr>
          <w:rFonts w:ascii="Times New Roman" w:hAnsi="Times New Roman" w:cs="Times New Roman"/>
          <w:sz w:val="24"/>
          <w:szCs w:val="24"/>
        </w:rPr>
        <w:t xml:space="preserve"> and Sadr (2012), the Faculty of Entrepreneurship and Business at </w:t>
      </w:r>
      <w:proofErr w:type="spellStart"/>
      <w:r w:rsidRPr="00282B1A">
        <w:rPr>
          <w:rFonts w:ascii="Times New Roman" w:hAnsi="Times New Roman" w:cs="Times New Roman"/>
          <w:sz w:val="24"/>
          <w:szCs w:val="24"/>
        </w:rPr>
        <w:t>Universiti</w:t>
      </w:r>
      <w:proofErr w:type="spellEnd"/>
      <w:r w:rsidRPr="00282B1A">
        <w:rPr>
          <w:rFonts w:ascii="Times New Roman" w:hAnsi="Times New Roman" w:cs="Times New Roman"/>
          <w:sz w:val="24"/>
          <w:szCs w:val="24"/>
        </w:rPr>
        <w:t xml:space="preserve"> Malaysia Kelantan (2020), and M. Anwar et al. (2020) employed the ARDL test to establish a significant causal relationship between Islamic finance and economic growth. </w:t>
      </w:r>
      <w:proofErr w:type="spellStart"/>
      <w:r w:rsidRPr="00282B1A">
        <w:rPr>
          <w:rFonts w:ascii="Times New Roman" w:hAnsi="Times New Roman" w:cs="Times New Roman"/>
          <w:sz w:val="24"/>
          <w:szCs w:val="24"/>
        </w:rPr>
        <w:t>Sarwer</w:t>
      </w:r>
      <w:proofErr w:type="spellEnd"/>
      <w:r w:rsidRPr="00282B1A">
        <w:rPr>
          <w:rFonts w:ascii="Times New Roman" w:hAnsi="Times New Roman" w:cs="Times New Roman"/>
          <w:sz w:val="24"/>
          <w:szCs w:val="24"/>
        </w:rPr>
        <w:t xml:space="preserve"> et al. (2013), through a survey, also determined that Islamic banking is strongly and positively correlated with economic growth. Yusof and </w:t>
      </w:r>
      <w:proofErr w:type="spellStart"/>
      <w:r w:rsidRPr="00282B1A">
        <w:rPr>
          <w:rFonts w:ascii="Times New Roman" w:hAnsi="Times New Roman" w:cs="Times New Roman"/>
          <w:sz w:val="24"/>
          <w:szCs w:val="24"/>
        </w:rPr>
        <w:t>Bahlous</w:t>
      </w:r>
      <w:proofErr w:type="spellEnd"/>
      <w:r w:rsidRPr="00282B1A">
        <w:rPr>
          <w:rFonts w:ascii="Times New Roman" w:hAnsi="Times New Roman" w:cs="Times New Roman"/>
          <w:sz w:val="24"/>
          <w:szCs w:val="24"/>
        </w:rPr>
        <w:t xml:space="preserve"> (2013) showed that both long-term and short-term economic growth are supported by the Islamic banking sector. Further research by </w:t>
      </w:r>
      <w:proofErr w:type="spellStart"/>
      <w:r w:rsidRPr="00282B1A">
        <w:rPr>
          <w:rFonts w:ascii="Times New Roman" w:hAnsi="Times New Roman" w:cs="Times New Roman"/>
          <w:sz w:val="24"/>
          <w:szCs w:val="24"/>
        </w:rPr>
        <w:t>Gheeraert</w:t>
      </w:r>
      <w:proofErr w:type="spellEnd"/>
      <w:r w:rsidRPr="00282B1A">
        <w:rPr>
          <w:rFonts w:ascii="Times New Roman" w:hAnsi="Times New Roman" w:cs="Times New Roman"/>
          <w:sz w:val="24"/>
          <w:szCs w:val="24"/>
        </w:rPr>
        <w:t xml:space="preserve"> and Weill (2015), </w:t>
      </w:r>
      <w:proofErr w:type="spellStart"/>
      <w:r w:rsidRPr="00282B1A">
        <w:rPr>
          <w:rFonts w:ascii="Times New Roman" w:hAnsi="Times New Roman" w:cs="Times New Roman"/>
          <w:sz w:val="24"/>
          <w:szCs w:val="24"/>
        </w:rPr>
        <w:t>Abedifar</w:t>
      </w:r>
      <w:proofErr w:type="spellEnd"/>
      <w:r w:rsidRPr="00282B1A">
        <w:rPr>
          <w:rFonts w:ascii="Times New Roman" w:hAnsi="Times New Roman" w:cs="Times New Roman"/>
          <w:sz w:val="24"/>
          <w:szCs w:val="24"/>
        </w:rPr>
        <w:t xml:space="preserve"> et al. (2016), </w:t>
      </w:r>
      <w:proofErr w:type="spellStart"/>
      <w:r w:rsidRPr="00282B1A">
        <w:rPr>
          <w:rFonts w:ascii="Times New Roman" w:hAnsi="Times New Roman" w:cs="Times New Roman"/>
          <w:sz w:val="24"/>
          <w:szCs w:val="24"/>
        </w:rPr>
        <w:t>Tunay</w:t>
      </w:r>
      <w:proofErr w:type="spellEnd"/>
      <w:r w:rsidRPr="00282B1A">
        <w:rPr>
          <w:rFonts w:ascii="Times New Roman" w:hAnsi="Times New Roman" w:cs="Times New Roman"/>
          <w:sz w:val="24"/>
          <w:szCs w:val="24"/>
        </w:rPr>
        <w:t xml:space="preserve"> (2016), </w:t>
      </w:r>
      <w:proofErr w:type="spellStart"/>
      <w:r w:rsidRPr="00282B1A">
        <w:rPr>
          <w:rFonts w:ascii="Times New Roman" w:hAnsi="Times New Roman" w:cs="Times New Roman"/>
          <w:sz w:val="24"/>
          <w:szCs w:val="24"/>
        </w:rPr>
        <w:t>Boukhatem</w:t>
      </w:r>
      <w:proofErr w:type="spellEnd"/>
      <w:r w:rsidRPr="00282B1A">
        <w:rPr>
          <w:rFonts w:ascii="Times New Roman" w:hAnsi="Times New Roman" w:cs="Times New Roman"/>
          <w:sz w:val="24"/>
          <w:szCs w:val="24"/>
        </w:rPr>
        <w:t xml:space="preserve"> and Ben Moussa </w:t>
      </w:r>
      <w:r w:rsidRPr="00282B1A">
        <w:rPr>
          <w:rFonts w:ascii="Times New Roman" w:hAnsi="Times New Roman" w:cs="Times New Roman"/>
          <w:sz w:val="24"/>
          <w:szCs w:val="24"/>
        </w:rPr>
        <w:lastRenderedPageBreak/>
        <w:t xml:space="preserve">(2018), </w:t>
      </w:r>
      <w:proofErr w:type="spellStart"/>
      <w:r w:rsidRPr="00282B1A">
        <w:rPr>
          <w:rFonts w:ascii="Times New Roman" w:hAnsi="Times New Roman" w:cs="Times New Roman"/>
          <w:sz w:val="24"/>
          <w:szCs w:val="24"/>
        </w:rPr>
        <w:t>Osmanovica</w:t>
      </w:r>
      <w:proofErr w:type="spellEnd"/>
      <w:r w:rsidRPr="00282B1A">
        <w:rPr>
          <w:rFonts w:ascii="Times New Roman" w:hAnsi="Times New Roman" w:cs="Times New Roman"/>
          <w:sz w:val="24"/>
          <w:szCs w:val="24"/>
        </w:rPr>
        <w:t xml:space="preserve"> et al. (2020), and </w:t>
      </w:r>
      <w:proofErr w:type="spellStart"/>
      <w:r w:rsidRPr="00282B1A">
        <w:rPr>
          <w:rFonts w:ascii="Times New Roman" w:hAnsi="Times New Roman" w:cs="Times New Roman"/>
          <w:sz w:val="24"/>
          <w:szCs w:val="24"/>
        </w:rPr>
        <w:t>Bendriouch</w:t>
      </w:r>
      <w:proofErr w:type="spellEnd"/>
      <w:r w:rsidRPr="00282B1A">
        <w:rPr>
          <w:rFonts w:ascii="Times New Roman" w:hAnsi="Times New Roman" w:cs="Times New Roman"/>
          <w:sz w:val="24"/>
          <w:szCs w:val="24"/>
        </w:rPr>
        <w:t xml:space="preserve"> et al. (2020) reinforced the correlation between Islamic finance and economic growth. Additionally, </w:t>
      </w:r>
      <w:proofErr w:type="spellStart"/>
      <w:r w:rsidRPr="00282B1A">
        <w:rPr>
          <w:rFonts w:ascii="Times New Roman" w:hAnsi="Times New Roman" w:cs="Times New Roman"/>
          <w:sz w:val="24"/>
          <w:szCs w:val="24"/>
        </w:rPr>
        <w:t>Nasution</w:t>
      </w:r>
      <w:proofErr w:type="spellEnd"/>
      <w:r w:rsidRPr="00282B1A">
        <w:rPr>
          <w:rFonts w:ascii="Times New Roman" w:hAnsi="Times New Roman" w:cs="Times New Roman"/>
          <w:sz w:val="24"/>
          <w:szCs w:val="24"/>
        </w:rPr>
        <w:t xml:space="preserve"> et al. (2019) found that while CAR, NPF, FDR, and BOPO have a slightly negative direct effect on ROA, ROA itself has a positive and significant impact on economic growth.</w:t>
      </w:r>
      <w:r w:rsidRPr="00282B1A">
        <w:rPr>
          <w:rFonts w:ascii="Times New Roman" w:hAnsi="Times New Roman" w:cs="Times New Roman"/>
          <w:sz w:val="24"/>
          <w:szCs w:val="24"/>
        </w:rPr>
        <w:t xml:space="preserve"> </w:t>
      </w:r>
    </w:p>
    <w:p w14:paraId="113094E7" w14:textId="69AB0933" w:rsidR="00282B1A" w:rsidRPr="00282B1A" w:rsidRDefault="00282B1A" w:rsidP="005A30C7">
      <w:pPr>
        <w:tabs>
          <w:tab w:val="left" w:pos="3780"/>
        </w:tabs>
        <w:spacing w:line="360" w:lineRule="auto"/>
        <w:jc w:val="both"/>
        <w:rPr>
          <w:rFonts w:ascii="Times New Roman" w:hAnsi="Times New Roman" w:cs="Times New Roman"/>
          <w:sz w:val="24"/>
          <w:szCs w:val="24"/>
        </w:rPr>
      </w:pPr>
      <w:r w:rsidRPr="00282B1A">
        <w:rPr>
          <w:rFonts w:ascii="Times New Roman" w:hAnsi="Times New Roman" w:cs="Times New Roman"/>
          <w:sz w:val="24"/>
          <w:szCs w:val="24"/>
        </w:rPr>
        <w:t xml:space="preserve">Despite the body of research supporting a positive link between Islamic banking and economic growth, several studies have concluded that Islamic banking has little to no effect on economic growth. For example, Johnson (2013) analyzed 345 Islamic banks and, using regression analysis, found no significant connection between the Islamic banking system and economic growth. </w:t>
      </w:r>
      <w:proofErr w:type="spellStart"/>
      <w:r w:rsidRPr="00282B1A">
        <w:rPr>
          <w:rFonts w:ascii="Times New Roman" w:hAnsi="Times New Roman" w:cs="Times New Roman"/>
          <w:sz w:val="24"/>
          <w:szCs w:val="24"/>
        </w:rPr>
        <w:t>Lebdaoui</w:t>
      </w:r>
      <w:proofErr w:type="spellEnd"/>
      <w:r w:rsidRPr="00282B1A">
        <w:rPr>
          <w:rFonts w:ascii="Times New Roman" w:hAnsi="Times New Roman" w:cs="Times New Roman"/>
          <w:sz w:val="24"/>
          <w:szCs w:val="24"/>
        </w:rPr>
        <w:t xml:space="preserve"> and Wild (2016) reached a similar conclusion using the same methodology. Additionally, </w:t>
      </w:r>
      <w:proofErr w:type="spellStart"/>
      <w:r w:rsidRPr="00282B1A">
        <w:rPr>
          <w:rFonts w:ascii="Times New Roman" w:hAnsi="Times New Roman" w:cs="Times New Roman"/>
          <w:sz w:val="24"/>
          <w:szCs w:val="24"/>
        </w:rPr>
        <w:t>Tajgardoon</w:t>
      </w:r>
      <w:proofErr w:type="spellEnd"/>
      <w:r w:rsidRPr="00282B1A">
        <w:rPr>
          <w:rFonts w:ascii="Times New Roman" w:hAnsi="Times New Roman" w:cs="Times New Roman"/>
          <w:sz w:val="24"/>
          <w:szCs w:val="24"/>
        </w:rPr>
        <w:t xml:space="preserve"> et al. (2013) used a different approach and determined that Islamic banks do not contribute to long-term economic growth. Wahab et al. (2016) found that Islamic banking does not impact economic growth in Pakistan, a finding echoed by </w:t>
      </w:r>
      <w:proofErr w:type="spellStart"/>
      <w:r w:rsidRPr="00282B1A">
        <w:rPr>
          <w:rFonts w:ascii="Times New Roman" w:hAnsi="Times New Roman" w:cs="Times New Roman"/>
          <w:sz w:val="24"/>
          <w:szCs w:val="24"/>
        </w:rPr>
        <w:t>Hachicha</w:t>
      </w:r>
      <w:proofErr w:type="spellEnd"/>
      <w:r w:rsidRPr="00282B1A">
        <w:rPr>
          <w:rFonts w:ascii="Times New Roman" w:hAnsi="Times New Roman" w:cs="Times New Roman"/>
          <w:sz w:val="24"/>
          <w:szCs w:val="24"/>
        </w:rPr>
        <w:t xml:space="preserve"> and Amar (2015) for Malaysia. </w:t>
      </w:r>
      <w:proofErr w:type="spellStart"/>
      <w:r w:rsidRPr="00282B1A">
        <w:rPr>
          <w:rFonts w:ascii="Times New Roman" w:hAnsi="Times New Roman" w:cs="Times New Roman"/>
          <w:sz w:val="24"/>
          <w:szCs w:val="24"/>
        </w:rPr>
        <w:t>Yüksel</w:t>
      </w:r>
      <w:proofErr w:type="spellEnd"/>
      <w:r w:rsidRPr="00282B1A">
        <w:rPr>
          <w:rFonts w:ascii="Times New Roman" w:hAnsi="Times New Roman" w:cs="Times New Roman"/>
          <w:sz w:val="24"/>
          <w:szCs w:val="24"/>
        </w:rPr>
        <w:t xml:space="preserve"> and </w:t>
      </w:r>
      <w:proofErr w:type="spellStart"/>
      <w:r w:rsidRPr="00282B1A">
        <w:rPr>
          <w:rFonts w:ascii="Times New Roman" w:hAnsi="Times New Roman" w:cs="Times New Roman"/>
          <w:sz w:val="24"/>
          <w:szCs w:val="24"/>
        </w:rPr>
        <w:t>Canöz</w:t>
      </w:r>
      <w:proofErr w:type="spellEnd"/>
      <w:r w:rsidRPr="00282B1A">
        <w:rPr>
          <w:rFonts w:ascii="Times New Roman" w:hAnsi="Times New Roman" w:cs="Times New Roman"/>
          <w:sz w:val="24"/>
          <w:szCs w:val="24"/>
        </w:rPr>
        <w:t xml:space="preserve"> (2017) and </w:t>
      </w:r>
      <w:proofErr w:type="spellStart"/>
      <w:r w:rsidRPr="00282B1A">
        <w:rPr>
          <w:rFonts w:ascii="Times New Roman" w:hAnsi="Times New Roman" w:cs="Times New Roman"/>
          <w:sz w:val="24"/>
          <w:szCs w:val="24"/>
        </w:rPr>
        <w:t>Afandi</w:t>
      </w:r>
      <w:proofErr w:type="spellEnd"/>
      <w:r w:rsidRPr="00282B1A">
        <w:rPr>
          <w:rFonts w:ascii="Times New Roman" w:hAnsi="Times New Roman" w:cs="Times New Roman"/>
          <w:sz w:val="24"/>
          <w:szCs w:val="24"/>
        </w:rPr>
        <w:t xml:space="preserve"> and Amin (2019) also emphasized that Islamic bank financing does not influence economic growth. Lastly, </w:t>
      </w:r>
      <w:proofErr w:type="spellStart"/>
      <w:r w:rsidRPr="00282B1A">
        <w:rPr>
          <w:rFonts w:ascii="Times New Roman" w:hAnsi="Times New Roman" w:cs="Times New Roman"/>
          <w:sz w:val="24"/>
          <w:szCs w:val="24"/>
        </w:rPr>
        <w:t>Sekmen</w:t>
      </w:r>
      <w:proofErr w:type="spellEnd"/>
      <w:r w:rsidRPr="00282B1A">
        <w:rPr>
          <w:rFonts w:ascii="Times New Roman" w:hAnsi="Times New Roman" w:cs="Times New Roman"/>
          <w:sz w:val="24"/>
          <w:szCs w:val="24"/>
        </w:rPr>
        <w:t xml:space="preserve"> (2021) applied the ARDL method and found that the Islamic banking sector remains a small part of the financial system, suggesting its limited influence on economic growt</w:t>
      </w:r>
      <w:r w:rsidR="00030C06">
        <w:rPr>
          <w:rFonts w:ascii="Times New Roman" w:hAnsi="Times New Roman" w:cs="Times New Roman"/>
          <w:sz w:val="24"/>
          <w:szCs w:val="24"/>
        </w:rPr>
        <w:t>h.</w:t>
      </w:r>
    </w:p>
    <w:p w14:paraId="35C740D3" w14:textId="77777777" w:rsidR="00282B1A" w:rsidRPr="00282B1A" w:rsidRDefault="00282B1A" w:rsidP="00282B1A">
      <w:pPr>
        <w:spacing w:after="0" w:line="360" w:lineRule="auto"/>
        <w:jc w:val="both"/>
        <w:rPr>
          <w:rFonts w:ascii="Times New Roman" w:eastAsia="Times New Roman" w:hAnsi="Times New Roman" w:cs="Times New Roman"/>
          <w:sz w:val="24"/>
          <w:szCs w:val="24"/>
        </w:rPr>
      </w:pPr>
      <w:r w:rsidRPr="00282B1A">
        <w:rPr>
          <w:rFonts w:ascii="Times New Roman" w:eastAsia="Times New Roman" w:hAnsi="Times New Roman" w:cs="Times New Roman"/>
          <w:sz w:val="24"/>
          <w:szCs w:val="24"/>
        </w:rPr>
        <w:t>In line with the literature, the most appropriate empirical model and frequently used variables for the financial results of Islamic banks as well as the variables influencing economic growth were employed in this study. Furthermore, this study contributes to the understanding of the relationship between economic growth and the financial performances of Islamic banks in Bangladesh, which sets it apart from previous research. This makes the study special since it employs this methodology to look into the connection between the financial performance of Islamic banks and economic expansion. As a result, it's believed that the results were more trustworthy and precise.</w:t>
      </w:r>
    </w:p>
    <w:p w14:paraId="6F4F1AB2" w14:textId="77777777" w:rsidR="00DF6416" w:rsidRPr="00C04EA2" w:rsidRDefault="00DF6416" w:rsidP="005A30C7">
      <w:pPr>
        <w:tabs>
          <w:tab w:val="left" w:pos="3780"/>
        </w:tabs>
        <w:spacing w:line="360" w:lineRule="auto"/>
        <w:jc w:val="both"/>
        <w:rPr>
          <w:rFonts w:ascii="Times New Roman" w:hAnsi="Times New Roman" w:cs="Times New Roman"/>
          <w:b/>
          <w:sz w:val="24"/>
          <w:szCs w:val="24"/>
        </w:rPr>
      </w:pPr>
    </w:p>
    <w:p w14:paraId="7DDB1CE3" w14:textId="1EC7BA9F" w:rsidR="00956FBC" w:rsidRPr="00C04EA2" w:rsidRDefault="00C0445D" w:rsidP="005A30C7">
      <w:pPr>
        <w:tabs>
          <w:tab w:val="left" w:pos="3780"/>
        </w:tabs>
        <w:spacing w:line="360" w:lineRule="auto"/>
        <w:jc w:val="center"/>
        <w:rPr>
          <w:rFonts w:ascii="Times New Roman" w:hAnsi="Times New Roman" w:cs="Times New Roman"/>
          <w:sz w:val="24"/>
          <w:szCs w:val="24"/>
        </w:rPr>
      </w:pPr>
      <w:r w:rsidRPr="00C04EA2">
        <w:rPr>
          <w:rFonts w:ascii="Times New Roman" w:hAnsi="Times New Roman" w:cs="Times New Roman"/>
          <w:b/>
          <w:sz w:val="24"/>
          <w:szCs w:val="24"/>
        </w:rPr>
        <w:t>METHODOLOGY</w:t>
      </w:r>
    </w:p>
    <w:p w14:paraId="50F32755" w14:textId="476B63A9" w:rsidR="00153323" w:rsidRPr="00C04EA2" w:rsidRDefault="000A6849" w:rsidP="005A30C7">
      <w:pPr>
        <w:tabs>
          <w:tab w:val="left" w:pos="2652"/>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Samples</w:t>
      </w:r>
    </w:p>
    <w:p w14:paraId="1AF284BA" w14:textId="6F7ACCF3" w:rsidR="000A6849" w:rsidRPr="00C04EA2" w:rsidRDefault="00B17160" w:rsidP="005A30C7">
      <w:pPr>
        <w:tabs>
          <w:tab w:val="left" w:pos="2652"/>
        </w:tabs>
        <w:spacing w:after="0" w:line="360" w:lineRule="auto"/>
        <w:jc w:val="both"/>
        <w:rPr>
          <w:rFonts w:ascii="Times New Roman" w:hAnsi="Times New Roman" w:cs="Times New Roman"/>
          <w:sz w:val="24"/>
          <w:szCs w:val="24"/>
        </w:rPr>
      </w:pPr>
      <w:r w:rsidRPr="00B17160">
        <w:rPr>
          <w:rFonts w:ascii="Times New Roman" w:hAnsi="Times New Roman" w:cs="Times New Roman"/>
          <w:sz w:val="24"/>
          <w:szCs w:val="24"/>
        </w:rPr>
        <w:t xml:space="preserve">Bangladesh has a total of 61 scheduled banks, which are categorized into various types. Out of these, 43 are private commercial banks. These private commercial banks can be further divided into 33 conventional private commercial banks and 10 that operate based on Islamic Shariah principles. Additionally, the banking sector includes 6 state-owned commercial banks and 3 </w:t>
      </w:r>
      <w:r w:rsidRPr="00B17160">
        <w:rPr>
          <w:rFonts w:ascii="Times New Roman" w:hAnsi="Times New Roman" w:cs="Times New Roman"/>
          <w:sz w:val="24"/>
          <w:szCs w:val="24"/>
        </w:rPr>
        <w:lastRenderedPageBreak/>
        <w:t xml:space="preserve">specialized banks. There are also 9 foreign commercial banks that provide a full range of banking services in the country. All of these banks operate under the supervision and control of the central bank, Bangladesh Bank, which oversees the entire banking system. For the purpose of this study, a sample of five Islamic banks was selected using a convenient sampling </w:t>
      </w:r>
      <w:proofErr w:type="spellStart"/>
      <w:proofErr w:type="gramStart"/>
      <w:r w:rsidRPr="00B17160">
        <w:rPr>
          <w:rFonts w:ascii="Times New Roman" w:hAnsi="Times New Roman" w:cs="Times New Roman"/>
          <w:sz w:val="24"/>
          <w:szCs w:val="24"/>
        </w:rPr>
        <w:t>method.</w:t>
      </w:r>
      <w:r w:rsidR="000A6849" w:rsidRPr="00C04EA2">
        <w:rPr>
          <w:rFonts w:ascii="Times New Roman" w:hAnsi="Times New Roman" w:cs="Times New Roman"/>
          <w:sz w:val="24"/>
          <w:szCs w:val="24"/>
        </w:rPr>
        <w:t>These</w:t>
      </w:r>
      <w:proofErr w:type="spellEnd"/>
      <w:proofErr w:type="gramEnd"/>
      <w:r w:rsidR="000A6849" w:rsidRPr="00C04EA2">
        <w:rPr>
          <w:rFonts w:ascii="Times New Roman" w:hAnsi="Times New Roman" w:cs="Times New Roman"/>
          <w:sz w:val="24"/>
          <w:szCs w:val="24"/>
        </w:rPr>
        <w:t xml:space="preserve"> Islamic banks are following:</w:t>
      </w:r>
    </w:p>
    <w:p w14:paraId="59AFDA86" w14:textId="3186EBE3" w:rsidR="000A684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First Security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(FSIBL).</w:t>
      </w:r>
    </w:p>
    <w:p w14:paraId="0516CB3C" w14:textId="44E8E2FD"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of Bangladesh Limited (IBBL).</w:t>
      </w:r>
    </w:p>
    <w:p w14:paraId="3558EE3C" w14:textId="5BB7E42A"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Al-</w:t>
      </w:r>
      <w:proofErr w:type="spellStart"/>
      <w:r w:rsidRPr="00C04EA2">
        <w:rPr>
          <w:rFonts w:ascii="Times New Roman" w:hAnsi="Times New Roman" w:cs="Times New Roman"/>
          <w:sz w:val="24"/>
          <w:szCs w:val="24"/>
        </w:rPr>
        <w:t>Arafah</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w:t>
      </w:r>
      <w:r w:rsidR="00AC6C23" w:rsidRPr="00C04EA2">
        <w:rPr>
          <w:rFonts w:ascii="Times New Roman" w:hAnsi="Times New Roman" w:cs="Times New Roman"/>
          <w:sz w:val="24"/>
          <w:szCs w:val="24"/>
        </w:rPr>
        <w:t xml:space="preserve"> Limited</w:t>
      </w:r>
      <w:r w:rsidRPr="00C04EA2">
        <w:rPr>
          <w:rFonts w:ascii="Times New Roman" w:hAnsi="Times New Roman" w:cs="Times New Roman"/>
          <w:sz w:val="24"/>
          <w:szCs w:val="24"/>
        </w:rPr>
        <w:t xml:space="preserve"> (AIB</w:t>
      </w:r>
      <w:r w:rsidR="00AC6C23" w:rsidRPr="00C04EA2">
        <w:rPr>
          <w:rFonts w:ascii="Times New Roman" w:hAnsi="Times New Roman" w:cs="Times New Roman"/>
          <w:sz w:val="24"/>
          <w:szCs w:val="24"/>
        </w:rPr>
        <w:t>L</w:t>
      </w:r>
      <w:r w:rsidRPr="00C04EA2">
        <w:rPr>
          <w:rFonts w:ascii="Times New Roman" w:hAnsi="Times New Roman" w:cs="Times New Roman"/>
          <w:sz w:val="24"/>
          <w:szCs w:val="24"/>
        </w:rPr>
        <w:t>).</w:t>
      </w:r>
    </w:p>
    <w:p w14:paraId="08DDA43F" w14:textId="0A3A6A41"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Shajalal</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(SJIBL).</w:t>
      </w:r>
    </w:p>
    <w:p w14:paraId="7E0AFC60" w14:textId="64D33628"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Social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(SIBL).</w:t>
      </w:r>
    </w:p>
    <w:p w14:paraId="39E31EA3" w14:textId="77777777" w:rsidR="00956FBC" w:rsidRPr="00C04EA2" w:rsidRDefault="006964C4"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A vast majority population of Bangladesh are </w:t>
      </w:r>
      <w:r w:rsidR="00085520" w:rsidRPr="00C04EA2">
        <w:rPr>
          <w:rFonts w:ascii="Times New Roman" w:hAnsi="Times New Roman" w:cs="Times New Roman"/>
          <w:sz w:val="24"/>
          <w:szCs w:val="24"/>
        </w:rPr>
        <w:t>Muslim</w:t>
      </w:r>
      <w:r w:rsidRPr="00C04EA2">
        <w:rPr>
          <w:rFonts w:ascii="Times New Roman" w:hAnsi="Times New Roman" w:cs="Times New Roman"/>
          <w:sz w:val="24"/>
          <w:szCs w:val="24"/>
        </w:rPr>
        <w:t xml:space="preserve">. Most of them, prefer to </w:t>
      </w:r>
      <w:proofErr w:type="spellStart"/>
      <w:r w:rsidR="00C0445D" w:rsidRPr="00C04EA2">
        <w:rPr>
          <w:rFonts w:ascii="Times New Roman" w:hAnsi="Times New Roman" w:cs="Times New Roman"/>
          <w:sz w:val="24"/>
          <w:szCs w:val="24"/>
        </w:rPr>
        <w:t>S</w:t>
      </w:r>
      <w:r w:rsidRPr="00C04EA2">
        <w:rPr>
          <w:rFonts w:ascii="Times New Roman" w:hAnsi="Times New Roman" w:cs="Times New Roman"/>
          <w:sz w:val="24"/>
          <w:szCs w:val="24"/>
        </w:rPr>
        <w:t>haria</w:t>
      </w:r>
      <w:r w:rsidR="00C0445D" w:rsidRPr="00C04EA2">
        <w:rPr>
          <w:rFonts w:ascii="Times New Roman" w:hAnsi="Times New Roman" w:cs="Times New Roman"/>
          <w:sz w:val="24"/>
          <w:szCs w:val="24"/>
        </w:rPr>
        <w:t>’</w:t>
      </w:r>
      <w:r w:rsidRPr="00C04EA2">
        <w:rPr>
          <w:rFonts w:ascii="Times New Roman" w:hAnsi="Times New Roman" w:cs="Times New Roman"/>
          <w:sz w:val="24"/>
          <w:szCs w:val="24"/>
        </w:rPr>
        <w:t>h</w:t>
      </w:r>
      <w:proofErr w:type="spellEnd"/>
      <w:r w:rsidRPr="00C04EA2">
        <w:rPr>
          <w:rFonts w:ascii="Times New Roman" w:hAnsi="Times New Roman" w:cs="Times New Roman"/>
          <w:sz w:val="24"/>
          <w:szCs w:val="24"/>
        </w:rPr>
        <w:t xml:space="preserve"> based</w:t>
      </w:r>
      <w:r w:rsidR="00AD4406" w:rsidRPr="00C04EA2">
        <w:rPr>
          <w:rFonts w:ascii="Times New Roman" w:hAnsi="Times New Roman" w:cs="Times New Roman"/>
          <w:sz w:val="24"/>
          <w:szCs w:val="24"/>
        </w:rPr>
        <w:t xml:space="preserve"> principles </w:t>
      </w:r>
      <w:r w:rsidR="00F31C27" w:rsidRPr="00C04EA2">
        <w:rPr>
          <w:rFonts w:ascii="Times New Roman" w:hAnsi="Times New Roman" w:cs="Times New Roman"/>
          <w:sz w:val="24"/>
          <w:szCs w:val="24"/>
        </w:rPr>
        <w:t>in</w:t>
      </w:r>
      <w:r w:rsidRPr="00C04EA2">
        <w:rPr>
          <w:rFonts w:ascii="Times New Roman" w:hAnsi="Times New Roman" w:cs="Times New Roman"/>
          <w:sz w:val="24"/>
          <w:szCs w:val="24"/>
        </w:rPr>
        <w:t xml:space="preserve"> banking system rather than </w:t>
      </w:r>
      <w:r w:rsidR="00AD4406" w:rsidRPr="00C04EA2">
        <w:rPr>
          <w:rFonts w:ascii="Times New Roman" w:hAnsi="Times New Roman" w:cs="Times New Roman"/>
          <w:sz w:val="24"/>
          <w:szCs w:val="24"/>
        </w:rPr>
        <w:t>interest-based principles.</w:t>
      </w:r>
      <w:r w:rsidRPr="00C04EA2">
        <w:rPr>
          <w:rFonts w:ascii="Times New Roman" w:hAnsi="Times New Roman" w:cs="Times New Roman"/>
          <w:sz w:val="24"/>
          <w:szCs w:val="24"/>
        </w:rPr>
        <w:t xml:space="preserve"> </w:t>
      </w:r>
      <w:r w:rsidR="00AD4406" w:rsidRPr="00C04EA2">
        <w:rPr>
          <w:rFonts w:ascii="Times New Roman" w:hAnsi="Times New Roman" w:cs="Times New Roman"/>
          <w:sz w:val="24"/>
          <w:szCs w:val="24"/>
        </w:rPr>
        <w:t>This preference rate is increasing over time. The randomly selected Islamic banks or sample banks are private, which provide a lion share services of the banking sector of Bangladesh.</w:t>
      </w:r>
    </w:p>
    <w:p w14:paraId="1F38CC74" w14:textId="591B2AE1" w:rsidR="00C3612D" w:rsidRPr="00C04EA2" w:rsidRDefault="00085520" w:rsidP="005A30C7">
      <w:pPr>
        <w:tabs>
          <w:tab w:val="left" w:pos="2652"/>
        </w:tabs>
        <w:spacing w:after="0" w:line="360" w:lineRule="auto"/>
        <w:jc w:val="both"/>
        <w:rPr>
          <w:rFonts w:ascii="Times New Roman" w:hAnsi="Times New Roman" w:cs="Times New Roman"/>
          <w:sz w:val="24"/>
          <w:szCs w:val="24"/>
        </w:rPr>
      </w:pPr>
      <w:r w:rsidRPr="00C04EA2">
        <w:rPr>
          <w:rFonts w:ascii="Times New Roman" w:hAnsi="Times New Roman" w:cs="Times New Roman"/>
          <w:b/>
          <w:sz w:val="24"/>
          <w:szCs w:val="24"/>
        </w:rPr>
        <w:t>Variable</w:t>
      </w:r>
      <w:r w:rsidR="00C3612D" w:rsidRPr="00C04EA2">
        <w:rPr>
          <w:rFonts w:ascii="Times New Roman" w:hAnsi="Times New Roman" w:cs="Times New Roman"/>
          <w:b/>
          <w:sz w:val="24"/>
          <w:szCs w:val="24"/>
        </w:rPr>
        <w:t>s</w:t>
      </w:r>
    </w:p>
    <w:p w14:paraId="6C66FA27" w14:textId="78B5E3BB" w:rsidR="00A5012A" w:rsidRPr="00C04EA2" w:rsidRDefault="00C3612D" w:rsidP="00AB0204">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In this study, GDP is considered as the dependent variable. Whereas, </w:t>
      </w:r>
      <w:r w:rsidR="009921FF" w:rsidRPr="00C04EA2">
        <w:rPr>
          <w:rFonts w:ascii="Times New Roman" w:hAnsi="Times New Roman" w:cs="Times New Roman"/>
          <w:sz w:val="24"/>
          <w:szCs w:val="24"/>
        </w:rPr>
        <w:t>P</w:t>
      </w:r>
      <w:r w:rsidR="00BD7CCE" w:rsidRPr="00C04EA2">
        <w:rPr>
          <w:rFonts w:ascii="Times New Roman" w:hAnsi="Times New Roman" w:cs="Times New Roman"/>
          <w:sz w:val="24"/>
          <w:szCs w:val="24"/>
        </w:rPr>
        <w:t>rofitability (P),</w:t>
      </w:r>
      <w:r w:rsidR="00796CF5" w:rsidRPr="00C04EA2">
        <w:rPr>
          <w:rFonts w:ascii="Times New Roman" w:hAnsi="Times New Roman" w:cs="Times New Roman"/>
          <w:sz w:val="24"/>
          <w:szCs w:val="24"/>
        </w:rPr>
        <w:t xml:space="preserve"> Credit Risk Performance, Managerial Efficiency, Management Ability</w:t>
      </w:r>
      <w:r w:rsidR="00BD7CCE" w:rsidRPr="00C04EA2">
        <w:rPr>
          <w:rFonts w:ascii="Times New Roman" w:hAnsi="Times New Roman" w:cs="Times New Roman"/>
          <w:sz w:val="24"/>
          <w:szCs w:val="24"/>
        </w:rPr>
        <w:t>, which are the study's independent variables, are all measured using various financial ratios.</w:t>
      </w:r>
      <w:r w:rsidR="00AB0204">
        <w:rPr>
          <w:rFonts w:ascii="Times New Roman" w:hAnsi="Times New Roman" w:cs="Times New Roman"/>
          <w:sz w:val="24"/>
          <w:szCs w:val="24"/>
        </w:rPr>
        <w:t xml:space="preserve"> </w:t>
      </w:r>
      <w:r w:rsidR="00A5012A" w:rsidRPr="00C04EA2">
        <w:rPr>
          <w:rFonts w:ascii="Times New Roman" w:hAnsi="Times New Roman" w:cs="Times New Roman"/>
          <w:sz w:val="24"/>
          <w:szCs w:val="24"/>
        </w:rPr>
        <w:t xml:space="preserve">Here, profit ratio consists of Return on Assets (ROA), Return on Equity (ROE) and Earning </w:t>
      </w:r>
      <w:r w:rsidR="00CA359B" w:rsidRPr="00C04EA2">
        <w:rPr>
          <w:rFonts w:ascii="Times New Roman" w:hAnsi="Times New Roman" w:cs="Times New Roman"/>
          <w:sz w:val="24"/>
          <w:szCs w:val="24"/>
        </w:rPr>
        <w:t>P</w:t>
      </w:r>
      <w:r w:rsidR="00A5012A" w:rsidRPr="00C04EA2">
        <w:rPr>
          <w:rFonts w:ascii="Times New Roman" w:hAnsi="Times New Roman" w:cs="Times New Roman"/>
          <w:sz w:val="24"/>
          <w:szCs w:val="24"/>
        </w:rPr>
        <w:t>er Share</w:t>
      </w:r>
      <w:r w:rsidR="00CA359B" w:rsidRPr="00C04EA2">
        <w:rPr>
          <w:rFonts w:ascii="Times New Roman" w:hAnsi="Times New Roman" w:cs="Times New Roman"/>
          <w:sz w:val="24"/>
          <w:szCs w:val="24"/>
        </w:rPr>
        <w:t xml:space="preserve"> (EPS</w:t>
      </w:r>
      <w:r w:rsidR="00A5012A" w:rsidRPr="00C04EA2">
        <w:rPr>
          <w:rFonts w:ascii="Times New Roman" w:hAnsi="Times New Roman" w:cs="Times New Roman"/>
          <w:sz w:val="24"/>
          <w:szCs w:val="24"/>
        </w:rPr>
        <w:t>). Besides,</w:t>
      </w:r>
      <w:r w:rsidR="00796CF5" w:rsidRPr="00C04EA2">
        <w:rPr>
          <w:rFonts w:ascii="Times New Roman" w:hAnsi="Times New Roman" w:cs="Times New Roman"/>
          <w:sz w:val="24"/>
          <w:szCs w:val="24"/>
        </w:rPr>
        <w:t xml:space="preserve"> Credit Risk Performance</w:t>
      </w:r>
      <w:r w:rsidR="00A5012A" w:rsidRPr="00C04EA2">
        <w:rPr>
          <w:rFonts w:ascii="Times New Roman" w:hAnsi="Times New Roman" w:cs="Times New Roman"/>
          <w:sz w:val="24"/>
          <w:szCs w:val="24"/>
        </w:rPr>
        <w:t xml:space="preserve"> includes </w:t>
      </w:r>
      <w:r w:rsidR="00796CF5" w:rsidRPr="00C04EA2">
        <w:rPr>
          <w:rFonts w:ascii="Times New Roman" w:hAnsi="Times New Roman" w:cs="Times New Roman"/>
          <w:sz w:val="24"/>
          <w:szCs w:val="24"/>
        </w:rPr>
        <w:t>Equity to Total Assets (ETA), Capital adequacy Ratio (CAR). On the other hand, Managerial Efficiency and Management Ability include Income Expense Ratio (IER) and Asset Utiliza</w:t>
      </w:r>
      <w:r w:rsidR="00CA359B" w:rsidRPr="00C04EA2">
        <w:rPr>
          <w:rFonts w:ascii="Times New Roman" w:hAnsi="Times New Roman" w:cs="Times New Roman"/>
          <w:sz w:val="24"/>
          <w:szCs w:val="24"/>
        </w:rPr>
        <w:t>tion (AU), respectively.</w:t>
      </w:r>
    </w:p>
    <w:p w14:paraId="5A686529" w14:textId="77AD380D" w:rsidR="00D90551" w:rsidRPr="00C04EA2" w:rsidRDefault="00D90551" w:rsidP="005A30C7">
      <w:pPr>
        <w:tabs>
          <w:tab w:val="left" w:pos="2652"/>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The model</w:t>
      </w:r>
    </w:p>
    <w:p w14:paraId="2580FC4A" w14:textId="70631E45" w:rsidR="00294F41" w:rsidRDefault="00D90551" w:rsidP="005A30C7">
      <w:pPr>
        <w:tabs>
          <w:tab w:val="left" w:pos="2652"/>
        </w:tabs>
        <w:spacing w:after="0" w:line="360" w:lineRule="auto"/>
        <w:jc w:val="both"/>
        <w:rPr>
          <w:rFonts w:ascii="Times New Roman" w:hAnsi="Times New Roman" w:cs="Times New Roman"/>
          <w:sz w:val="24"/>
          <w:szCs w:val="24"/>
        </w:rPr>
      </w:pPr>
      <w:r w:rsidRPr="00C04EA2">
        <w:rPr>
          <w:rFonts w:ascii="Times New Roman" w:hAnsi="Times New Roman" w:cs="Times New Roman"/>
          <w:sz w:val="24"/>
          <w:szCs w:val="24"/>
        </w:rPr>
        <w:t>For the period of 20</w:t>
      </w:r>
      <w:r w:rsidR="006061D5" w:rsidRPr="00C04EA2">
        <w:rPr>
          <w:rFonts w:ascii="Times New Roman" w:hAnsi="Times New Roman" w:cs="Times New Roman"/>
          <w:sz w:val="24"/>
          <w:szCs w:val="24"/>
        </w:rPr>
        <w:t>10</w:t>
      </w:r>
      <w:r w:rsidRPr="00C04EA2">
        <w:rPr>
          <w:rFonts w:ascii="Times New Roman" w:hAnsi="Times New Roman" w:cs="Times New Roman"/>
          <w:sz w:val="24"/>
          <w:szCs w:val="24"/>
        </w:rPr>
        <w:t xml:space="preserve"> to 20</w:t>
      </w:r>
      <w:r w:rsidR="00CA359B" w:rsidRPr="00C04EA2">
        <w:rPr>
          <w:rFonts w:ascii="Times New Roman" w:hAnsi="Times New Roman" w:cs="Times New Roman"/>
          <w:sz w:val="24"/>
          <w:szCs w:val="24"/>
        </w:rPr>
        <w:t>19</w:t>
      </w:r>
      <w:r w:rsidRPr="00C04EA2">
        <w:rPr>
          <w:rFonts w:ascii="Times New Roman" w:hAnsi="Times New Roman" w:cs="Times New Roman"/>
          <w:sz w:val="24"/>
          <w:szCs w:val="24"/>
        </w:rPr>
        <w:t xml:space="preserve">, the model's estimated economic growth in the panel. By analyzing the results, we are able to identify factors that are directly related to the state of the economy, such as the adoption by Islamic banks by utilizing the study of </w:t>
      </w:r>
      <w:proofErr w:type="spellStart"/>
      <w:r w:rsidRPr="00C04EA2">
        <w:rPr>
          <w:rFonts w:ascii="Times New Roman" w:hAnsi="Times New Roman" w:cs="Times New Roman"/>
          <w:sz w:val="24"/>
          <w:szCs w:val="24"/>
        </w:rPr>
        <w:t>Demirgüc-Kunt</w:t>
      </w:r>
      <w:proofErr w:type="spellEnd"/>
      <w:r w:rsidRPr="00C04EA2">
        <w:rPr>
          <w:rFonts w:ascii="Times New Roman" w:hAnsi="Times New Roman" w:cs="Times New Roman"/>
          <w:sz w:val="24"/>
          <w:szCs w:val="24"/>
        </w:rPr>
        <w:t xml:space="preserve"> (2013). The issue of selecting the explanatory variable was resolved after a thorough examination of the various ratios and the various connections that could exist between them.</w:t>
      </w:r>
    </w:p>
    <w:p w14:paraId="258D25E5" w14:textId="58C7F3FF" w:rsidR="00AB0204" w:rsidRPr="00C04EA2" w:rsidRDefault="00AB0204" w:rsidP="005A30C7">
      <w:pPr>
        <w:tabs>
          <w:tab w:val="left" w:pos="265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The econometric model is following:</w:t>
      </w:r>
    </w:p>
    <w:p w14:paraId="3ABEB424" w14:textId="5A0B5653" w:rsidR="00A5012A" w:rsidRPr="00C04EA2" w:rsidRDefault="00294F41" w:rsidP="00AB0204">
      <w:pPr>
        <w:tabs>
          <w:tab w:val="left" w:pos="2652"/>
        </w:tabs>
        <w:spacing w:line="360" w:lineRule="auto"/>
        <w:jc w:val="center"/>
        <w:rPr>
          <w:rFonts w:ascii="Times New Roman" w:hAnsi="Times New Roman" w:cs="Times New Roman"/>
          <w:sz w:val="24"/>
          <w:szCs w:val="24"/>
        </w:rPr>
      </w:pPr>
      <w:proofErr w:type="spellStart"/>
      <w:r w:rsidRPr="00C04EA2">
        <w:rPr>
          <w:rFonts w:ascii="Times New Roman" w:hAnsi="Times New Roman" w:cs="Times New Roman"/>
          <w:sz w:val="24"/>
          <w:szCs w:val="24"/>
        </w:rPr>
        <w:t>Y</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=α</w:t>
      </w:r>
      <w:proofErr w:type="spellStart"/>
      <w:r w:rsidRPr="00C04EA2">
        <w:rPr>
          <w:rFonts w:ascii="Times New Roman" w:hAnsi="Times New Roman" w:cs="Times New Roman"/>
          <w:sz w:val="24"/>
          <w:szCs w:val="24"/>
          <w:vertAlign w:val="subscript"/>
        </w:rPr>
        <w:t>i</w:t>
      </w:r>
      <w:proofErr w:type="spellEnd"/>
      <w:r w:rsidRPr="00C04EA2">
        <w:rPr>
          <w:rFonts w:ascii="Times New Roman" w:hAnsi="Times New Roman" w:cs="Times New Roman"/>
          <w:sz w:val="24"/>
          <w:szCs w:val="24"/>
        </w:rPr>
        <w:t xml:space="preserve"> + β</w:t>
      </w:r>
      <w:proofErr w:type="spellStart"/>
      <w:r w:rsidRPr="00C04EA2">
        <w:rPr>
          <w:rFonts w:ascii="Times New Roman" w:hAnsi="Times New Roman" w:cs="Times New Roman"/>
          <w:sz w:val="24"/>
          <w:szCs w:val="24"/>
          <w:vertAlign w:val="subscript"/>
        </w:rPr>
        <w:t>it</w:t>
      </w:r>
      <w:r w:rsidRPr="00C04EA2">
        <w:rPr>
          <w:rFonts w:ascii="Times New Roman" w:hAnsi="Times New Roman" w:cs="Times New Roman"/>
          <w:sz w:val="24"/>
          <w:szCs w:val="24"/>
        </w:rPr>
        <w:t>ROA</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 </w:t>
      </w:r>
      <w:proofErr w:type="spellStart"/>
      <w:r w:rsidRPr="00C04EA2">
        <w:rPr>
          <w:rFonts w:ascii="Times New Roman" w:hAnsi="Times New Roman" w:cs="Times New Roman"/>
          <w:sz w:val="24"/>
          <w:szCs w:val="24"/>
        </w:rPr>
        <w:t>χ</w:t>
      </w:r>
      <w:r w:rsidRPr="00C04EA2">
        <w:rPr>
          <w:rFonts w:ascii="Times New Roman" w:hAnsi="Times New Roman" w:cs="Times New Roman"/>
          <w:sz w:val="24"/>
          <w:szCs w:val="24"/>
          <w:vertAlign w:val="subscript"/>
        </w:rPr>
        <w:t>it</w:t>
      </w:r>
      <w:r w:rsidRPr="00C04EA2">
        <w:rPr>
          <w:rFonts w:ascii="Times New Roman" w:hAnsi="Times New Roman" w:cs="Times New Roman"/>
          <w:sz w:val="24"/>
          <w:szCs w:val="24"/>
        </w:rPr>
        <w:t>ROE</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vertAlign w:val="subscript"/>
        </w:rPr>
        <w:t xml:space="preserve"> </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δ</w:t>
      </w:r>
      <w:r w:rsidRPr="00C04EA2">
        <w:rPr>
          <w:rFonts w:ascii="Times New Roman" w:hAnsi="Times New Roman" w:cs="Times New Roman"/>
          <w:sz w:val="24"/>
          <w:szCs w:val="24"/>
          <w:vertAlign w:val="subscript"/>
        </w:rPr>
        <w:t>it</w:t>
      </w:r>
      <w:r w:rsidRPr="00C04EA2">
        <w:rPr>
          <w:rFonts w:ascii="Times New Roman" w:hAnsi="Times New Roman" w:cs="Times New Roman"/>
          <w:sz w:val="24"/>
          <w:szCs w:val="24"/>
        </w:rPr>
        <w:t>EPS</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 </w:t>
      </w:r>
      <w:proofErr w:type="spellStart"/>
      <w:r w:rsidRPr="00C04EA2">
        <w:rPr>
          <w:rFonts w:ascii="Times New Roman" w:hAnsi="Times New Roman" w:cs="Times New Roman"/>
          <w:sz w:val="24"/>
          <w:szCs w:val="24"/>
        </w:rPr>
        <w:t>φ</w:t>
      </w:r>
      <w:r w:rsidRPr="00C04EA2">
        <w:rPr>
          <w:rFonts w:ascii="Times New Roman" w:hAnsi="Times New Roman" w:cs="Times New Roman"/>
          <w:sz w:val="24"/>
          <w:szCs w:val="24"/>
          <w:vertAlign w:val="subscript"/>
        </w:rPr>
        <w:t>it</w:t>
      </w:r>
      <w:r w:rsidR="00CA359B" w:rsidRPr="00C04EA2">
        <w:rPr>
          <w:rFonts w:ascii="Times New Roman" w:hAnsi="Times New Roman" w:cs="Times New Roman"/>
          <w:sz w:val="24"/>
          <w:szCs w:val="24"/>
        </w:rPr>
        <w:t>ETA</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 </w:t>
      </w:r>
      <w:proofErr w:type="spellStart"/>
      <w:r w:rsidRPr="00C04EA2">
        <w:rPr>
          <w:rFonts w:ascii="Times New Roman" w:hAnsi="Times New Roman" w:cs="Times New Roman"/>
          <w:sz w:val="24"/>
          <w:szCs w:val="24"/>
        </w:rPr>
        <w:t>η</w:t>
      </w:r>
      <w:r w:rsidRPr="00C04EA2">
        <w:rPr>
          <w:rFonts w:ascii="Times New Roman" w:hAnsi="Times New Roman" w:cs="Times New Roman"/>
          <w:sz w:val="24"/>
          <w:szCs w:val="24"/>
          <w:vertAlign w:val="subscript"/>
        </w:rPr>
        <w:t>it</w:t>
      </w:r>
      <w:r w:rsidR="00CA359B" w:rsidRPr="00C04EA2">
        <w:rPr>
          <w:rFonts w:ascii="Times New Roman" w:hAnsi="Times New Roman" w:cs="Times New Roman"/>
          <w:sz w:val="24"/>
          <w:szCs w:val="24"/>
        </w:rPr>
        <w:t>CAR</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 </w:t>
      </w:r>
      <w:proofErr w:type="spellStart"/>
      <w:r w:rsidRPr="00C04EA2">
        <w:rPr>
          <w:rFonts w:ascii="Times New Roman" w:hAnsi="Times New Roman" w:cs="Times New Roman"/>
          <w:sz w:val="24"/>
          <w:szCs w:val="24"/>
        </w:rPr>
        <w:t>θ</w:t>
      </w:r>
      <w:r w:rsidRPr="00C04EA2">
        <w:rPr>
          <w:rFonts w:ascii="Times New Roman" w:hAnsi="Times New Roman" w:cs="Times New Roman"/>
          <w:sz w:val="24"/>
          <w:szCs w:val="24"/>
          <w:vertAlign w:val="subscript"/>
        </w:rPr>
        <w:t>it</w:t>
      </w:r>
      <w:r w:rsidR="00401AEF" w:rsidRPr="00C04EA2">
        <w:rPr>
          <w:rFonts w:ascii="Times New Roman" w:hAnsi="Times New Roman" w:cs="Times New Roman"/>
          <w:sz w:val="24"/>
          <w:szCs w:val="24"/>
        </w:rPr>
        <w:t>IER</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 </w:t>
      </w:r>
      <w:proofErr w:type="spellStart"/>
      <w:r w:rsidRPr="00C04EA2">
        <w:rPr>
          <w:rFonts w:ascii="Times New Roman" w:hAnsi="Times New Roman" w:cs="Times New Roman"/>
          <w:sz w:val="24"/>
          <w:szCs w:val="24"/>
        </w:rPr>
        <w:t>γ</w:t>
      </w:r>
      <w:r w:rsidRPr="00C04EA2">
        <w:rPr>
          <w:rFonts w:ascii="Times New Roman" w:hAnsi="Times New Roman" w:cs="Times New Roman"/>
          <w:sz w:val="24"/>
          <w:szCs w:val="24"/>
          <w:vertAlign w:val="subscript"/>
        </w:rPr>
        <w:t>it</w:t>
      </w:r>
      <w:r w:rsidR="00401AEF" w:rsidRPr="00C04EA2">
        <w:rPr>
          <w:rFonts w:ascii="Times New Roman" w:hAnsi="Times New Roman" w:cs="Times New Roman"/>
          <w:sz w:val="24"/>
          <w:szCs w:val="24"/>
        </w:rPr>
        <w:t>AU</w:t>
      </w:r>
      <w:r w:rsidR="00DB045B" w:rsidRPr="00C04EA2">
        <w:rPr>
          <w:rFonts w:ascii="Times New Roman" w:hAnsi="Times New Roman" w:cs="Times New Roman"/>
          <w:sz w:val="24"/>
          <w:szCs w:val="24"/>
          <w:vertAlign w:val="subscript"/>
        </w:rPr>
        <w:t>it</w:t>
      </w:r>
      <w:proofErr w:type="spellEnd"/>
      <w:r w:rsidR="00DB045B" w:rsidRPr="00C04EA2">
        <w:rPr>
          <w:rFonts w:ascii="Times New Roman" w:hAnsi="Times New Roman" w:cs="Times New Roman"/>
          <w:sz w:val="24"/>
          <w:szCs w:val="24"/>
        </w:rPr>
        <w:t xml:space="preserve"> + </w:t>
      </w:r>
      <w:proofErr w:type="spellStart"/>
      <w:r w:rsidR="00DB045B" w:rsidRPr="00C04EA2">
        <w:rPr>
          <w:rFonts w:ascii="Times New Roman" w:hAnsi="Times New Roman" w:cs="Times New Roman"/>
          <w:sz w:val="24"/>
          <w:szCs w:val="24"/>
        </w:rPr>
        <w:t>ε</w:t>
      </w:r>
      <w:r w:rsidR="00DB045B" w:rsidRPr="00C04EA2">
        <w:rPr>
          <w:rFonts w:ascii="Times New Roman" w:hAnsi="Times New Roman" w:cs="Times New Roman"/>
          <w:sz w:val="24"/>
          <w:szCs w:val="24"/>
          <w:vertAlign w:val="subscript"/>
        </w:rPr>
        <w:t>it</w:t>
      </w:r>
      <w:proofErr w:type="spellEnd"/>
    </w:p>
    <w:p w14:paraId="45FA8A81" w14:textId="77777777" w:rsidR="004A1513" w:rsidRDefault="00535656" w:rsidP="00017561">
      <w:pPr>
        <w:tabs>
          <w:tab w:val="left" w:pos="2652"/>
        </w:tabs>
        <w:spacing w:line="276" w:lineRule="auto"/>
        <w:jc w:val="both"/>
        <w:rPr>
          <w:rFonts w:ascii="Times New Roman" w:hAnsi="Times New Roman" w:cs="Times New Roman"/>
          <w:sz w:val="24"/>
          <w:szCs w:val="24"/>
        </w:rPr>
      </w:pPr>
      <w:r w:rsidRPr="00C04EA2">
        <w:rPr>
          <w:rFonts w:ascii="Times New Roman" w:hAnsi="Times New Roman" w:cs="Times New Roman"/>
          <w:sz w:val="24"/>
          <w:szCs w:val="24"/>
        </w:rPr>
        <w:lastRenderedPageBreak/>
        <w:t>W</w:t>
      </w:r>
      <w:r w:rsidR="00935E18" w:rsidRPr="00C04EA2">
        <w:rPr>
          <w:rFonts w:ascii="Times New Roman" w:hAnsi="Times New Roman" w:cs="Times New Roman"/>
          <w:sz w:val="24"/>
          <w:szCs w:val="24"/>
        </w:rPr>
        <w:t>here,</w:t>
      </w:r>
    </w:p>
    <w:p w14:paraId="37A77391" w14:textId="77777777" w:rsidR="004A1513" w:rsidRDefault="004A1513"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Y = GDP</w:t>
      </w:r>
    </w:p>
    <w:p w14:paraId="5CF063A8" w14:textId="77777777" w:rsidR="004A1513" w:rsidRDefault="004A1513"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ROA = </w:t>
      </w:r>
      <w:r w:rsidRPr="00C04EA2">
        <w:rPr>
          <w:rFonts w:ascii="Times New Roman" w:hAnsi="Times New Roman" w:cs="Times New Roman"/>
          <w:sz w:val="24"/>
          <w:szCs w:val="24"/>
        </w:rPr>
        <w:t xml:space="preserve">Return on Assets </w:t>
      </w:r>
    </w:p>
    <w:p w14:paraId="602CABA0" w14:textId="77777777" w:rsidR="004A1513" w:rsidRDefault="004A1513"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ROE = </w:t>
      </w:r>
      <w:r w:rsidRPr="00C04EA2">
        <w:rPr>
          <w:rFonts w:ascii="Times New Roman" w:hAnsi="Times New Roman" w:cs="Times New Roman"/>
          <w:sz w:val="24"/>
          <w:szCs w:val="24"/>
        </w:rPr>
        <w:t xml:space="preserve">Return on Equity </w:t>
      </w:r>
    </w:p>
    <w:p w14:paraId="693539F7" w14:textId="740BC630" w:rsidR="00340B7F" w:rsidRDefault="004A1513"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EPS = </w:t>
      </w:r>
      <w:r w:rsidR="00340B7F" w:rsidRPr="00C04EA2">
        <w:rPr>
          <w:rFonts w:ascii="Times New Roman" w:hAnsi="Times New Roman" w:cs="Times New Roman"/>
          <w:sz w:val="24"/>
          <w:szCs w:val="24"/>
        </w:rPr>
        <w:t>Earnings</w:t>
      </w:r>
      <w:r w:rsidRPr="00C04EA2">
        <w:rPr>
          <w:rFonts w:ascii="Times New Roman" w:hAnsi="Times New Roman" w:cs="Times New Roman"/>
          <w:sz w:val="24"/>
          <w:szCs w:val="24"/>
        </w:rPr>
        <w:t xml:space="preserve"> Per Share </w:t>
      </w:r>
    </w:p>
    <w:p w14:paraId="5F8753D4" w14:textId="09E86903" w:rsidR="00340B7F" w:rsidRDefault="00340B7F"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ETA = </w:t>
      </w:r>
      <w:r w:rsidR="004A1513" w:rsidRPr="00C04EA2">
        <w:rPr>
          <w:rFonts w:ascii="Times New Roman" w:hAnsi="Times New Roman" w:cs="Times New Roman"/>
          <w:sz w:val="24"/>
          <w:szCs w:val="24"/>
        </w:rPr>
        <w:t xml:space="preserve">Equity to Total Assets </w:t>
      </w:r>
    </w:p>
    <w:p w14:paraId="0CA5B69B" w14:textId="341156BB" w:rsidR="00340B7F" w:rsidRDefault="00340B7F"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CAR = </w:t>
      </w:r>
      <w:r w:rsidR="004A1513" w:rsidRPr="00C04EA2">
        <w:rPr>
          <w:rFonts w:ascii="Times New Roman" w:hAnsi="Times New Roman" w:cs="Times New Roman"/>
          <w:sz w:val="24"/>
          <w:szCs w:val="24"/>
        </w:rPr>
        <w:t xml:space="preserve">Capital adequacy Ratio </w:t>
      </w:r>
    </w:p>
    <w:p w14:paraId="2AC39E20" w14:textId="77777777" w:rsidR="00340B7F" w:rsidRDefault="00340B7F"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IER = </w:t>
      </w:r>
      <w:r w:rsidR="004A1513" w:rsidRPr="00C04EA2">
        <w:rPr>
          <w:rFonts w:ascii="Times New Roman" w:hAnsi="Times New Roman" w:cs="Times New Roman"/>
          <w:sz w:val="24"/>
          <w:szCs w:val="24"/>
        </w:rPr>
        <w:t xml:space="preserve">Income Expense Ratio </w:t>
      </w:r>
    </w:p>
    <w:p w14:paraId="7808EDAD" w14:textId="1C86EBFF" w:rsidR="00DF6416" w:rsidRDefault="00340B7F"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AU = </w:t>
      </w:r>
      <w:r w:rsidR="004A1513" w:rsidRPr="00C04EA2">
        <w:rPr>
          <w:rFonts w:ascii="Times New Roman" w:hAnsi="Times New Roman" w:cs="Times New Roman"/>
          <w:sz w:val="24"/>
          <w:szCs w:val="24"/>
        </w:rPr>
        <w:t xml:space="preserve">Asset Utilization </w:t>
      </w:r>
    </w:p>
    <w:p w14:paraId="7F1855D9" w14:textId="04144933" w:rsidR="00340B7F" w:rsidRDefault="00340B7F" w:rsidP="00017561">
      <w:pPr>
        <w:tabs>
          <w:tab w:val="left" w:pos="2652"/>
        </w:tabs>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 Country</w:t>
      </w:r>
    </w:p>
    <w:p w14:paraId="4FE55574" w14:textId="2C0C16E9" w:rsidR="00340B7F" w:rsidRPr="00C04EA2" w:rsidRDefault="00340B7F"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t = Time</w:t>
      </w:r>
    </w:p>
    <w:p w14:paraId="5E0B32E0" w14:textId="22FB8751" w:rsidR="00C3612D" w:rsidRPr="00C04EA2" w:rsidRDefault="00A5012A" w:rsidP="005A30C7">
      <w:pPr>
        <w:spacing w:after="0" w:line="360" w:lineRule="auto"/>
        <w:rPr>
          <w:rFonts w:ascii="Times New Roman" w:hAnsi="Times New Roman" w:cs="Times New Roman"/>
          <w:b/>
          <w:sz w:val="24"/>
          <w:szCs w:val="24"/>
        </w:rPr>
      </w:pPr>
      <w:r w:rsidRPr="00C04EA2">
        <w:rPr>
          <w:rFonts w:ascii="Times New Roman" w:hAnsi="Times New Roman" w:cs="Times New Roman"/>
          <w:b/>
          <w:sz w:val="24"/>
          <w:szCs w:val="24"/>
        </w:rPr>
        <w:t>Research Method</w:t>
      </w:r>
      <w:r w:rsidR="00294F41" w:rsidRPr="00C04EA2">
        <w:rPr>
          <w:rFonts w:ascii="Times New Roman" w:hAnsi="Times New Roman" w:cs="Times New Roman"/>
          <w:b/>
          <w:sz w:val="24"/>
          <w:szCs w:val="24"/>
        </w:rPr>
        <w:t xml:space="preserve"> </w:t>
      </w:r>
    </w:p>
    <w:p w14:paraId="6DF50CA4" w14:textId="77777777" w:rsidR="005017D2" w:rsidRPr="005017D2" w:rsidRDefault="005017D2" w:rsidP="005017D2">
      <w:pPr>
        <w:spacing w:after="0" w:line="360" w:lineRule="auto"/>
        <w:jc w:val="both"/>
        <w:rPr>
          <w:rFonts w:ascii="Times New Roman" w:eastAsia="Times New Roman" w:hAnsi="Times New Roman" w:cs="Times New Roman"/>
          <w:sz w:val="24"/>
          <w:szCs w:val="24"/>
        </w:rPr>
      </w:pPr>
      <w:r w:rsidRPr="005017D2">
        <w:rPr>
          <w:rFonts w:ascii="Times New Roman" w:eastAsia="Times New Roman" w:hAnsi="Times New Roman" w:cs="Times New Roman"/>
          <w:sz w:val="24"/>
          <w:szCs w:val="24"/>
        </w:rPr>
        <w:t>Many studies have been carried out by researchers to determine the impact of Islamic banking on economic growth. These studies have made use of a variety of analysis techniques, including survey, regression, ARDL, VAR, Granger causality analysis, and Johansen cointegration analysis. To find out how the performance of the sample banks affects economic growth, a different statistical technique was employed in this study. The study measured the performance of particular banks and their influence on economic growth from Bangladesh's perspective using a variety of factors, including "Covariance Analysis: Ordinary, Unit Root test, ARDL test, and Granger Causality Analysis."</w:t>
      </w:r>
    </w:p>
    <w:p w14:paraId="7911D31D" w14:textId="77777777" w:rsidR="000333A3" w:rsidRPr="00C04EA2" w:rsidRDefault="000333A3" w:rsidP="005A30C7">
      <w:pPr>
        <w:spacing w:line="360" w:lineRule="auto"/>
        <w:jc w:val="both"/>
        <w:rPr>
          <w:rFonts w:ascii="Times New Roman" w:hAnsi="Times New Roman" w:cs="Times New Roman"/>
          <w:color w:val="FF0000"/>
          <w:sz w:val="24"/>
          <w:szCs w:val="24"/>
        </w:rPr>
      </w:pPr>
    </w:p>
    <w:p w14:paraId="41E8BB84" w14:textId="06AE4574" w:rsidR="00783C8C" w:rsidRPr="00C04EA2" w:rsidRDefault="002F45B0" w:rsidP="005A30C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RESULTS</w:t>
      </w:r>
      <w:r w:rsidRPr="002F45B0">
        <w:rPr>
          <w:rFonts w:ascii="Times New Roman" w:hAnsi="Times New Roman" w:cs="Times New Roman"/>
          <w:b/>
          <w:sz w:val="24"/>
          <w:szCs w:val="24"/>
        </w:rPr>
        <w:t xml:space="preserve"> </w:t>
      </w:r>
      <w:r w:rsidRPr="00C04EA2">
        <w:rPr>
          <w:rFonts w:ascii="Times New Roman" w:hAnsi="Times New Roman" w:cs="Times New Roman"/>
          <w:b/>
          <w:sz w:val="24"/>
          <w:szCs w:val="24"/>
        </w:rPr>
        <w:t>AND</w:t>
      </w:r>
      <w:r w:rsidR="00A7788F">
        <w:rPr>
          <w:rFonts w:ascii="Times New Roman" w:hAnsi="Times New Roman" w:cs="Times New Roman"/>
          <w:b/>
          <w:sz w:val="24"/>
          <w:szCs w:val="24"/>
        </w:rPr>
        <w:t xml:space="preserve"> FINDINGS</w:t>
      </w:r>
      <w:r w:rsidR="00783C8C" w:rsidRPr="00C04EA2">
        <w:rPr>
          <w:rFonts w:ascii="Times New Roman" w:hAnsi="Times New Roman" w:cs="Times New Roman"/>
          <w:b/>
          <w:sz w:val="24"/>
          <w:szCs w:val="24"/>
        </w:rPr>
        <w:t xml:space="preserve"> </w:t>
      </w:r>
    </w:p>
    <w:p w14:paraId="3113B14B" w14:textId="618CE2AF" w:rsidR="00340B7F" w:rsidRDefault="000333A3" w:rsidP="005A30C7">
      <w:pPr>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Covariance and Co-relation Total</w:t>
      </w:r>
    </w:p>
    <w:p w14:paraId="18A561F1" w14:textId="1BAB13A6" w:rsidR="00017561" w:rsidRPr="00030C06" w:rsidRDefault="00030C06" w:rsidP="00030C06">
      <w:pPr>
        <w:spacing w:line="360" w:lineRule="auto"/>
        <w:jc w:val="both"/>
        <w:rPr>
          <w:rFonts w:ascii="Times New Roman" w:eastAsia="Times New Roman" w:hAnsi="Times New Roman" w:cs="Times New Roman"/>
          <w:sz w:val="24"/>
          <w:szCs w:val="24"/>
        </w:rPr>
      </w:pPr>
      <w:r w:rsidRPr="00030C06">
        <w:rPr>
          <w:rFonts w:ascii="Times New Roman" w:eastAsia="Times New Roman" w:hAnsi="Times New Roman" w:cs="Times New Roman"/>
          <w:sz w:val="24"/>
          <w:szCs w:val="24"/>
        </w:rPr>
        <w:t xml:space="preserve">The covariance and correlation data for First Security </w:t>
      </w:r>
      <w:proofErr w:type="spellStart"/>
      <w:r w:rsidRPr="00030C06">
        <w:rPr>
          <w:rFonts w:ascii="Times New Roman" w:eastAsia="Times New Roman" w:hAnsi="Times New Roman" w:cs="Times New Roman"/>
          <w:sz w:val="24"/>
          <w:szCs w:val="24"/>
        </w:rPr>
        <w:t>Islami</w:t>
      </w:r>
      <w:proofErr w:type="spellEnd"/>
      <w:r w:rsidRPr="00030C06">
        <w:rPr>
          <w:rFonts w:ascii="Times New Roman" w:eastAsia="Times New Roman" w:hAnsi="Times New Roman" w:cs="Times New Roman"/>
          <w:sz w:val="24"/>
          <w:szCs w:val="24"/>
        </w:rPr>
        <w:t xml:space="preserve"> Bank Limited (FSIBL) are displayed in Table 2. According to the findings, GDP is positively correlated with ROE, EPS, IER, and AU and negatively correlated with ROA, ETA, and CAR.</w:t>
      </w:r>
    </w:p>
    <w:p w14:paraId="1D70FF32" w14:textId="1CA9DDC7" w:rsidR="008273F0" w:rsidRPr="00340B7F" w:rsidRDefault="00340B7F" w:rsidP="005A30C7">
      <w:pPr>
        <w:spacing w:line="360" w:lineRule="auto"/>
        <w:jc w:val="center"/>
        <w:rPr>
          <w:rFonts w:ascii="Times New Roman" w:hAnsi="Times New Roman" w:cs="Times New Roman"/>
          <w:b/>
          <w:sz w:val="24"/>
          <w:szCs w:val="24"/>
        </w:rPr>
      </w:pPr>
      <w:r>
        <w:rPr>
          <w:rFonts w:ascii="Times New Roman" w:hAnsi="Times New Roman" w:cs="Times New Roman"/>
          <w:sz w:val="24"/>
          <w:szCs w:val="24"/>
        </w:rPr>
        <w:t xml:space="preserve">Table 02: Covariance and correlation of </w:t>
      </w:r>
      <w:r w:rsidR="000333A3" w:rsidRPr="00C04EA2">
        <w:rPr>
          <w:rFonts w:ascii="Times New Roman" w:hAnsi="Times New Roman" w:cs="Times New Roman"/>
          <w:sz w:val="24"/>
          <w:szCs w:val="24"/>
        </w:rPr>
        <w:t xml:space="preserve">First Security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(FSIBL)</w:t>
      </w:r>
    </w:p>
    <w:p w14:paraId="57FF246B" w14:textId="59E78A05" w:rsidR="00340B7F" w:rsidRPr="00017561" w:rsidRDefault="000333A3" w:rsidP="00017561">
      <w:pPr>
        <w:spacing w:line="360" w:lineRule="auto"/>
        <w:jc w:val="both"/>
        <w:rPr>
          <w:rFonts w:ascii="Times New Roman" w:hAnsi="Times New Roman" w:cs="Times New Roman"/>
          <w:b/>
          <w:sz w:val="24"/>
          <w:szCs w:val="24"/>
        </w:rPr>
      </w:pPr>
      <w:r w:rsidRPr="00C04EA2">
        <w:rPr>
          <w:rFonts w:ascii="Times New Roman" w:hAnsi="Times New Roman" w:cs="Times New Roman"/>
          <w:b/>
          <w:noProof/>
          <w:sz w:val="24"/>
          <w:szCs w:val="24"/>
          <w:lang w:bidi="bn-BD"/>
        </w:rPr>
        <w:lastRenderedPageBreak/>
        <w:drawing>
          <wp:inline distT="0" distB="0" distL="0" distR="0" wp14:anchorId="78F9BB7E" wp14:editId="3DB2FD8D">
            <wp:extent cx="5942330" cy="323850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5534" cy="3240246"/>
                    </a:xfrm>
                    <a:prstGeom prst="rect">
                      <a:avLst/>
                    </a:prstGeom>
                    <a:noFill/>
                    <a:ln>
                      <a:noFill/>
                    </a:ln>
                  </pic:spPr>
                </pic:pic>
              </a:graphicData>
            </a:graphic>
          </wp:inline>
        </w:drawing>
      </w:r>
    </w:p>
    <w:p w14:paraId="426D411D" w14:textId="77777777" w:rsidR="00017561" w:rsidRPr="00017561" w:rsidRDefault="00017561" w:rsidP="00017561">
      <w:pPr>
        <w:spacing w:line="360" w:lineRule="auto"/>
        <w:jc w:val="both"/>
        <w:rPr>
          <w:rFonts w:ascii="Times New Roman" w:eastAsia="Times New Roman" w:hAnsi="Times New Roman" w:cs="Times New Roman"/>
          <w:sz w:val="24"/>
          <w:szCs w:val="24"/>
        </w:rPr>
      </w:pPr>
      <w:r w:rsidRPr="00017561">
        <w:rPr>
          <w:rFonts w:ascii="Times New Roman" w:eastAsia="Times New Roman" w:hAnsi="Times New Roman" w:cs="Times New Roman"/>
          <w:sz w:val="24"/>
          <w:szCs w:val="24"/>
        </w:rPr>
        <w:t xml:space="preserve">The results of </w:t>
      </w:r>
      <w:proofErr w:type="spellStart"/>
      <w:r w:rsidRPr="00017561">
        <w:rPr>
          <w:rFonts w:ascii="Times New Roman" w:eastAsia="Times New Roman" w:hAnsi="Times New Roman" w:cs="Times New Roman"/>
          <w:sz w:val="24"/>
          <w:szCs w:val="24"/>
        </w:rPr>
        <w:t>Islami</w:t>
      </w:r>
      <w:proofErr w:type="spellEnd"/>
      <w:r w:rsidRPr="00017561">
        <w:rPr>
          <w:rFonts w:ascii="Times New Roman" w:eastAsia="Times New Roman" w:hAnsi="Times New Roman" w:cs="Times New Roman"/>
          <w:sz w:val="24"/>
          <w:szCs w:val="24"/>
        </w:rPr>
        <w:t xml:space="preserve"> Bank of Bangladesh Limited's (IBBL) covariance and correlation are displayed in Table 3. The findings imply that AU has a positive correlation with GDP and that ROA, ROE, EPS, ETA, CAR, and IER have negative correlations.</w:t>
      </w:r>
    </w:p>
    <w:p w14:paraId="7439CE5F" w14:textId="17F03593" w:rsidR="008273F0" w:rsidRPr="00C04EA2" w:rsidRDefault="00340B7F" w:rsidP="005A30C7">
      <w:pPr>
        <w:spacing w:line="360" w:lineRule="auto"/>
        <w:jc w:val="center"/>
        <w:rPr>
          <w:rFonts w:ascii="Times New Roman" w:hAnsi="Times New Roman" w:cs="Times New Roman"/>
          <w:sz w:val="24"/>
          <w:szCs w:val="24"/>
        </w:rPr>
      </w:pPr>
      <w:r>
        <w:rPr>
          <w:rFonts w:ascii="Times New Roman" w:hAnsi="Times New Roman" w:cs="Times New Roman"/>
          <w:sz w:val="24"/>
          <w:szCs w:val="24"/>
        </w:rPr>
        <w:t>Table 03: Covariance and correlation of</w:t>
      </w:r>
      <w:r w:rsidR="000333A3" w:rsidRPr="00C04EA2">
        <w:rPr>
          <w:rFonts w:ascii="Times New Roman" w:hAnsi="Times New Roman" w:cs="Times New Roman"/>
          <w:sz w:val="24"/>
          <w:szCs w:val="24"/>
        </w:rPr>
        <w:t xml:space="preserve">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of Bangladesh Limited (IBBL)</w:t>
      </w:r>
    </w:p>
    <w:p w14:paraId="552B6F5B" w14:textId="4FD8C80A" w:rsidR="008273F0" w:rsidRPr="00C04EA2" w:rsidRDefault="000333A3" w:rsidP="005A30C7">
      <w:pPr>
        <w:spacing w:line="360" w:lineRule="auto"/>
        <w:rPr>
          <w:rFonts w:ascii="Times New Roman" w:hAnsi="Times New Roman" w:cs="Times New Roman"/>
          <w:sz w:val="24"/>
          <w:szCs w:val="24"/>
        </w:rPr>
      </w:pPr>
      <w:r w:rsidRPr="00C04EA2">
        <w:rPr>
          <w:rFonts w:ascii="Times New Roman" w:hAnsi="Times New Roman" w:cs="Times New Roman"/>
          <w:noProof/>
          <w:sz w:val="24"/>
          <w:szCs w:val="24"/>
          <w:lang w:bidi="bn-BD"/>
        </w:rPr>
        <w:drawing>
          <wp:inline distT="0" distB="0" distL="0" distR="0" wp14:anchorId="0E13FDD1" wp14:editId="534D1996">
            <wp:extent cx="5943600" cy="3352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52800"/>
                    </a:xfrm>
                    <a:prstGeom prst="rect">
                      <a:avLst/>
                    </a:prstGeom>
                    <a:noFill/>
                    <a:ln>
                      <a:noFill/>
                    </a:ln>
                  </pic:spPr>
                </pic:pic>
              </a:graphicData>
            </a:graphic>
          </wp:inline>
        </w:drawing>
      </w:r>
    </w:p>
    <w:p w14:paraId="0465010C" w14:textId="77777777" w:rsidR="00017561" w:rsidRPr="00017561" w:rsidRDefault="00017561" w:rsidP="00017561">
      <w:pPr>
        <w:spacing w:line="360" w:lineRule="auto"/>
        <w:jc w:val="both"/>
        <w:rPr>
          <w:rFonts w:ascii="Times New Roman" w:eastAsia="Times New Roman" w:hAnsi="Times New Roman" w:cs="Times New Roman"/>
          <w:sz w:val="24"/>
          <w:szCs w:val="24"/>
        </w:rPr>
      </w:pPr>
      <w:r w:rsidRPr="00017561">
        <w:rPr>
          <w:rFonts w:ascii="Times New Roman" w:eastAsia="Times New Roman" w:hAnsi="Times New Roman" w:cs="Times New Roman"/>
          <w:sz w:val="24"/>
          <w:szCs w:val="24"/>
        </w:rPr>
        <w:lastRenderedPageBreak/>
        <w:t>The results of Al-</w:t>
      </w:r>
      <w:proofErr w:type="spellStart"/>
      <w:r w:rsidRPr="00017561">
        <w:rPr>
          <w:rFonts w:ascii="Times New Roman" w:eastAsia="Times New Roman" w:hAnsi="Times New Roman" w:cs="Times New Roman"/>
          <w:sz w:val="24"/>
          <w:szCs w:val="24"/>
        </w:rPr>
        <w:t>Arafah</w:t>
      </w:r>
      <w:proofErr w:type="spellEnd"/>
      <w:r w:rsidRPr="00017561">
        <w:rPr>
          <w:rFonts w:ascii="Times New Roman" w:eastAsia="Times New Roman" w:hAnsi="Times New Roman" w:cs="Times New Roman"/>
          <w:sz w:val="24"/>
          <w:szCs w:val="24"/>
        </w:rPr>
        <w:t xml:space="preserve"> </w:t>
      </w:r>
      <w:proofErr w:type="spellStart"/>
      <w:r w:rsidRPr="00017561">
        <w:rPr>
          <w:rFonts w:ascii="Times New Roman" w:eastAsia="Times New Roman" w:hAnsi="Times New Roman" w:cs="Times New Roman"/>
          <w:sz w:val="24"/>
          <w:szCs w:val="24"/>
        </w:rPr>
        <w:t>Islami</w:t>
      </w:r>
      <w:proofErr w:type="spellEnd"/>
      <w:r w:rsidRPr="00017561">
        <w:rPr>
          <w:rFonts w:ascii="Times New Roman" w:eastAsia="Times New Roman" w:hAnsi="Times New Roman" w:cs="Times New Roman"/>
          <w:sz w:val="24"/>
          <w:szCs w:val="24"/>
        </w:rPr>
        <w:t xml:space="preserve"> Bank Limited's (AIBL) covariance and correlation are displayed in Table 4. The findings imply a negative correlation between GDP and ROA, ROE, EPS, ETA, AU, and IER, and a positive correlation with GDP and CAR.</w:t>
      </w:r>
    </w:p>
    <w:p w14:paraId="63900DC6" w14:textId="4E08828E" w:rsidR="000333A3" w:rsidRPr="00C04EA2" w:rsidRDefault="00340B7F" w:rsidP="005A30C7">
      <w:pPr>
        <w:tabs>
          <w:tab w:val="left" w:pos="2652"/>
        </w:tabs>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Table 04: Covariance and correlation of </w:t>
      </w:r>
      <w:r w:rsidR="000333A3" w:rsidRPr="00C04EA2">
        <w:rPr>
          <w:rFonts w:ascii="Times New Roman" w:hAnsi="Times New Roman" w:cs="Times New Roman"/>
          <w:sz w:val="24"/>
          <w:szCs w:val="24"/>
        </w:rPr>
        <w:t>Al-</w:t>
      </w:r>
      <w:proofErr w:type="spellStart"/>
      <w:r w:rsidR="000333A3" w:rsidRPr="00C04EA2">
        <w:rPr>
          <w:rFonts w:ascii="Times New Roman" w:hAnsi="Times New Roman" w:cs="Times New Roman"/>
          <w:sz w:val="24"/>
          <w:szCs w:val="24"/>
        </w:rPr>
        <w:t>Arafah</w:t>
      </w:r>
      <w:proofErr w:type="spellEnd"/>
      <w:r w:rsidR="000333A3" w:rsidRPr="00C04EA2">
        <w:rPr>
          <w:rFonts w:ascii="Times New Roman" w:hAnsi="Times New Roman" w:cs="Times New Roman"/>
          <w:sz w:val="24"/>
          <w:szCs w:val="24"/>
        </w:rPr>
        <w:t xml:space="preserve">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(AIBL)</w:t>
      </w:r>
    </w:p>
    <w:p w14:paraId="1D668DC3" w14:textId="4A7F04B2" w:rsidR="008273F0" w:rsidRPr="00C04EA2" w:rsidRDefault="008273F0"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noProof/>
          <w:sz w:val="24"/>
          <w:szCs w:val="24"/>
          <w:lang w:bidi="bn-BD"/>
        </w:rPr>
        <w:drawing>
          <wp:inline distT="0" distB="0" distL="0" distR="0" wp14:anchorId="1BCCF3B2" wp14:editId="1491A1D8">
            <wp:extent cx="5943600" cy="31318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131820"/>
                    </a:xfrm>
                    <a:prstGeom prst="rect">
                      <a:avLst/>
                    </a:prstGeom>
                    <a:noFill/>
                    <a:ln>
                      <a:noFill/>
                    </a:ln>
                  </pic:spPr>
                </pic:pic>
              </a:graphicData>
            </a:graphic>
          </wp:inline>
        </w:drawing>
      </w:r>
    </w:p>
    <w:p w14:paraId="3DD5F111" w14:textId="111FC123" w:rsidR="008273F0" w:rsidRPr="00C04EA2" w:rsidRDefault="00340B7F" w:rsidP="005A30C7">
      <w:pPr>
        <w:tabs>
          <w:tab w:val="left" w:pos="2652"/>
        </w:tabs>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Table 05: Covariance and correlation of </w:t>
      </w:r>
      <w:proofErr w:type="spellStart"/>
      <w:r w:rsidR="000333A3" w:rsidRPr="00C04EA2">
        <w:rPr>
          <w:rFonts w:ascii="Times New Roman" w:hAnsi="Times New Roman" w:cs="Times New Roman"/>
          <w:sz w:val="24"/>
          <w:szCs w:val="24"/>
        </w:rPr>
        <w:t>Shajalal</w:t>
      </w:r>
      <w:proofErr w:type="spellEnd"/>
      <w:r w:rsidR="000333A3" w:rsidRPr="00C04EA2">
        <w:rPr>
          <w:rFonts w:ascii="Times New Roman" w:hAnsi="Times New Roman" w:cs="Times New Roman"/>
          <w:sz w:val="24"/>
          <w:szCs w:val="24"/>
        </w:rPr>
        <w:t xml:space="preserve">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(SJIBL)</w:t>
      </w:r>
    </w:p>
    <w:p w14:paraId="5622FEE0" w14:textId="5ADF523D" w:rsidR="00340B7F" w:rsidRDefault="000333A3"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noProof/>
          <w:sz w:val="24"/>
          <w:szCs w:val="24"/>
          <w:lang w:bidi="bn-BD"/>
        </w:rPr>
        <w:drawing>
          <wp:inline distT="0" distB="0" distL="0" distR="0" wp14:anchorId="68A896C3" wp14:editId="67327F57">
            <wp:extent cx="5942491" cy="3131820"/>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7142" cy="3134271"/>
                    </a:xfrm>
                    <a:prstGeom prst="rect">
                      <a:avLst/>
                    </a:prstGeom>
                    <a:noFill/>
                    <a:ln>
                      <a:noFill/>
                    </a:ln>
                  </pic:spPr>
                </pic:pic>
              </a:graphicData>
            </a:graphic>
          </wp:inline>
        </w:drawing>
      </w:r>
    </w:p>
    <w:p w14:paraId="5DE8C1D2" w14:textId="21A2EE17" w:rsidR="00FA1BAD" w:rsidRDefault="00FA1BAD" w:rsidP="00FA1BAD">
      <w:pPr>
        <w:spacing w:after="0" w:line="360" w:lineRule="auto"/>
        <w:jc w:val="both"/>
        <w:rPr>
          <w:rFonts w:ascii="Times New Roman" w:eastAsia="Times New Roman" w:hAnsi="Times New Roman" w:cs="Times New Roman"/>
          <w:sz w:val="24"/>
          <w:szCs w:val="24"/>
        </w:rPr>
      </w:pPr>
      <w:r w:rsidRPr="00FA1BAD">
        <w:rPr>
          <w:rFonts w:ascii="Times New Roman" w:eastAsia="Times New Roman" w:hAnsi="Times New Roman" w:cs="Times New Roman"/>
          <w:sz w:val="24"/>
          <w:szCs w:val="24"/>
        </w:rPr>
        <w:lastRenderedPageBreak/>
        <w:t xml:space="preserve">The covariance and correlation statistics for </w:t>
      </w:r>
      <w:proofErr w:type="spellStart"/>
      <w:r w:rsidRPr="00FA1BAD">
        <w:rPr>
          <w:rFonts w:ascii="Times New Roman" w:eastAsia="Times New Roman" w:hAnsi="Times New Roman" w:cs="Times New Roman"/>
          <w:sz w:val="24"/>
          <w:szCs w:val="24"/>
        </w:rPr>
        <w:t>Shajalal</w:t>
      </w:r>
      <w:proofErr w:type="spellEnd"/>
      <w:r w:rsidRPr="00FA1BAD">
        <w:rPr>
          <w:rFonts w:ascii="Times New Roman" w:eastAsia="Times New Roman" w:hAnsi="Times New Roman" w:cs="Times New Roman"/>
          <w:sz w:val="24"/>
          <w:szCs w:val="24"/>
        </w:rPr>
        <w:t xml:space="preserve"> </w:t>
      </w:r>
      <w:proofErr w:type="spellStart"/>
      <w:r w:rsidRPr="00FA1BAD">
        <w:rPr>
          <w:rFonts w:ascii="Times New Roman" w:eastAsia="Times New Roman" w:hAnsi="Times New Roman" w:cs="Times New Roman"/>
          <w:sz w:val="24"/>
          <w:szCs w:val="24"/>
        </w:rPr>
        <w:t>Islami</w:t>
      </w:r>
      <w:proofErr w:type="spellEnd"/>
      <w:r w:rsidRPr="00FA1BAD">
        <w:rPr>
          <w:rFonts w:ascii="Times New Roman" w:eastAsia="Times New Roman" w:hAnsi="Times New Roman" w:cs="Times New Roman"/>
          <w:sz w:val="24"/>
          <w:szCs w:val="24"/>
        </w:rPr>
        <w:t xml:space="preserve"> Bank Limited (SJIBL) are displayed in Table 05. The findings imply that CAR has a positive correlation with GDP and that ROA, ROE, EPS, ETA, AU, and IER have negative correlations.</w:t>
      </w:r>
    </w:p>
    <w:p w14:paraId="0294A61A" w14:textId="77777777" w:rsidR="00FA1BAD" w:rsidRPr="00FA1BAD" w:rsidRDefault="00FA1BAD" w:rsidP="00FA1BAD">
      <w:pPr>
        <w:spacing w:after="0" w:line="360" w:lineRule="auto"/>
        <w:jc w:val="both"/>
        <w:rPr>
          <w:rFonts w:ascii="Times New Roman" w:eastAsia="Times New Roman" w:hAnsi="Times New Roman" w:cs="Times New Roman"/>
          <w:sz w:val="24"/>
          <w:szCs w:val="24"/>
        </w:rPr>
      </w:pPr>
    </w:p>
    <w:p w14:paraId="7F273747" w14:textId="16F36E9E" w:rsidR="00FA1BAD" w:rsidRPr="00FA1BAD" w:rsidRDefault="00FA1BAD" w:rsidP="00FA1BAD">
      <w:pPr>
        <w:spacing w:line="360" w:lineRule="auto"/>
        <w:jc w:val="both"/>
        <w:rPr>
          <w:rFonts w:ascii="Times New Roman" w:eastAsia="Times New Roman" w:hAnsi="Times New Roman" w:cs="Times New Roman"/>
          <w:sz w:val="24"/>
          <w:szCs w:val="24"/>
        </w:rPr>
      </w:pPr>
      <w:r w:rsidRPr="00FA1BAD">
        <w:rPr>
          <w:rFonts w:ascii="Times New Roman" w:eastAsia="Times New Roman" w:hAnsi="Times New Roman" w:cs="Times New Roman"/>
          <w:sz w:val="24"/>
          <w:szCs w:val="24"/>
        </w:rPr>
        <w:t xml:space="preserve">The covariance and correlation statistics for </w:t>
      </w:r>
      <w:r w:rsidRPr="00C04EA2">
        <w:rPr>
          <w:rFonts w:ascii="Times New Roman" w:hAnsi="Times New Roman" w:cs="Times New Roman"/>
          <w:sz w:val="24"/>
          <w:szCs w:val="24"/>
        </w:rPr>
        <w:t xml:space="preserve">Social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(SIBL)</w:t>
      </w:r>
      <w:r w:rsidRPr="00FA1BAD">
        <w:rPr>
          <w:rFonts w:ascii="Times New Roman" w:eastAsia="Times New Roman" w:hAnsi="Times New Roman" w:cs="Times New Roman"/>
          <w:sz w:val="24"/>
          <w:szCs w:val="24"/>
        </w:rPr>
        <w:t xml:space="preserve"> are displayed in Table 0</w:t>
      </w:r>
      <w:r>
        <w:rPr>
          <w:rFonts w:ascii="Times New Roman" w:eastAsia="Times New Roman" w:hAnsi="Times New Roman" w:cs="Times New Roman"/>
          <w:sz w:val="24"/>
          <w:szCs w:val="24"/>
        </w:rPr>
        <w:t>6</w:t>
      </w:r>
      <w:r w:rsidRPr="00FA1BAD">
        <w:rPr>
          <w:rFonts w:ascii="Times New Roman" w:eastAsia="Times New Roman" w:hAnsi="Times New Roman" w:cs="Times New Roman"/>
          <w:sz w:val="24"/>
          <w:szCs w:val="24"/>
        </w:rPr>
        <w:t xml:space="preserve">. The findings imply that </w:t>
      </w:r>
      <w:r>
        <w:rPr>
          <w:rFonts w:ascii="Times New Roman" w:eastAsia="Times New Roman" w:hAnsi="Times New Roman" w:cs="Times New Roman"/>
          <w:sz w:val="24"/>
          <w:szCs w:val="24"/>
        </w:rPr>
        <w:t xml:space="preserve">EPS, </w:t>
      </w:r>
      <w:r w:rsidRPr="00FA1BAD">
        <w:rPr>
          <w:rFonts w:ascii="Times New Roman" w:eastAsia="Times New Roman" w:hAnsi="Times New Roman" w:cs="Times New Roman"/>
          <w:sz w:val="24"/>
          <w:szCs w:val="24"/>
        </w:rPr>
        <w:t>CAR</w:t>
      </w:r>
      <w:r>
        <w:rPr>
          <w:rFonts w:ascii="Times New Roman" w:eastAsia="Times New Roman" w:hAnsi="Times New Roman" w:cs="Times New Roman"/>
          <w:sz w:val="24"/>
          <w:szCs w:val="24"/>
        </w:rPr>
        <w:t>, IER</w:t>
      </w:r>
      <w:r w:rsidRPr="00FA1BAD">
        <w:rPr>
          <w:rFonts w:ascii="Times New Roman" w:eastAsia="Times New Roman" w:hAnsi="Times New Roman" w:cs="Times New Roman"/>
          <w:sz w:val="24"/>
          <w:szCs w:val="24"/>
        </w:rPr>
        <w:t xml:space="preserve"> has a positive correlation with GDP and that ROA, ROE, ETA, AU</w:t>
      </w:r>
      <w:r>
        <w:rPr>
          <w:rFonts w:ascii="Times New Roman" w:eastAsia="Times New Roman" w:hAnsi="Times New Roman" w:cs="Times New Roman"/>
          <w:sz w:val="24"/>
          <w:szCs w:val="24"/>
        </w:rPr>
        <w:t xml:space="preserve"> </w:t>
      </w:r>
      <w:r w:rsidRPr="00FA1BAD">
        <w:rPr>
          <w:rFonts w:ascii="Times New Roman" w:eastAsia="Times New Roman" w:hAnsi="Times New Roman" w:cs="Times New Roman"/>
          <w:sz w:val="24"/>
          <w:szCs w:val="24"/>
        </w:rPr>
        <w:t>have negative correlations.</w:t>
      </w:r>
    </w:p>
    <w:p w14:paraId="071E18B9" w14:textId="7D01DBB1" w:rsidR="008273F0" w:rsidRPr="00C04EA2" w:rsidRDefault="00340B7F" w:rsidP="005A30C7">
      <w:pPr>
        <w:tabs>
          <w:tab w:val="left" w:pos="2652"/>
        </w:tabs>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Table 06: Covariance and correlation of </w:t>
      </w:r>
      <w:r w:rsidR="000333A3" w:rsidRPr="00C04EA2">
        <w:rPr>
          <w:rFonts w:ascii="Times New Roman" w:hAnsi="Times New Roman" w:cs="Times New Roman"/>
          <w:sz w:val="24"/>
          <w:szCs w:val="24"/>
        </w:rPr>
        <w:t xml:space="preserve">Social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(SIBL)</w:t>
      </w:r>
    </w:p>
    <w:p w14:paraId="74979142" w14:textId="4D06C9B7" w:rsidR="000333A3" w:rsidRPr="00C04EA2" w:rsidRDefault="000333A3"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noProof/>
          <w:sz w:val="24"/>
          <w:szCs w:val="24"/>
          <w:lang w:bidi="bn-BD"/>
        </w:rPr>
        <w:drawing>
          <wp:inline distT="0" distB="0" distL="0" distR="0" wp14:anchorId="4892AE37" wp14:editId="5FC848EF">
            <wp:extent cx="5942491" cy="311658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6176" cy="3118513"/>
                    </a:xfrm>
                    <a:prstGeom prst="rect">
                      <a:avLst/>
                    </a:prstGeom>
                    <a:noFill/>
                    <a:ln>
                      <a:noFill/>
                    </a:ln>
                  </pic:spPr>
                </pic:pic>
              </a:graphicData>
            </a:graphic>
          </wp:inline>
        </w:drawing>
      </w:r>
    </w:p>
    <w:p w14:paraId="19530E4F" w14:textId="36CDD87E" w:rsidR="000333A3" w:rsidRPr="00C04EA2" w:rsidRDefault="000333A3"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 above results </w:t>
      </w:r>
      <w:r w:rsidR="00AB0204">
        <w:rPr>
          <w:rFonts w:ascii="Times New Roman" w:hAnsi="Times New Roman" w:cs="Times New Roman"/>
          <w:sz w:val="24"/>
          <w:szCs w:val="24"/>
        </w:rPr>
        <w:t xml:space="preserve">in table 02 to table 06 </w:t>
      </w:r>
      <w:r w:rsidRPr="00C04EA2">
        <w:rPr>
          <w:rFonts w:ascii="Times New Roman" w:hAnsi="Times New Roman" w:cs="Times New Roman"/>
          <w:sz w:val="24"/>
          <w:szCs w:val="24"/>
        </w:rPr>
        <w:t xml:space="preserve">show the correlation and covariance of sample banks. </w:t>
      </w:r>
      <w:r w:rsidR="00AB0204">
        <w:rPr>
          <w:rFonts w:ascii="Times New Roman" w:hAnsi="Times New Roman" w:cs="Times New Roman"/>
          <w:sz w:val="24"/>
          <w:szCs w:val="24"/>
        </w:rPr>
        <w:t>U</w:t>
      </w:r>
      <w:r w:rsidRPr="00C04EA2">
        <w:rPr>
          <w:rFonts w:ascii="Times New Roman" w:hAnsi="Times New Roman" w:cs="Times New Roman"/>
          <w:sz w:val="24"/>
          <w:szCs w:val="24"/>
        </w:rPr>
        <w:t xml:space="preserve">sing a regression specification with GDP as the dependent variable and various financial ratios </w:t>
      </w:r>
      <w:r w:rsidR="00AB0204">
        <w:rPr>
          <w:rFonts w:ascii="Times New Roman" w:hAnsi="Times New Roman" w:cs="Times New Roman"/>
          <w:sz w:val="24"/>
          <w:szCs w:val="24"/>
        </w:rPr>
        <w:t xml:space="preserve">of </w:t>
      </w:r>
      <w:r w:rsidRPr="00C04EA2">
        <w:rPr>
          <w:rFonts w:ascii="Times New Roman" w:hAnsi="Times New Roman" w:cs="Times New Roman"/>
          <w:sz w:val="24"/>
          <w:szCs w:val="24"/>
        </w:rPr>
        <w:t xml:space="preserve">Islamic banks as the explanatory variable, the direct </w:t>
      </w:r>
      <w:r w:rsidR="005017D2">
        <w:rPr>
          <w:rFonts w:ascii="Times New Roman" w:hAnsi="Times New Roman" w:cs="Times New Roman"/>
          <w:sz w:val="24"/>
          <w:szCs w:val="24"/>
        </w:rPr>
        <w:t>association</w:t>
      </w:r>
      <w:r w:rsidRPr="00C04EA2">
        <w:rPr>
          <w:rFonts w:ascii="Times New Roman" w:hAnsi="Times New Roman" w:cs="Times New Roman"/>
          <w:sz w:val="24"/>
          <w:szCs w:val="24"/>
        </w:rPr>
        <w:t xml:space="preserve"> between economic growth and the performances of Islamic banks’ is evaluated, for the selected banks.</w:t>
      </w:r>
    </w:p>
    <w:p w14:paraId="2638CD71" w14:textId="2B8F5953" w:rsidR="00E94829" w:rsidRPr="00C04EA2" w:rsidRDefault="00E94829" w:rsidP="005A30C7">
      <w:pPr>
        <w:tabs>
          <w:tab w:val="left" w:pos="2652"/>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Unit Root Tests</w:t>
      </w:r>
    </w:p>
    <w:p w14:paraId="76120264" w14:textId="7E71F63B" w:rsidR="005017D2" w:rsidRPr="005017D2" w:rsidRDefault="005017D2" w:rsidP="005017D2">
      <w:pPr>
        <w:spacing w:after="0" w:line="360" w:lineRule="auto"/>
        <w:jc w:val="both"/>
        <w:rPr>
          <w:rFonts w:ascii="Times New Roman" w:eastAsia="Times New Roman" w:hAnsi="Times New Roman" w:cs="Times New Roman"/>
          <w:sz w:val="24"/>
          <w:szCs w:val="24"/>
        </w:rPr>
      </w:pPr>
      <w:r w:rsidRPr="005017D2">
        <w:rPr>
          <w:rFonts w:ascii="Times New Roman" w:eastAsia="Times New Roman" w:hAnsi="Times New Roman" w:cs="Times New Roman"/>
          <w:sz w:val="24"/>
          <w:szCs w:val="24"/>
        </w:rPr>
        <w:t>The ARDL method of cointegration</w:t>
      </w:r>
      <w:r>
        <w:rPr>
          <w:rFonts w:ascii="Times New Roman" w:eastAsia="Times New Roman" w:hAnsi="Times New Roman" w:cs="Times New Roman"/>
          <w:sz w:val="24"/>
          <w:szCs w:val="24"/>
        </w:rPr>
        <w:t xml:space="preserve">, </w:t>
      </w:r>
      <w:r w:rsidRPr="005017D2">
        <w:rPr>
          <w:rFonts w:ascii="Times New Roman" w:eastAsia="Times New Roman" w:hAnsi="Times New Roman" w:cs="Times New Roman"/>
          <w:sz w:val="24"/>
          <w:szCs w:val="24"/>
        </w:rPr>
        <w:t>that is</w:t>
      </w:r>
      <w:r>
        <w:rPr>
          <w:rFonts w:ascii="Times New Roman" w:eastAsia="Times New Roman" w:hAnsi="Times New Roman" w:cs="Times New Roman"/>
          <w:sz w:val="24"/>
          <w:szCs w:val="24"/>
        </w:rPr>
        <w:t>,</w:t>
      </w:r>
      <w:r w:rsidRPr="005017D2">
        <w:rPr>
          <w:rFonts w:ascii="Times New Roman" w:eastAsia="Times New Roman" w:hAnsi="Times New Roman" w:cs="Times New Roman"/>
          <w:sz w:val="24"/>
          <w:szCs w:val="24"/>
        </w:rPr>
        <w:t xml:space="preserve"> I (0) or I (1)</w:t>
      </w:r>
      <w:r>
        <w:rPr>
          <w:rFonts w:ascii="Times New Roman" w:eastAsia="Times New Roman" w:hAnsi="Times New Roman" w:cs="Times New Roman"/>
          <w:sz w:val="24"/>
          <w:szCs w:val="24"/>
        </w:rPr>
        <w:t xml:space="preserve">, </w:t>
      </w:r>
      <w:r w:rsidRPr="005017D2">
        <w:rPr>
          <w:rFonts w:ascii="Times New Roman" w:eastAsia="Times New Roman" w:hAnsi="Times New Roman" w:cs="Times New Roman"/>
          <w:sz w:val="24"/>
          <w:szCs w:val="24"/>
        </w:rPr>
        <w:t>is used if the variables are integrated of order 0 or 1. Nonetheless, in order to guarantee that no variables are integrated of order two, or I (2), stationarity tests are still necessary. For that reason, stationarity is assessed using Phillips-</w:t>
      </w:r>
      <w:proofErr w:type="spellStart"/>
      <w:r w:rsidRPr="005017D2">
        <w:rPr>
          <w:rFonts w:ascii="Times New Roman" w:eastAsia="Times New Roman" w:hAnsi="Times New Roman" w:cs="Times New Roman"/>
          <w:sz w:val="24"/>
          <w:szCs w:val="24"/>
        </w:rPr>
        <w:t>Perron</w:t>
      </w:r>
      <w:proofErr w:type="spellEnd"/>
      <w:r w:rsidRPr="005017D2">
        <w:rPr>
          <w:rFonts w:ascii="Times New Roman" w:eastAsia="Times New Roman" w:hAnsi="Times New Roman" w:cs="Times New Roman"/>
          <w:sz w:val="24"/>
          <w:szCs w:val="24"/>
        </w:rPr>
        <w:t xml:space="preserve"> (PP) tests. </w:t>
      </w:r>
    </w:p>
    <w:p w14:paraId="6C2E2ACF" w14:textId="1203415F" w:rsidR="00E94829" w:rsidRPr="00C04EA2" w:rsidRDefault="00E94829" w:rsidP="005A30C7">
      <w:pPr>
        <w:tabs>
          <w:tab w:val="left" w:pos="2652"/>
        </w:tabs>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lastRenderedPageBreak/>
        <w:t xml:space="preserve">Table </w:t>
      </w:r>
      <w:r w:rsidR="00FA1BAD">
        <w:rPr>
          <w:rFonts w:ascii="Times New Roman" w:hAnsi="Times New Roman" w:cs="Times New Roman"/>
          <w:sz w:val="24"/>
          <w:szCs w:val="24"/>
        </w:rPr>
        <w:t>0</w:t>
      </w:r>
      <w:r w:rsidR="00340B7F">
        <w:rPr>
          <w:rFonts w:ascii="Times New Roman" w:hAnsi="Times New Roman" w:cs="Times New Roman"/>
          <w:sz w:val="24"/>
          <w:szCs w:val="24"/>
        </w:rPr>
        <w:t>7</w:t>
      </w:r>
      <w:r w:rsidRPr="00C04EA2">
        <w:rPr>
          <w:rFonts w:ascii="Times New Roman" w:hAnsi="Times New Roman" w:cs="Times New Roman"/>
          <w:sz w:val="24"/>
          <w:szCs w:val="24"/>
        </w:rPr>
        <w:t>: Results of</w:t>
      </w:r>
      <w:r w:rsidR="00EF7162" w:rsidRPr="00C04EA2">
        <w:rPr>
          <w:rFonts w:ascii="Times New Roman" w:hAnsi="Times New Roman" w:cs="Times New Roman"/>
          <w:sz w:val="24"/>
          <w:szCs w:val="24"/>
        </w:rPr>
        <w:t xml:space="preserve"> Phillips-</w:t>
      </w:r>
      <w:proofErr w:type="spellStart"/>
      <w:r w:rsidR="00EF7162" w:rsidRPr="00C04EA2">
        <w:rPr>
          <w:rFonts w:ascii="Times New Roman" w:hAnsi="Times New Roman" w:cs="Times New Roman"/>
          <w:sz w:val="24"/>
          <w:szCs w:val="24"/>
        </w:rPr>
        <w:t>Perron</w:t>
      </w:r>
      <w:proofErr w:type="spellEnd"/>
      <w:r w:rsidRPr="00C04EA2">
        <w:rPr>
          <w:rFonts w:ascii="Times New Roman" w:hAnsi="Times New Roman" w:cs="Times New Roman"/>
          <w:sz w:val="24"/>
          <w:szCs w:val="24"/>
        </w:rPr>
        <w:t xml:space="preserve"> Tests (on GDP)</w:t>
      </w:r>
    </w:p>
    <w:tbl>
      <w:tblPr>
        <w:tblStyle w:val="TableGrid"/>
        <w:tblW w:w="9625" w:type="dxa"/>
        <w:jc w:val="center"/>
        <w:tblLook w:val="04A0" w:firstRow="1" w:lastRow="0" w:firstColumn="1" w:lastColumn="0" w:noHBand="0" w:noVBand="1"/>
      </w:tblPr>
      <w:tblGrid>
        <w:gridCol w:w="1492"/>
        <w:gridCol w:w="1247"/>
        <w:gridCol w:w="1235"/>
        <w:gridCol w:w="1235"/>
        <w:gridCol w:w="1309"/>
        <w:gridCol w:w="1487"/>
        <w:gridCol w:w="1620"/>
      </w:tblGrid>
      <w:tr w:rsidR="00E94829" w:rsidRPr="00C04EA2" w14:paraId="380178F9" w14:textId="77777777" w:rsidTr="00390F4E">
        <w:trPr>
          <w:trHeight w:val="539"/>
          <w:jc w:val="center"/>
        </w:trPr>
        <w:tc>
          <w:tcPr>
            <w:tcW w:w="1492" w:type="dxa"/>
          </w:tcPr>
          <w:p w14:paraId="00248BF9" w14:textId="45B376E4" w:rsidR="00E94829" w:rsidRPr="00C04EA2" w:rsidRDefault="00AB0204"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Particulars</w:t>
            </w:r>
          </w:p>
        </w:tc>
        <w:tc>
          <w:tcPr>
            <w:tcW w:w="3717" w:type="dxa"/>
            <w:gridSpan w:val="3"/>
          </w:tcPr>
          <w:p w14:paraId="151A864F"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level </w:t>
            </w:r>
          </w:p>
        </w:tc>
        <w:tc>
          <w:tcPr>
            <w:tcW w:w="4416" w:type="dxa"/>
            <w:gridSpan w:val="3"/>
          </w:tcPr>
          <w:p w14:paraId="359F36AE"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r w:rsidRPr="00C04EA2">
              <w:rPr>
                <w:rFonts w:ascii="Times New Roman" w:hAnsi="Times New Roman" w:cs="Times New Roman"/>
                <w:sz w:val="24"/>
                <w:szCs w:val="24"/>
                <w:vertAlign w:val="superscript"/>
              </w:rPr>
              <w:t>st</w:t>
            </w:r>
            <w:r w:rsidRPr="00C04EA2">
              <w:rPr>
                <w:rFonts w:ascii="Times New Roman" w:hAnsi="Times New Roman" w:cs="Times New Roman"/>
                <w:sz w:val="24"/>
                <w:szCs w:val="24"/>
              </w:rPr>
              <w:t xml:space="preserve"> difference</w:t>
            </w:r>
          </w:p>
        </w:tc>
      </w:tr>
      <w:tr w:rsidR="00E94829" w:rsidRPr="00C04EA2" w14:paraId="3A692D98" w14:textId="77777777" w:rsidTr="00390F4E">
        <w:trPr>
          <w:trHeight w:val="539"/>
          <w:jc w:val="center"/>
        </w:trPr>
        <w:tc>
          <w:tcPr>
            <w:tcW w:w="1492" w:type="dxa"/>
          </w:tcPr>
          <w:p w14:paraId="2B8ACA9D"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Prob.*</w:t>
            </w:r>
          </w:p>
        </w:tc>
        <w:tc>
          <w:tcPr>
            <w:tcW w:w="3717" w:type="dxa"/>
            <w:gridSpan w:val="3"/>
          </w:tcPr>
          <w:p w14:paraId="068BC0EE"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0.7646</w:t>
            </w:r>
          </w:p>
        </w:tc>
        <w:tc>
          <w:tcPr>
            <w:tcW w:w="4416" w:type="dxa"/>
            <w:gridSpan w:val="3"/>
          </w:tcPr>
          <w:p w14:paraId="3A752069"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0.0369</w:t>
            </w:r>
          </w:p>
        </w:tc>
      </w:tr>
      <w:tr w:rsidR="00E94829" w:rsidRPr="00C04EA2" w14:paraId="1C166BFA" w14:textId="77777777" w:rsidTr="00390F4E">
        <w:trPr>
          <w:trHeight w:val="431"/>
          <w:jc w:val="center"/>
        </w:trPr>
        <w:tc>
          <w:tcPr>
            <w:tcW w:w="1492" w:type="dxa"/>
          </w:tcPr>
          <w:p w14:paraId="7006E4B3"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t-Statistic</w:t>
            </w:r>
          </w:p>
        </w:tc>
        <w:tc>
          <w:tcPr>
            <w:tcW w:w="3717" w:type="dxa"/>
            <w:gridSpan w:val="3"/>
          </w:tcPr>
          <w:p w14:paraId="5380A7FA" w14:textId="5D534C04"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0.813580</w:t>
            </w:r>
          </w:p>
        </w:tc>
        <w:tc>
          <w:tcPr>
            <w:tcW w:w="4416" w:type="dxa"/>
            <w:gridSpan w:val="3"/>
          </w:tcPr>
          <w:p w14:paraId="09B912E4" w14:textId="26C3FF88"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3.553228</w:t>
            </w:r>
          </w:p>
        </w:tc>
      </w:tr>
      <w:tr w:rsidR="00E94829" w:rsidRPr="00C04EA2" w14:paraId="5F0A2992" w14:textId="77777777" w:rsidTr="00390F4E">
        <w:trPr>
          <w:trHeight w:val="431"/>
          <w:jc w:val="center"/>
        </w:trPr>
        <w:tc>
          <w:tcPr>
            <w:tcW w:w="1492" w:type="dxa"/>
          </w:tcPr>
          <w:p w14:paraId="233923AC" w14:textId="0035C182"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Level</w:t>
            </w:r>
            <w:r w:rsidR="009037A8" w:rsidRPr="00C04EA2">
              <w:rPr>
                <w:rFonts w:ascii="Times New Roman" w:hAnsi="Times New Roman" w:cs="Times New Roman"/>
                <w:sz w:val="24"/>
                <w:szCs w:val="24"/>
              </w:rPr>
              <w:t xml:space="preserve"> </w:t>
            </w:r>
            <w:r w:rsidRPr="00C04EA2">
              <w:rPr>
                <w:rFonts w:ascii="Times New Roman" w:hAnsi="Times New Roman" w:cs="Times New Roman"/>
                <w:sz w:val="24"/>
                <w:szCs w:val="24"/>
              </w:rPr>
              <w:t>of significance</w:t>
            </w:r>
          </w:p>
        </w:tc>
        <w:tc>
          <w:tcPr>
            <w:tcW w:w="1247" w:type="dxa"/>
          </w:tcPr>
          <w:p w14:paraId="621A4CC2"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235" w:type="dxa"/>
          </w:tcPr>
          <w:p w14:paraId="25FF8F10"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tc>
        <w:tc>
          <w:tcPr>
            <w:tcW w:w="1235" w:type="dxa"/>
          </w:tcPr>
          <w:p w14:paraId="58201175"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309" w:type="dxa"/>
          </w:tcPr>
          <w:p w14:paraId="614A9BA1"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487" w:type="dxa"/>
          </w:tcPr>
          <w:p w14:paraId="06415F6F"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tc>
        <w:tc>
          <w:tcPr>
            <w:tcW w:w="1620" w:type="dxa"/>
          </w:tcPr>
          <w:p w14:paraId="14F6E70A"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r>
      <w:tr w:rsidR="00E94829" w:rsidRPr="00C04EA2" w14:paraId="2810AB1A" w14:textId="77777777" w:rsidTr="00390F4E">
        <w:trPr>
          <w:jc w:val="center"/>
        </w:trPr>
        <w:tc>
          <w:tcPr>
            <w:tcW w:w="1492" w:type="dxa"/>
          </w:tcPr>
          <w:p w14:paraId="23E9B60F"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Critical values</w:t>
            </w:r>
          </w:p>
        </w:tc>
        <w:tc>
          <w:tcPr>
            <w:tcW w:w="1247" w:type="dxa"/>
          </w:tcPr>
          <w:p w14:paraId="57FA2621" w14:textId="5F9813A3"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4.420595</w:t>
            </w:r>
          </w:p>
        </w:tc>
        <w:tc>
          <w:tcPr>
            <w:tcW w:w="1235" w:type="dxa"/>
          </w:tcPr>
          <w:p w14:paraId="3295A12C" w14:textId="68363A6A"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3.259808</w:t>
            </w:r>
          </w:p>
        </w:tc>
        <w:tc>
          <w:tcPr>
            <w:tcW w:w="1235" w:type="dxa"/>
          </w:tcPr>
          <w:p w14:paraId="3154DF04" w14:textId="036BEB6C"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2.771129</w:t>
            </w:r>
          </w:p>
        </w:tc>
        <w:tc>
          <w:tcPr>
            <w:tcW w:w="1309" w:type="dxa"/>
          </w:tcPr>
          <w:p w14:paraId="1FFC619D" w14:textId="5E334BD3"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4.582648</w:t>
            </w:r>
          </w:p>
        </w:tc>
        <w:tc>
          <w:tcPr>
            <w:tcW w:w="1487" w:type="dxa"/>
          </w:tcPr>
          <w:p w14:paraId="3039909D" w14:textId="70F0C354"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3.320969**</w:t>
            </w:r>
          </w:p>
        </w:tc>
        <w:tc>
          <w:tcPr>
            <w:tcW w:w="1620" w:type="dxa"/>
          </w:tcPr>
          <w:p w14:paraId="2B6DA2F0" w14:textId="6BBF62BB"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2.801384*</w:t>
            </w:r>
          </w:p>
        </w:tc>
      </w:tr>
    </w:tbl>
    <w:p w14:paraId="2280DD16" w14:textId="57457B16"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    </w:t>
      </w:r>
      <w:r w:rsidRPr="00C04EA2">
        <w:rPr>
          <w:rFonts w:ascii="Times New Roman" w:hAnsi="Times New Roman" w:cs="Times New Roman"/>
          <w:b/>
          <w:sz w:val="24"/>
          <w:szCs w:val="24"/>
        </w:rPr>
        <w:t>Note:</w:t>
      </w:r>
      <w:r w:rsidRPr="00C04EA2">
        <w:rPr>
          <w:rFonts w:ascii="Times New Roman" w:hAnsi="Times New Roman" w:cs="Times New Roman"/>
          <w:sz w:val="24"/>
          <w:szCs w:val="24"/>
        </w:rPr>
        <w:t xml:space="preserve"> *significant at 1</w:t>
      </w:r>
      <w:r w:rsidR="00390F4E">
        <w:rPr>
          <w:rFonts w:ascii="Times New Roman" w:hAnsi="Times New Roman" w:cs="Times New Roman"/>
          <w:sz w:val="24"/>
          <w:szCs w:val="24"/>
        </w:rPr>
        <w:t>0</w:t>
      </w:r>
      <w:r w:rsidRPr="00C04EA2">
        <w:rPr>
          <w:rFonts w:ascii="Times New Roman" w:hAnsi="Times New Roman" w:cs="Times New Roman"/>
          <w:sz w:val="24"/>
          <w:szCs w:val="24"/>
        </w:rPr>
        <w:t>% alpha; **significant at 5% alpha; ***significant at 1% alpha (at 1</w:t>
      </w:r>
      <w:r w:rsidRPr="00C04EA2">
        <w:rPr>
          <w:rFonts w:ascii="Times New Roman" w:hAnsi="Times New Roman" w:cs="Times New Roman"/>
          <w:sz w:val="24"/>
          <w:szCs w:val="24"/>
          <w:vertAlign w:val="superscript"/>
        </w:rPr>
        <w:t>st</w:t>
      </w:r>
      <w:r w:rsidRPr="00C04EA2">
        <w:rPr>
          <w:rFonts w:ascii="Times New Roman" w:hAnsi="Times New Roman" w:cs="Times New Roman"/>
          <w:sz w:val="24"/>
          <w:szCs w:val="24"/>
        </w:rPr>
        <w:t xml:space="preserve"> difference)</w:t>
      </w:r>
    </w:p>
    <w:p w14:paraId="041DD2C4" w14:textId="75574E01" w:rsidR="000333A3"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According to Table </w:t>
      </w:r>
      <w:r w:rsidR="00340B7F">
        <w:rPr>
          <w:rFonts w:ascii="Times New Roman" w:hAnsi="Times New Roman" w:cs="Times New Roman"/>
          <w:sz w:val="24"/>
          <w:szCs w:val="24"/>
        </w:rPr>
        <w:t>7</w:t>
      </w:r>
      <w:r w:rsidRPr="00C04EA2">
        <w:rPr>
          <w:rFonts w:ascii="Times New Roman" w:hAnsi="Times New Roman" w:cs="Times New Roman"/>
          <w:sz w:val="24"/>
          <w:szCs w:val="24"/>
        </w:rPr>
        <w:t>'s unit root test results, the variable is not stationary at levels</w:t>
      </w:r>
      <w:r w:rsidR="002D2E84" w:rsidRPr="00C04EA2">
        <w:rPr>
          <w:rFonts w:ascii="Times New Roman" w:hAnsi="Times New Roman" w:cs="Times New Roman"/>
          <w:sz w:val="24"/>
          <w:szCs w:val="24"/>
        </w:rPr>
        <w:t>,</w:t>
      </w:r>
      <w:r w:rsidRPr="00C04EA2">
        <w:rPr>
          <w:rFonts w:ascii="Times New Roman" w:hAnsi="Times New Roman" w:cs="Times New Roman"/>
          <w:sz w:val="24"/>
          <w:szCs w:val="24"/>
        </w:rPr>
        <w:t xml:space="preserve"> basis on GDP for all sample banks, as the Phillips-</w:t>
      </w:r>
      <w:proofErr w:type="spellStart"/>
      <w:r w:rsidRPr="00C04EA2">
        <w:rPr>
          <w:rFonts w:ascii="Times New Roman" w:hAnsi="Times New Roman" w:cs="Times New Roman"/>
          <w:sz w:val="24"/>
          <w:szCs w:val="24"/>
        </w:rPr>
        <w:t>Perron</w:t>
      </w:r>
      <w:proofErr w:type="spellEnd"/>
      <w:r w:rsidRPr="00C04EA2">
        <w:rPr>
          <w:rFonts w:ascii="Times New Roman" w:hAnsi="Times New Roman" w:cs="Times New Roman"/>
          <w:sz w:val="24"/>
          <w:szCs w:val="24"/>
        </w:rPr>
        <w:t xml:space="preserve"> Test’s t-Statistic is less than 5% level or any level of </w:t>
      </w:r>
      <w:r w:rsidR="009B7364" w:rsidRPr="00C04EA2">
        <w:rPr>
          <w:rFonts w:ascii="Times New Roman" w:hAnsi="Times New Roman" w:cs="Times New Roman"/>
          <w:sz w:val="24"/>
          <w:szCs w:val="24"/>
        </w:rPr>
        <w:t xml:space="preserve">significance’s critical </w:t>
      </w:r>
      <w:r w:rsidR="005017D2">
        <w:rPr>
          <w:rFonts w:ascii="Times New Roman" w:hAnsi="Times New Roman" w:cs="Times New Roman"/>
          <w:sz w:val="24"/>
          <w:szCs w:val="24"/>
        </w:rPr>
        <w:t>threshold</w:t>
      </w:r>
      <w:r w:rsidR="009B7364" w:rsidRPr="00C04EA2">
        <w:rPr>
          <w:rFonts w:ascii="Times New Roman" w:hAnsi="Times New Roman" w:cs="Times New Roman"/>
          <w:sz w:val="24"/>
          <w:szCs w:val="24"/>
        </w:rPr>
        <w:t>s</w:t>
      </w:r>
      <w:r w:rsidRPr="00C04EA2">
        <w:rPr>
          <w:rFonts w:ascii="Times New Roman" w:hAnsi="Times New Roman" w:cs="Times New Roman"/>
          <w:sz w:val="24"/>
          <w:szCs w:val="24"/>
        </w:rPr>
        <w:t xml:space="preserve"> and p-value is </w:t>
      </w:r>
      <w:r w:rsidR="009B7364" w:rsidRPr="00C04EA2">
        <w:rPr>
          <w:rFonts w:ascii="Times New Roman" w:hAnsi="Times New Roman" w:cs="Times New Roman"/>
          <w:sz w:val="24"/>
          <w:szCs w:val="24"/>
        </w:rPr>
        <w:t>greater</w:t>
      </w:r>
      <w:r w:rsidRPr="00C04EA2">
        <w:rPr>
          <w:rFonts w:ascii="Times New Roman" w:hAnsi="Times New Roman" w:cs="Times New Roman"/>
          <w:sz w:val="24"/>
          <w:szCs w:val="24"/>
        </w:rPr>
        <w:t xml:space="preserve"> than α. The first difference, however, caused it to become stationary</w:t>
      </w:r>
      <w:r w:rsidR="009B7364" w:rsidRPr="00C04EA2">
        <w:rPr>
          <w:rFonts w:ascii="Times New Roman" w:hAnsi="Times New Roman" w:cs="Times New Roman"/>
          <w:sz w:val="24"/>
          <w:szCs w:val="24"/>
        </w:rPr>
        <w:t xml:space="preserve">. Since </w:t>
      </w:r>
      <w:r w:rsidRPr="00C04EA2">
        <w:rPr>
          <w:rFonts w:ascii="Times New Roman" w:hAnsi="Times New Roman" w:cs="Times New Roman"/>
          <w:sz w:val="24"/>
          <w:szCs w:val="24"/>
        </w:rPr>
        <w:t>at 1</w:t>
      </w:r>
      <w:r w:rsidRPr="00C04EA2">
        <w:rPr>
          <w:rFonts w:ascii="Times New Roman" w:hAnsi="Times New Roman" w:cs="Times New Roman"/>
          <w:sz w:val="24"/>
          <w:szCs w:val="24"/>
          <w:vertAlign w:val="superscript"/>
        </w:rPr>
        <w:t>st</w:t>
      </w:r>
      <w:r w:rsidRPr="00C04EA2">
        <w:rPr>
          <w:rFonts w:ascii="Times New Roman" w:hAnsi="Times New Roman" w:cs="Times New Roman"/>
          <w:sz w:val="24"/>
          <w:szCs w:val="24"/>
        </w:rPr>
        <w:t xml:space="preserve"> difference</w:t>
      </w:r>
      <w:r w:rsidR="009B7364" w:rsidRPr="00C04EA2">
        <w:rPr>
          <w:rFonts w:ascii="Times New Roman" w:hAnsi="Times New Roman" w:cs="Times New Roman"/>
          <w:sz w:val="24"/>
          <w:szCs w:val="24"/>
        </w:rPr>
        <w:t>,</w:t>
      </w:r>
      <w:r w:rsidRPr="00C04EA2">
        <w:rPr>
          <w:rFonts w:ascii="Times New Roman" w:hAnsi="Times New Roman" w:cs="Times New Roman"/>
          <w:sz w:val="24"/>
          <w:szCs w:val="24"/>
        </w:rPr>
        <w:t xml:space="preserve"> </w:t>
      </w:r>
      <w:r w:rsidR="009B7364" w:rsidRPr="00C04EA2">
        <w:rPr>
          <w:rFonts w:ascii="Times New Roman" w:hAnsi="Times New Roman" w:cs="Times New Roman"/>
          <w:sz w:val="24"/>
          <w:szCs w:val="24"/>
        </w:rPr>
        <w:t>t-</w:t>
      </w:r>
      <w:r w:rsidRPr="00C04EA2">
        <w:rPr>
          <w:rFonts w:ascii="Times New Roman" w:hAnsi="Times New Roman" w:cs="Times New Roman"/>
          <w:sz w:val="24"/>
          <w:szCs w:val="24"/>
        </w:rPr>
        <w:t xml:space="preserve">statistic is </w:t>
      </w:r>
      <w:r w:rsidR="005017D2">
        <w:rPr>
          <w:rFonts w:ascii="Times New Roman" w:hAnsi="Times New Roman" w:cs="Times New Roman"/>
          <w:sz w:val="24"/>
          <w:szCs w:val="24"/>
        </w:rPr>
        <w:t>higher</w:t>
      </w:r>
      <w:r w:rsidRPr="00C04EA2">
        <w:rPr>
          <w:rFonts w:ascii="Times New Roman" w:hAnsi="Times New Roman" w:cs="Times New Roman"/>
          <w:sz w:val="24"/>
          <w:szCs w:val="24"/>
        </w:rPr>
        <w:t xml:space="preserve"> than 5% or </w:t>
      </w:r>
      <w:r w:rsidR="009B7364" w:rsidRPr="00C04EA2">
        <w:rPr>
          <w:rFonts w:ascii="Times New Roman" w:hAnsi="Times New Roman" w:cs="Times New Roman"/>
          <w:sz w:val="24"/>
          <w:szCs w:val="24"/>
        </w:rPr>
        <w:t>10%</w:t>
      </w:r>
      <w:r w:rsidRPr="00C04EA2">
        <w:rPr>
          <w:rFonts w:ascii="Times New Roman" w:hAnsi="Times New Roman" w:cs="Times New Roman"/>
          <w:sz w:val="24"/>
          <w:szCs w:val="24"/>
        </w:rPr>
        <w:t xml:space="preserve"> level of</w:t>
      </w:r>
      <w:r w:rsidR="009B7364" w:rsidRPr="00C04EA2">
        <w:rPr>
          <w:rFonts w:ascii="Times New Roman" w:hAnsi="Times New Roman" w:cs="Times New Roman"/>
          <w:sz w:val="24"/>
          <w:szCs w:val="24"/>
        </w:rPr>
        <w:t xml:space="preserve"> significance’s critical </w:t>
      </w:r>
      <w:r w:rsidR="005017D2">
        <w:rPr>
          <w:rFonts w:ascii="Times New Roman" w:hAnsi="Times New Roman" w:cs="Times New Roman"/>
          <w:sz w:val="24"/>
          <w:szCs w:val="24"/>
        </w:rPr>
        <w:t>threshold</w:t>
      </w:r>
      <w:r w:rsidR="009B7364" w:rsidRPr="00C04EA2">
        <w:rPr>
          <w:rFonts w:ascii="Times New Roman" w:hAnsi="Times New Roman" w:cs="Times New Roman"/>
          <w:sz w:val="24"/>
          <w:szCs w:val="24"/>
        </w:rPr>
        <w:t>s</w:t>
      </w:r>
      <w:r w:rsidR="002D2E84" w:rsidRPr="00C04EA2">
        <w:rPr>
          <w:rFonts w:ascii="Times New Roman" w:hAnsi="Times New Roman" w:cs="Times New Roman"/>
          <w:sz w:val="24"/>
          <w:szCs w:val="24"/>
        </w:rPr>
        <w:t xml:space="preserve"> and p-value is </w:t>
      </w:r>
      <w:r w:rsidR="005017D2">
        <w:rPr>
          <w:rFonts w:ascii="Times New Roman" w:hAnsi="Times New Roman" w:cs="Times New Roman"/>
          <w:sz w:val="24"/>
          <w:szCs w:val="24"/>
        </w:rPr>
        <w:t>lower</w:t>
      </w:r>
      <w:r w:rsidR="002D2E84" w:rsidRPr="00C04EA2">
        <w:rPr>
          <w:rFonts w:ascii="Times New Roman" w:hAnsi="Times New Roman" w:cs="Times New Roman"/>
          <w:sz w:val="24"/>
          <w:szCs w:val="24"/>
        </w:rPr>
        <w:t xml:space="preserve"> than α</w:t>
      </w:r>
      <w:r w:rsidRPr="00C04EA2">
        <w:rPr>
          <w:rFonts w:ascii="Times New Roman" w:hAnsi="Times New Roman" w:cs="Times New Roman"/>
          <w:sz w:val="24"/>
          <w:szCs w:val="24"/>
        </w:rPr>
        <w:t>, which indicates GDP is stationary at there and suggests that GDP is integrated of order I (1). The ARDL approach to cointegration has been chosen because of th</w:t>
      </w:r>
      <w:r w:rsidR="009B7364" w:rsidRPr="00C04EA2">
        <w:rPr>
          <w:rFonts w:ascii="Times New Roman" w:hAnsi="Times New Roman" w:cs="Times New Roman"/>
          <w:sz w:val="24"/>
          <w:szCs w:val="24"/>
        </w:rPr>
        <w:t>e</w:t>
      </w:r>
      <w:r w:rsidRPr="00C04EA2">
        <w:rPr>
          <w:rFonts w:ascii="Times New Roman" w:hAnsi="Times New Roman" w:cs="Times New Roman"/>
          <w:sz w:val="24"/>
          <w:szCs w:val="24"/>
        </w:rPr>
        <w:t xml:space="preserve"> mixture of I</w:t>
      </w:r>
      <w:r w:rsidR="002D2E84" w:rsidRPr="00C04EA2">
        <w:rPr>
          <w:rFonts w:ascii="Times New Roman" w:hAnsi="Times New Roman" w:cs="Times New Roman"/>
          <w:sz w:val="24"/>
          <w:szCs w:val="24"/>
        </w:rPr>
        <w:t xml:space="preserve"> </w:t>
      </w:r>
      <w:r w:rsidRPr="00C04EA2">
        <w:rPr>
          <w:rFonts w:ascii="Times New Roman" w:hAnsi="Times New Roman" w:cs="Times New Roman"/>
          <w:sz w:val="24"/>
          <w:szCs w:val="24"/>
        </w:rPr>
        <w:t>(0) and I</w:t>
      </w:r>
      <w:r w:rsidR="002D2E84" w:rsidRPr="00C04EA2">
        <w:rPr>
          <w:rFonts w:ascii="Times New Roman" w:hAnsi="Times New Roman" w:cs="Times New Roman"/>
          <w:sz w:val="24"/>
          <w:szCs w:val="24"/>
        </w:rPr>
        <w:t xml:space="preserve"> </w:t>
      </w:r>
      <w:r w:rsidRPr="00C04EA2">
        <w:rPr>
          <w:rFonts w:ascii="Times New Roman" w:hAnsi="Times New Roman" w:cs="Times New Roman"/>
          <w:sz w:val="24"/>
          <w:szCs w:val="24"/>
        </w:rPr>
        <w:t>(1), if all variables</w:t>
      </w:r>
      <w:r w:rsidR="009B7364" w:rsidRPr="00C04EA2">
        <w:rPr>
          <w:rFonts w:ascii="Times New Roman" w:hAnsi="Times New Roman" w:cs="Times New Roman"/>
          <w:sz w:val="24"/>
          <w:szCs w:val="24"/>
        </w:rPr>
        <w:t xml:space="preserve"> of given sample banks</w:t>
      </w:r>
      <w:r w:rsidRPr="00C04EA2">
        <w:rPr>
          <w:rFonts w:ascii="Times New Roman" w:hAnsi="Times New Roman" w:cs="Times New Roman"/>
          <w:sz w:val="24"/>
          <w:szCs w:val="24"/>
        </w:rPr>
        <w:t xml:space="preserve"> are </w:t>
      </w:r>
      <w:r w:rsidR="002D2E84" w:rsidRPr="00C04EA2">
        <w:rPr>
          <w:rFonts w:ascii="Times New Roman" w:hAnsi="Times New Roman" w:cs="Times New Roman"/>
          <w:sz w:val="24"/>
          <w:szCs w:val="24"/>
        </w:rPr>
        <w:t>considered</w:t>
      </w:r>
      <w:r w:rsidRPr="00C04EA2">
        <w:rPr>
          <w:rFonts w:ascii="Times New Roman" w:hAnsi="Times New Roman" w:cs="Times New Roman"/>
          <w:sz w:val="24"/>
          <w:szCs w:val="24"/>
        </w:rPr>
        <w:t>.</w:t>
      </w:r>
    </w:p>
    <w:p w14:paraId="58118BD8" w14:textId="50FF5EC9" w:rsidR="007D7929" w:rsidRPr="00C04EA2" w:rsidRDefault="007D7929" w:rsidP="005A30C7">
      <w:pPr>
        <w:spacing w:after="0" w:line="360" w:lineRule="auto"/>
        <w:rPr>
          <w:rFonts w:ascii="Times New Roman" w:hAnsi="Times New Roman" w:cs="Times New Roman"/>
          <w:b/>
          <w:sz w:val="24"/>
          <w:szCs w:val="24"/>
        </w:rPr>
      </w:pPr>
      <w:r w:rsidRPr="00C04EA2">
        <w:rPr>
          <w:rFonts w:ascii="Times New Roman" w:hAnsi="Times New Roman" w:cs="Times New Roman"/>
          <w:b/>
          <w:sz w:val="24"/>
          <w:szCs w:val="24"/>
        </w:rPr>
        <w:t>Lag Selection Criteri</w:t>
      </w:r>
      <w:r w:rsidR="005017D2">
        <w:rPr>
          <w:rFonts w:ascii="Times New Roman" w:hAnsi="Times New Roman" w:cs="Times New Roman"/>
          <w:b/>
          <w:sz w:val="24"/>
          <w:szCs w:val="24"/>
        </w:rPr>
        <w:t>on</w:t>
      </w:r>
    </w:p>
    <w:p w14:paraId="3FF8F50B" w14:textId="4EF59C19" w:rsidR="005017D2" w:rsidRPr="005017D2" w:rsidRDefault="005017D2" w:rsidP="00FA1BAD">
      <w:pPr>
        <w:spacing w:line="360" w:lineRule="auto"/>
        <w:jc w:val="both"/>
        <w:rPr>
          <w:rFonts w:ascii="Times New Roman" w:eastAsia="Times New Roman" w:hAnsi="Times New Roman" w:cs="Times New Roman"/>
          <w:sz w:val="24"/>
          <w:szCs w:val="24"/>
        </w:rPr>
      </w:pPr>
      <w:r w:rsidRPr="005017D2">
        <w:rPr>
          <w:rFonts w:ascii="Times New Roman" w:eastAsia="Times New Roman" w:hAnsi="Times New Roman" w:cs="Times New Roman"/>
          <w:sz w:val="24"/>
          <w:szCs w:val="24"/>
        </w:rPr>
        <w:t>To ascertain the ideal number of lags to incorporate in the model, the lag-length criteria approach from unrestricted VAR is employed.</w:t>
      </w:r>
    </w:p>
    <w:p w14:paraId="62422F34" w14:textId="001DDE08" w:rsidR="000B7941" w:rsidRPr="00C04EA2" w:rsidRDefault="000B7941" w:rsidP="005A30C7">
      <w:pPr>
        <w:tabs>
          <w:tab w:val="left" w:pos="3108"/>
        </w:tabs>
        <w:spacing w:after="0" w:line="360" w:lineRule="auto"/>
        <w:jc w:val="center"/>
        <w:rPr>
          <w:rFonts w:ascii="Times New Roman" w:hAnsi="Times New Roman" w:cs="Times New Roman"/>
          <w:sz w:val="24"/>
          <w:szCs w:val="24"/>
        </w:rPr>
      </w:pPr>
      <w:r>
        <w:rPr>
          <w:rFonts w:ascii="Times New Roman" w:hAnsi="Times New Roman" w:cs="Times New Roman"/>
          <w:sz w:val="24"/>
          <w:szCs w:val="24"/>
        </w:rPr>
        <w:t>Table 08: Results of</w:t>
      </w:r>
      <w:r w:rsidR="005017D2">
        <w:rPr>
          <w:rFonts w:ascii="Times New Roman" w:hAnsi="Times New Roman" w:cs="Times New Roman"/>
          <w:sz w:val="24"/>
          <w:szCs w:val="24"/>
        </w:rPr>
        <w:t xml:space="preserve"> </w:t>
      </w:r>
      <w:r>
        <w:rPr>
          <w:rFonts w:ascii="Times New Roman" w:hAnsi="Times New Roman" w:cs="Times New Roman"/>
          <w:sz w:val="24"/>
          <w:szCs w:val="24"/>
        </w:rPr>
        <w:t>lag selection criterion</w:t>
      </w:r>
    </w:p>
    <w:p w14:paraId="453788B6" w14:textId="6EBBF2AA" w:rsidR="007D7929" w:rsidRPr="00C04EA2" w:rsidRDefault="007D7929" w:rsidP="005A30C7">
      <w:pPr>
        <w:spacing w:line="360" w:lineRule="auto"/>
        <w:rPr>
          <w:rFonts w:ascii="Times New Roman" w:hAnsi="Times New Roman" w:cs="Times New Roman"/>
          <w:b/>
          <w:sz w:val="24"/>
          <w:szCs w:val="24"/>
        </w:rPr>
      </w:pPr>
      <w:r w:rsidRPr="00C04EA2">
        <w:rPr>
          <w:rFonts w:ascii="Times New Roman" w:hAnsi="Times New Roman" w:cs="Times New Roman"/>
          <w:b/>
          <w:noProof/>
          <w:sz w:val="24"/>
          <w:szCs w:val="24"/>
        </w:rPr>
        <w:drawing>
          <wp:inline distT="0" distB="0" distL="0" distR="0" wp14:anchorId="66744002" wp14:editId="2C0997C8">
            <wp:extent cx="4147185" cy="86106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b="52637"/>
                    <a:stretch/>
                  </pic:blipFill>
                  <pic:spPr bwMode="auto">
                    <a:xfrm>
                      <a:off x="0" y="0"/>
                      <a:ext cx="4147185" cy="861060"/>
                    </a:xfrm>
                    <a:prstGeom prst="rect">
                      <a:avLst/>
                    </a:prstGeom>
                    <a:noFill/>
                    <a:ln>
                      <a:noFill/>
                    </a:ln>
                    <a:extLst>
                      <a:ext uri="{53640926-AAD7-44D8-BBD7-CCE9431645EC}">
                        <a14:shadowObscured xmlns:a14="http://schemas.microsoft.com/office/drawing/2010/main"/>
                      </a:ext>
                    </a:extLst>
                  </pic:spPr>
                </pic:pic>
              </a:graphicData>
            </a:graphic>
          </wp:inline>
        </w:drawing>
      </w:r>
    </w:p>
    <w:p w14:paraId="3F11E472" w14:textId="28CC4399" w:rsidR="005017D2" w:rsidRDefault="005017D2" w:rsidP="005017D2">
      <w:pPr>
        <w:spacing w:after="0" w:line="360" w:lineRule="auto"/>
        <w:jc w:val="both"/>
        <w:rPr>
          <w:rFonts w:ascii="Times New Roman" w:eastAsia="Times New Roman" w:hAnsi="Times New Roman" w:cs="Times New Roman"/>
          <w:sz w:val="24"/>
          <w:szCs w:val="24"/>
        </w:rPr>
      </w:pPr>
      <w:r w:rsidRPr="005017D2">
        <w:rPr>
          <w:rFonts w:ascii="Times New Roman" w:eastAsia="Times New Roman" w:hAnsi="Times New Roman" w:cs="Times New Roman"/>
          <w:sz w:val="24"/>
          <w:szCs w:val="24"/>
        </w:rPr>
        <w:t>The AIC lag selection criterion was used to identify the right lag before executing the ARDL test. The findings show that, the “*” marks are predominantly situated on the first lag. Therefore, it was found that, lag-1 was appropriate and ideal.</w:t>
      </w:r>
    </w:p>
    <w:p w14:paraId="3F4A15A8" w14:textId="77777777" w:rsidR="005017D2" w:rsidRPr="005017D2" w:rsidRDefault="005017D2" w:rsidP="005017D2">
      <w:pPr>
        <w:spacing w:after="0" w:line="360" w:lineRule="auto"/>
        <w:jc w:val="both"/>
        <w:rPr>
          <w:rFonts w:ascii="Times New Roman" w:eastAsia="Times New Roman" w:hAnsi="Times New Roman" w:cs="Times New Roman"/>
          <w:sz w:val="24"/>
          <w:szCs w:val="24"/>
        </w:rPr>
      </w:pPr>
    </w:p>
    <w:p w14:paraId="0A3FE39F" w14:textId="2F7C66D3" w:rsidR="006443A1" w:rsidRPr="00C04EA2" w:rsidRDefault="00C53C63" w:rsidP="005A30C7">
      <w:pPr>
        <w:tabs>
          <w:tab w:val="left" w:pos="3108"/>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ARDL Test</w:t>
      </w:r>
    </w:p>
    <w:p w14:paraId="16F9CADA" w14:textId="7C88841E" w:rsidR="000B7941" w:rsidRPr="00FA1BAD" w:rsidRDefault="00BD66E0" w:rsidP="00FA1BAD">
      <w:pPr>
        <w:spacing w:line="360" w:lineRule="auto"/>
        <w:jc w:val="both"/>
        <w:rPr>
          <w:rStyle w:val="fontstyle01"/>
          <w:rFonts w:ascii="Times New Roman" w:eastAsia="Times New Roman" w:hAnsi="Times New Roman" w:cs="Times New Roman"/>
          <w:color w:val="auto"/>
        </w:rPr>
      </w:pPr>
      <w:r w:rsidRPr="00BD66E0">
        <w:rPr>
          <w:rFonts w:ascii="Times New Roman" w:eastAsia="Times New Roman" w:hAnsi="Times New Roman" w:cs="Times New Roman"/>
          <w:sz w:val="24"/>
          <w:szCs w:val="24"/>
        </w:rPr>
        <w:t>Table 9 displays the bound test and long-run form estimates for the ARDL. According to the rules, the F-statistic is compared to two asymptotic critical values that represent the polar instances in which all variables are either fully I (1) or purely I (0). Accept the null hypothesis that there is no cointegration if the test statistic is less than the lower critical value. On the other hand, reject the null hypothesis and draw the conclusion that there is cointegration between the variables if the test statistic is higher than the upper critical value. On the other hand, testing is deemed inconclusive if the test statistic lies between the lower and higher critical values.</w:t>
      </w:r>
      <w:bookmarkStart w:id="0" w:name="_GoBack"/>
      <w:bookmarkEnd w:id="0"/>
    </w:p>
    <w:p w14:paraId="15BCEC8D" w14:textId="21EF87BF" w:rsidR="00C53C63" w:rsidRPr="00C04EA2" w:rsidRDefault="00C53C63" w:rsidP="005A30C7">
      <w:pPr>
        <w:tabs>
          <w:tab w:val="left" w:pos="3108"/>
        </w:tabs>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t xml:space="preserve">Table </w:t>
      </w:r>
      <w:r w:rsidR="00FA1BAD">
        <w:rPr>
          <w:rFonts w:ascii="Times New Roman" w:hAnsi="Times New Roman" w:cs="Times New Roman"/>
          <w:sz w:val="24"/>
          <w:szCs w:val="24"/>
        </w:rPr>
        <w:t>0</w:t>
      </w:r>
      <w:r w:rsidR="000B7941">
        <w:rPr>
          <w:rFonts w:ascii="Times New Roman" w:hAnsi="Times New Roman" w:cs="Times New Roman"/>
          <w:sz w:val="24"/>
          <w:szCs w:val="24"/>
        </w:rPr>
        <w:t>9</w:t>
      </w:r>
      <w:r w:rsidRPr="00C04EA2">
        <w:rPr>
          <w:rFonts w:ascii="Times New Roman" w:hAnsi="Times New Roman" w:cs="Times New Roman"/>
          <w:sz w:val="24"/>
          <w:szCs w:val="24"/>
        </w:rPr>
        <w:t>: Results of Bounds F-test for Long-run Relationship</w:t>
      </w:r>
    </w:p>
    <w:tbl>
      <w:tblPr>
        <w:tblStyle w:val="TableGrid"/>
        <w:tblW w:w="9445" w:type="dxa"/>
        <w:tblLook w:val="04A0" w:firstRow="1" w:lastRow="0" w:firstColumn="1" w:lastColumn="0" w:noHBand="0" w:noVBand="1"/>
      </w:tblPr>
      <w:tblGrid>
        <w:gridCol w:w="1435"/>
        <w:gridCol w:w="1350"/>
        <w:gridCol w:w="1620"/>
        <w:gridCol w:w="1800"/>
        <w:gridCol w:w="1620"/>
        <w:gridCol w:w="1620"/>
      </w:tblGrid>
      <w:tr w:rsidR="00C21D99" w:rsidRPr="00C04EA2" w14:paraId="279FDA90" w14:textId="77777777" w:rsidTr="00C53E4E">
        <w:tc>
          <w:tcPr>
            <w:tcW w:w="1435" w:type="dxa"/>
          </w:tcPr>
          <w:p w14:paraId="1F50D0B3" w14:textId="1ED82E6E"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Sample Banks</w:t>
            </w:r>
          </w:p>
        </w:tc>
        <w:tc>
          <w:tcPr>
            <w:tcW w:w="1350" w:type="dxa"/>
          </w:tcPr>
          <w:p w14:paraId="7A632363" w14:textId="16C3CBB4"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Lag</w:t>
            </w:r>
          </w:p>
        </w:tc>
        <w:tc>
          <w:tcPr>
            <w:tcW w:w="1620" w:type="dxa"/>
          </w:tcPr>
          <w:p w14:paraId="48518E4A" w14:textId="28399CB9"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F-statistic</w:t>
            </w:r>
          </w:p>
        </w:tc>
        <w:tc>
          <w:tcPr>
            <w:tcW w:w="1800" w:type="dxa"/>
          </w:tcPr>
          <w:p w14:paraId="7BCC9A80" w14:textId="050215B9"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Sig. level (%)</w:t>
            </w:r>
          </w:p>
        </w:tc>
        <w:tc>
          <w:tcPr>
            <w:tcW w:w="1620" w:type="dxa"/>
          </w:tcPr>
          <w:p w14:paraId="735016BC" w14:textId="50567963"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 (0)</w:t>
            </w:r>
          </w:p>
        </w:tc>
        <w:tc>
          <w:tcPr>
            <w:tcW w:w="1620" w:type="dxa"/>
          </w:tcPr>
          <w:p w14:paraId="62851C69" w14:textId="2CCC673D"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 (1)</w:t>
            </w:r>
          </w:p>
        </w:tc>
      </w:tr>
      <w:tr w:rsidR="00C21D99" w:rsidRPr="00C04EA2" w14:paraId="6CFD69EE" w14:textId="77777777" w:rsidTr="00C53E4E">
        <w:trPr>
          <w:trHeight w:val="881"/>
        </w:trPr>
        <w:tc>
          <w:tcPr>
            <w:tcW w:w="1435" w:type="dxa"/>
          </w:tcPr>
          <w:p w14:paraId="3A9087CD" w14:textId="5E552B5B"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FSIBL</w:t>
            </w:r>
          </w:p>
        </w:tc>
        <w:tc>
          <w:tcPr>
            <w:tcW w:w="1350" w:type="dxa"/>
          </w:tcPr>
          <w:p w14:paraId="55B693DF" w14:textId="046D18E8"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5853A807" w14:textId="203E3ECE" w:rsidR="00D63792" w:rsidRPr="00C04EA2" w:rsidRDefault="008D0582"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3.241240</w:t>
            </w:r>
          </w:p>
        </w:tc>
        <w:tc>
          <w:tcPr>
            <w:tcW w:w="1800" w:type="dxa"/>
          </w:tcPr>
          <w:p w14:paraId="5B7C30F9" w14:textId="6D325588"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1F45066C"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1C620277" w14:textId="55BCCE8C"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649A545C" w14:textId="3ABC2964" w:rsidR="009B105C"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5F8CB4DF" w14:textId="75990F64" w:rsidR="009B105C"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7705549C" w14:textId="1003E99B" w:rsidR="009B320A"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1F121AEE" w14:textId="77777777"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2563D85F"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228BEC85" w14:textId="1FE5E715"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6315F1AD" w14:textId="77777777" w:rsidTr="00C53E4E">
        <w:trPr>
          <w:trHeight w:val="800"/>
        </w:trPr>
        <w:tc>
          <w:tcPr>
            <w:tcW w:w="1435" w:type="dxa"/>
          </w:tcPr>
          <w:p w14:paraId="50D5B177" w14:textId="41197666"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IBBL</w:t>
            </w:r>
          </w:p>
        </w:tc>
        <w:tc>
          <w:tcPr>
            <w:tcW w:w="1350" w:type="dxa"/>
          </w:tcPr>
          <w:p w14:paraId="3106128D" w14:textId="6CBFEEFB"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5102696A" w14:textId="5BD993B4"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5.329820</w:t>
            </w:r>
          </w:p>
        </w:tc>
        <w:tc>
          <w:tcPr>
            <w:tcW w:w="1800" w:type="dxa"/>
          </w:tcPr>
          <w:p w14:paraId="482DE522" w14:textId="77777777"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47803F5B"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6492D834" w14:textId="368D1F2A"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2CFD0A7C"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02881550"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707D34C7" w14:textId="39A63E82"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2CDB6ABE"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789AC6C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0E5EBA18" w14:textId="64C88C45"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11387584" w14:textId="77777777" w:rsidTr="00C53E4E">
        <w:tc>
          <w:tcPr>
            <w:tcW w:w="1435" w:type="dxa"/>
          </w:tcPr>
          <w:p w14:paraId="5BE55436" w14:textId="36192432"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AIB</w:t>
            </w:r>
            <w:r w:rsidR="00371016" w:rsidRPr="00C04EA2">
              <w:rPr>
                <w:rFonts w:ascii="Times New Roman" w:hAnsi="Times New Roman" w:cs="Times New Roman"/>
                <w:sz w:val="24"/>
                <w:szCs w:val="24"/>
              </w:rPr>
              <w:t>L</w:t>
            </w:r>
          </w:p>
        </w:tc>
        <w:tc>
          <w:tcPr>
            <w:tcW w:w="1350" w:type="dxa"/>
          </w:tcPr>
          <w:p w14:paraId="07DC77B5" w14:textId="1A3FF8B7"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2FE9174C" w14:textId="629D3EB8"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6.982378</w:t>
            </w:r>
          </w:p>
        </w:tc>
        <w:tc>
          <w:tcPr>
            <w:tcW w:w="1800" w:type="dxa"/>
          </w:tcPr>
          <w:p w14:paraId="4FC449A3"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3849E4DB"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1C2F8F76" w14:textId="05DD7BF4"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6FEDC8BC"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103AD21B"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679F54F7" w14:textId="3B9B0863"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5A8806B5"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2F763E8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668B8349" w14:textId="664967C7"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73144244" w14:textId="77777777" w:rsidTr="00C53E4E">
        <w:tc>
          <w:tcPr>
            <w:tcW w:w="1435" w:type="dxa"/>
          </w:tcPr>
          <w:p w14:paraId="3E01154E" w14:textId="7298C4E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SJIBL</w:t>
            </w:r>
          </w:p>
        </w:tc>
        <w:tc>
          <w:tcPr>
            <w:tcW w:w="1350" w:type="dxa"/>
          </w:tcPr>
          <w:p w14:paraId="4A9B2EB2" w14:textId="23353CC1"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3E5B48F1" w14:textId="605653E1"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251.4649</w:t>
            </w:r>
          </w:p>
        </w:tc>
        <w:tc>
          <w:tcPr>
            <w:tcW w:w="1800" w:type="dxa"/>
          </w:tcPr>
          <w:p w14:paraId="7B2331EA"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103ED3A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4F0A1D11" w14:textId="554A41AC"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7BCDB9B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1E5A65AB"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5209F502" w14:textId="0CFB0FFD"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291F39FA"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2DFFE8E3"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630933C7" w14:textId="4D9627B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4DAB773C" w14:textId="77777777" w:rsidTr="00C53E4E">
        <w:tc>
          <w:tcPr>
            <w:tcW w:w="1435" w:type="dxa"/>
          </w:tcPr>
          <w:p w14:paraId="6B3F16E6" w14:textId="0BF0B1F8"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SIBL</w:t>
            </w:r>
          </w:p>
        </w:tc>
        <w:tc>
          <w:tcPr>
            <w:tcW w:w="1350" w:type="dxa"/>
          </w:tcPr>
          <w:p w14:paraId="6E5E5A7B" w14:textId="4C687B66"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34C2144D" w14:textId="07624695"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5.512573</w:t>
            </w:r>
          </w:p>
        </w:tc>
        <w:tc>
          <w:tcPr>
            <w:tcW w:w="1800" w:type="dxa"/>
          </w:tcPr>
          <w:p w14:paraId="1CC6506F"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7F0869D8"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14918BF1" w14:textId="00D1742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16A11F99"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3E45FD62"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2EB25858" w14:textId="1E167969"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147EED8E"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646C1209"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0AF3FFDD" w14:textId="20FCDEF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bl>
    <w:p w14:paraId="2C81A057" w14:textId="77777777" w:rsidR="00F52303" w:rsidRPr="00C04EA2" w:rsidRDefault="00F52303" w:rsidP="005A30C7">
      <w:pPr>
        <w:spacing w:line="360" w:lineRule="auto"/>
        <w:rPr>
          <w:rFonts w:ascii="Times New Roman" w:hAnsi="Times New Roman" w:cs="Times New Roman"/>
          <w:sz w:val="24"/>
          <w:szCs w:val="24"/>
        </w:rPr>
      </w:pPr>
    </w:p>
    <w:p w14:paraId="1FB58F32" w14:textId="13434490" w:rsidR="00311CE0" w:rsidRPr="00311CE0" w:rsidRDefault="00773EF0" w:rsidP="00311CE0">
      <w:pPr>
        <w:spacing w:line="360" w:lineRule="auto"/>
        <w:jc w:val="both"/>
        <w:rPr>
          <w:rFonts w:ascii="Times New Roman" w:eastAsia="Times New Roman" w:hAnsi="Times New Roman" w:cs="Times New Roman"/>
          <w:sz w:val="24"/>
          <w:szCs w:val="24"/>
        </w:rPr>
      </w:pPr>
      <w:r w:rsidRPr="00C04EA2">
        <w:rPr>
          <w:rStyle w:val="fontstyle01"/>
          <w:rFonts w:ascii="Times New Roman" w:hAnsi="Times New Roman" w:cs="Times New Roman"/>
        </w:rPr>
        <w:t xml:space="preserve">Observe from Table </w:t>
      </w:r>
      <w:r w:rsidR="00390F4E">
        <w:rPr>
          <w:rStyle w:val="fontstyle01"/>
          <w:rFonts w:ascii="Times New Roman" w:hAnsi="Times New Roman" w:cs="Times New Roman"/>
        </w:rPr>
        <w:t>09</w:t>
      </w:r>
      <w:r w:rsidRPr="00C04EA2">
        <w:rPr>
          <w:rStyle w:val="fontstyle01"/>
          <w:rFonts w:ascii="Times New Roman" w:hAnsi="Times New Roman" w:cs="Times New Roman"/>
        </w:rPr>
        <w:t xml:space="preserve"> that</w:t>
      </w:r>
      <w:r w:rsidR="00F10146" w:rsidRPr="00C04EA2">
        <w:rPr>
          <w:rStyle w:val="fontstyle01"/>
          <w:rFonts w:ascii="Times New Roman" w:hAnsi="Times New Roman" w:cs="Times New Roman"/>
        </w:rPr>
        <w:t>,</w:t>
      </w:r>
      <w:r w:rsidRPr="00C04EA2">
        <w:rPr>
          <w:rStyle w:val="fontstyle01"/>
          <w:rFonts w:ascii="Times New Roman" w:hAnsi="Times New Roman" w:cs="Times New Roman"/>
        </w:rPr>
        <w:t xml:space="preserve"> the </w:t>
      </w:r>
      <w:r w:rsidRPr="00C04EA2">
        <w:rPr>
          <w:rStyle w:val="fontstyle21"/>
          <w:rFonts w:ascii="Times New Roman" w:hAnsi="Times New Roman" w:cs="Times New Roman"/>
          <w:i w:val="0"/>
        </w:rPr>
        <w:t>F</w:t>
      </w:r>
      <w:r w:rsidRPr="00C04EA2">
        <w:rPr>
          <w:rStyle w:val="fontstyle01"/>
          <w:rFonts w:ascii="Times New Roman" w:hAnsi="Times New Roman" w:cs="Times New Roman"/>
        </w:rPr>
        <w:t xml:space="preserve">-statistics are </w:t>
      </w:r>
      <w:r w:rsidR="00F10146" w:rsidRPr="00C04EA2">
        <w:rPr>
          <w:rStyle w:val="fontstyle01"/>
          <w:rFonts w:ascii="Times New Roman" w:hAnsi="Times New Roman" w:cs="Times New Roman"/>
        </w:rPr>
        <w:t xml:space="preserve">3.241240, </w:t>
      </w:r>
      <w:r w:rsidR="00F10146" w:rsidRPr="00C04EA2">
        <w:rPr>
          <w:rFonts w:ascii="Times New Roman" w:hAnsi="Times New Roman" w:cs="Times New Roman"/>
          <w:sz w:val="24"/>
          <w:szCs w:val="24"/>
        </w:rPr>
        <w:t>5.329820, 6.982378, 251.4649, and 5.512573</w:t>
      </w:r>
      <w:r w:rsidR="00F76ED8" w:rsidRPr="00C04EA2">
        <w:rPr>
          <w:rStyle w:val="fontstyle01"/>
          <w:rFonts w:ascii="Times New Roman" w:hAnsi="Times New Roman" w:cs="Times New Roman"/>
        </w:rPr>
        <w:t xml:space="preserve"> for FSIBL, IBBL, AIBL, SJIBL, and SIBL respectively.</w:t>
      </w:r>
      <w:r w:rsidRPr="00C04EA2">
        <w:rPr>
          <w:rStyle w:val="fontstyle01"/>
          <w:rFonts w:ascii="Times New Roman" w:hAnsi="Times New Roman" w:cs="Times New Roman"/>
        </w:rPr>
        <w:t xml:space="preserve"> </w:t>
      </w:r>
      <w:r w:rsidR="00BD66E0" w:rsidRPr="00BD66E0">
        <w:rPr>
          <w:rFonts w:ascii="Times New Roman" w:eastAsia="Times New Roman" w:hAnsi="Times New Roman" w:cs="Times New Roman"/>
          <w:sz w:val="24"/>
          <w:szCs w:val="24"/>
        </w:rPr>
        <w:t xml:space="preserve">In the cases of IBBL, AIBL, </w:t>
      </w:r>
      <w:r w:rsidR="00BD66E0" w:rsidRPr="00BD66E0">
        <w:rPr>
          <w:rFonts w:ascii="Times New Roman" w:eastAsia="Times New Roman" w:hAnsi="Times New Roman" w:cs="Times New Roman"/>
          <w:sz w:val="24"/>
          <w:szCs w:val="24"/>
        </w:rPr>
        <w:lastRenderedPageBreak/>
        <w:t xml:space="preserve">SJIBL, and SIBL at the 1%, 5%, and 10% significance levels, this is greater than the upper bound I (1) when compared to the asymptotic critical values, lower bound and upper bound that correspond to the polar cases of all variables being purely I (0) or purely I (1), respectively. Also, the F-statistic for FSIBL is larger at the 5% and 10% significance levels and lower at the 1% significance level relative to the upper bound. </w:t>
      </w:r>
      <w:r w:rsidRPr="00C04EA2">
        <w:rPr>
          <w:rStyle w:val="fontstyle01"/>
          <w:rFonts w:ascii="Times New Roman" w:hAnsi="Times New Roman" w:cs="Times New Roman"/>
        </w:rPr>
        <w:t>Hence, the results indicate evidence of long-run relationship among the variables</w:t>
      </w:r>
      <w:r w:rsidR="00F76ED8" w:rsidRPr="00C04EA2">
        <w:rPr>
          <w:rStyle w:val="fontstyle01"/>
          <w:rFonts w:ascii="Times New Roman" w:hAnsi="Times New Roman" w:cs="Times New Roman"/>
        </w:rPr>
        <w:t xml:space="preserve"> of</w:t>
      </w:r>
      <w:r w:rsidR="00C53C63" w:rsidRPr="00C04EA2">
        <w:rPr>
          <w:rStyle w:val="fontstyle01"/>
          <w:rFonts w:ascii="Times New Roman" w:hAnsi="Times New Roman" w:cs="Times New Roman"/>
        </w:rPr>
        <w:t xml:space="preserve"> </w:t>
      </w:r>
      <w:r w:rsidR="00473B8F" w:rsidRPr="00C04EA2">
        <w:rPr>
          <w:rStyle w:val="fontstyle01"/>
          <w:rFonts w:ascii="Times New Roman" w:hAnsi="Times New Roman" w:cs="Times New Roman"/>
        </w:rPr>
        <w:t>FSIBL, IBBL, AIBL, SJIBL, and SIBL</w:t>
      </w:r>
      <w:r w:rsidR="00C53C63" w:rsidRPr="00C04EA2">
        <w:rPr>
          <w:rStyle w:val="fontstyle01"/>
          <w:rFonts w:ascii="Times New Roman" w:hAnsi="Times New Roman" w:cs="Times New Roman"/>
        </w:rPr>
        <w:t>, except</w:t>
      </w:r>
      <w:r w:rsidR="00F76ED8" w:rsidRPr="00C04EA2">
        <w:rPr>
          <w:rStyle w:val="fontstyle01"/>
          <w:rFonts w:ascii="Times New Roman" w:hAnsi="Times New Roman" w:cs="Times New Roman"/>
        </w:rPr>
        <w:t xml:space="preserve"> a short run relationship among the variables of FSIBL</w:t>
      </w:r>
      <w:r w:rsidR="00C53C63" w:rsidRPr="00C04EA2">
        <w:rPr>
          <w:rStyle w:val="fontstyle01"/>
          <w:rFonts w:ascii="Times New Roman" w:hAnsi="Times New Roman" w:cs="Times New Roman"/>
        </w:rPr>
        <w:t xml:space="preserve"> only at 1% significance level</w:t>
      </w:r>
      <w:r w:rsidRPr="00C04EA2">
        <w:rPr>
          <w:rStyle w:val="fontstyle01"/>
          <w:rFonts w:ascii="Times New Roman" w:hAnsi="Times New Roman" w:cs="Times New Roman"/>
        </w:rPr>
        <w:t xml:space="preserve">. </w:t>
      </w:r>
      <w:r w:rsidR="00311CE0" w:rsidRPr="00311CE0">
        <w:rPr>
          <w:rFonts w:ascii="Times New Roman" w:eastAsia="Times New Roman" w:hAnsi="Times New Roman" w:cs="Times New Roman"/>
          <w:sz w:val="24"/>
          <w:szCs w:val="24"/>
        </w:rPr>
        <w:t>The overall F-statistic indicates that there is evidence to support a long-standing connection between Bangladesh's economic growth and the financial performances of Islamic banks. This relationship is significant enough to reject the null hypothesis that there is no cointegration among Islamic banks' financing.</w:t>
      </w:r>
    </w:p>
    <w:p w14:paraId="5F4BF344" w14:textId="400F32EF" w:rsidR="008810B3" w:rsidRPr="00C04EA2" w:rsidRDefault="00371016" w:rsidP="005A30C7">
      <w:pPr>
        <w:spacing w:after="0" w:line="360" w:lineRule="auto"/>
        <w:rPr>
          <w:rFonts w:ascii="Times New Roman" w:hAnsi="Times New Roman" w:cs="Times New Roman"/>
          <w:b/>
          <w:sz w:val="24"/>
          <w:szCs w:val="24"/>
        </w:rPr>
      </w:pPr>
      <w:r w:rsidRPr="00C04EA2">
        <w:rPr>
          <w:rFonts w:ascii="Times New Roman" w:hAnsi="Times New Roman" w:cs="Times New Roman"/>
          <w:b/>
          <w:sz w:val="24"/>
          <w:szCs w:val="24"/>
        </w:rPr>
        <w:t xml:space="preserve">Granger Causality </w:t>
      </w:r>
      <w:r w:rsidR="00303710" w:rsidRPr="00C04EA2">
        <w:rPr>
          <w:rFonts w:ascii="Times New Roman" w:hAnsi="Times New Roman" w:cs="Times New Roman"/>
          <w:b/>
          <w:sz w:val="24"/>
          <w:szCs w:val="24"/>
        </w:rPr>
        <w:t>Analysis</w:t>
      </w:r>
    </w:p>
    <w:p w14:paraId="63415C59" w14:textId="7D3760A2" w:rsidR="000B7941" w:rsidRPr="00FA1BAD" w:rsidRDefault="00F75F5F" w:rsidP="00FA1BAD">
      <w:pPr>
        <w:spacing w:line="360" w:lineRule="auto"/>
        <w:jc w:val="both"/>
        <w:rPr>
          <w:rFonts w:ascii="Times New Roman" w:eastAsia="Times New Roman" w:hAnsi="Times New Roman" w:cs="Times New Roman"/>
          <w:sz w:val="24"/>
          <w:szCs w:val="24"/>
        </w:rPr>
      </w:pPr>
      <w:r w:rsidRPr="00F75F5F">
        <w:rPr>
          <w:rFonts w:ascii="Times New Roman" w:eastAsia="Times New Roman" w:hAnsi="Times New Roman" w:cs="Times New Roman"/>
          <w:sz w:val="24"/>
          <w:szCs w:val="24"/>
        </w:rPr>
        <w:t>This section presents the findings from the paired Granger causality test, which was used to determine whether the performance of Islamic banks and Bangladesh's economic growth are causally related. The test has a maximum of one lag duration. To decide whether to accept or reject the null hypothesis, the F-statistics and accompanying p-values were consulted. The decision-making process involves rejecting the null hypothesis that there is a causal association between GDP and ROA, GDP and EPS in the cases of FSIBL and IBBL, respectively, and between GDP and AU in the cases of AIBL, SJIBL, and SIBL, provided the p-value is lower than the 0.05 (P &lt; 5%) significant threshold.</w:t>
      </w:r>
    </w:p>
    <w:p w14:paraId="402A5E3D" w14:textId="6FA2AF74" w:rsidR="00356FF4" w:rsidRPr="00C04EA2" w:rsidRDefault="00227ADD" w:rsidP="005A30C7">
      <w:pPr>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t xml:space="preserve">Table </w:t>
      </w:r>
      <w:r w:rsidR="000B7941">
        <w:rPr>
          <w:rFonts w:ascii="Times New Roman" w:hAnsi="Times New Roman" w:cs="Times New Roman"/>
          <w:sz w:val="24"/>
          <w:szCs w:val="24"/>
        </w:rPr>
        <w:t>10</w:t>
      </w:r>
      <w:r w:rsidRPr="00C04EA2">
        <w:rPr>
          <w:rFonts w:ascii="Times New Roman" w:hAnsi="Times New Roman" w:cs="Times New Roman"/>
          <w:sz w:val="24"/>
          <w:szCs w:val="24"/>
        </w:rPr>
        <w:t>: Results of Granger Causality Analysis</w:t>
      </w:r>
    </w:p>
    <w:tbl>
      <w:tblPr>
        <w:tblStyle w:val="TableGrid"/>
        <w:tblW w:w="10080" w:type="dxa"/>
        <w:tblInd w:w="-275" w:type="dxa"/>
        <w:tblLayout w:type="fixed"/>
        <w:tblLook w:val="04A0" w:firstRow="1" w:lastRow="0" w:firstColumn="1" w:lastColumn="0" w:noHBand="0" w:noVBand="1"/>
      </w:tblPr>
      <w:tblGrid>
        <w:gridCol w:w="1016"/>
        <w:gridCol w:w="784"/>
        <w:gridCol w:w="3690"/>
        <w:gridCol w:w="540"/>
        <w:gridCol w:w="1080"/>
        <w:gridCol w:w="990"/>
        <w:gridCol w:w="1980"/>
      </w:tblGrid>
      <w:tr w:rsidR="00997034" w:rsidRPr="00C04EA2" w14:paraId="0D1A1088" w14:textId="22CBF339" w:rsidTr="000333A3">
        <w:tc>
          <w:tcPr>
            <w:tcW w:w="1016" w:type="dxa"/>
          </w:tcPr>
          <w:p w14:paraId="692F3A72" w14:textId="77777777" w:rsidR="00997034" w:rsidRPr="00C04EA2" w:rsidRDefault="00997034" w:rsidP="005A30C7">
            <w:pPr>
              <w:spacing w:line="360" w:lineRule="auto"/>
              <w:rPr>
                <w:rFonts w:ascii="Times New Roman" w:hAnsi="Times New Roman" w:cs="Times New Roman"/>
                <w:sz w:val="24"/>
                <w:szCs w:val="24"/>
              </w:rPr>
            </w:pPr>
          </w:p>
        </w:tc>
        <w:tc>
          <w:tcPr>
            <w:tcW w:w="784" w:type="dxa"/>
          </w:tcPr>
          <w:p w14:paraId="53E21B67" w14:textId="44E5B43D"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Pair</w:t>
            </w:r>
          </w:p>
        </w:tc>
        <w:tc>
          <w:tcPr>
            <w:tcW w:w="3690" w:type="dxa"/>
          </w:tcPr>
          <w:p w14:paraId="24421F27" w14:textId="32C8CFEF"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Null Hypothesis</w:t>
            </w:r>
          </w:p>
        </w:tc>
        <w:tc>
          <w:tcPr>
            <w:tcW w:w="540" w:type="dxa"/>
          </w:tcPr>
          <w:p w14:paraId="17B1E1C1" w14:textId="019E8CC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Obs.</w:t>
            </w:r>
          </w:p>
        </w:tc>
        <w:tc>
          <w:tcPr>
            <w:tcW w:w="1080" w:type="dxa"/>
          </w:tcPr>
          <w:p w14:paraId="1E2E60A3" w14:textId="621B4DF9"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F-statistic</w:t>
            </w:r>
          </w:p>
        </w:tc>
        <w:tc>
          <w:tcPr>
            <w:tcW w:w="990" w:type="dxa"/>
          </w:tcPr>
          <w:p w14:paraId="743E178A" w14:textId="5FE4A00B"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Prob.</w:t>
            </w:r>
          </w:p>
        </w:tc>
        <w:tc>
          <w:tcPr>
            <w:tcW w:w="1980" w:type="dxa"/>
          </w:tcPr>
          <w:p w14:paraId="053EA4A8" w14:textId="288F2A05"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Causal Relationship</w:t>
            </w:r>
          </w:p>
        </w:tc>
      </w:tr>
      <w:tr w:rsidR="00997034" w:rsidRPr="00C04EA2" w14:paraId="07EA1463" w14:textId="4F3F776E" w:rsidTr="000333A3">
        <w:trPr>
          <w:trHeight w:val="764"/>
        </w:trPr>
        <w:tc>
          <w:tcPr>
            <w:tcW w:w="1016" w:type="dxa"/>
          </w:tcPr>
          <w:p w14:paraId="3BF8ED93" w14:textId="35EFE3E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FSIBL</w:t>
            </w:r>
          </w:p>
        </w:tc>
        <w:tc>
          <w:tcPr>
            <w:tcW w:w="784" w:type="dxa"/>
          </w:tcPr>
          <w:p w14:paraId="57BEF4C5" w14:textId="4CD9899D"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GDP/ROA</w:t>
            </w:r>
          </w:p>
        </w:tc>
        <w:tc>
          <w:tcPr>
            <w:tcW w:w="3690" w:type="dxa"/>
          </w:tcPr>
          <w:p w14:paraId="7E60C32A" w14:textId="47AD4D1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ROA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72A8D151" w14:textId="6480307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ROA</w:t>
            </w:r>
          </w:p>
          <w:p w14:paraId="53C117A3" w14:textId="2B94968F" w:rsidR="00997034" w:rsidRPr="00C04EA2" w:rsidRDefault="00997034" w:rsidP="005A30C7">
            <w:pPr>
              <w:spacing w:line="360" w:lineRule="auto"/>
              <w:rPr>
                <w:rFonts w:ascii="Times New Roman" w:hAnsi="Times New Roman" w:cs="Times New Roman"/>
                <w:sz w:val="24"/>
                <w:szCs w:val="24"/>
              </w:rPr>
            </w:pPr>
          </w:p>
        </w:tc>
        <w:tc>
          <w:tcPr>
            <w:tcW w:w="540" w:type="dxa"/>
          </w:tcPr>
          <w:p w14:paraId="31B49B89" w14:textId="3822809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6E209809"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33.6724</w:t>
            </w:r>
          </w:p>
          <w:p w14:paraId="78BFB002" w14:textId="435DF806"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2.31370</w:t>
            </w:r>
          </w:p>
        </w:tc>
        <w:tc>
          <w:tcPr>
            <w:tcW w:w="990" w:type="dxa"/>
          </w:tcPr>
          <w:p w14:paraId="52EFB8EE" w14:textId="5E0C730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0.0088</w:t>
            </w:r>
          </w:p>
          <w:p w14:paraId="6CD02360" w14:textId="4D2F9E4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0.2467</w:t>
            </w:r>
          </w:p>
        </w:tc>
        <w:tc>
          <w:tcPr>
            <w:tcW w:w="1980" w:type="dxa"/>
          </w:tcPr>
          <w:p w14:paraId="180A4C46"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50D58BDB" w14:textId="3D40247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31EA3753" w14:textId="2B6322AE" w:rsidTr="000333A3">
        <w:tc>
          <w:tcPr>
            <w:tcW w:w="1016" w:type="dxa"/>
          </w:tcPr>
          <w:p w14:paraId="3A1CCCD8" w14:textId="431E37C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IBBL</w:t>
            </w:r>
          </w:p>
        </w:tc>
        <w:tc>
          <w:tcPr>
            <w:tcW w:w="784" w:type="dxa"/>
          </w:tcPr>
          <w:p w14:paraId="7DEB3AC1" w14:textId="50E3BC86"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GDP/EPS</w:t>
            </w:r>
          </w:p>
        </w:tc>
        <w:tc>
          <w:tcPr>
            <w:tcW w:w="3690" w:type="dxa"/>
          </w:tcPr>
          <w:p w14:paraId="528A9F8F" w14:textId="4D92930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EPS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2B181F65" w14:textId="4C8C276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EPS</w:t>
            </w:r>
          </w:p>
          <w:p w14:paraId="4439F879"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7EFE0542" w14:textId="2AB63895"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02D226D1" w14:textId="64962F6D"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15.3552</w:t>
            </w:r>
          </w:p>
          <w:p w14:paraId="721CA3DE" w14:textId="5D8DC97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1.99531</w:t>
            </w:r>
          </w:p>
        </w:tc>
        <w:tc>
          <w:tcPr>
            <w:tcW w:w="990" w:type="dxa"/>
          </w:tcPr>
          <w:p w14:paraId="53EC4A71" w14:textId="29C37AA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0.0265</w:t>
            </w:r>
          </w:p>
          <w:p w14:paraId="4FC77542" w14:textId="2B26109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0.2811</w:t>
            </w:r>
          </w:p>
        </w:tc>
        <w:tc>
          <w:tcPr>
            <w:tcW w:w="1980" w:type="dxa"/>
          </w:tcPr>
          <w:p w14:paraId="7D96038A"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15364A0D" w14:textId="7B1DF78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43863643" w14:textId="5EC38A38" w:rsidTr="000333A3">
        <w:tc>
          <w:tcPr>
            <w:tcW w:w="1016" w:type="dxa"/>
          </w:tcPr>
          <w:p w14:paraId="01593689" w14:textId="0338A88C"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AIBL</w:t>
            </w:r>
          </w:p>
        </w:tc>
        <w:tc>
          <w:tcPr>
            <w:tcW w:w="784" w:type="dxa"/>
          </w:tcPr>
          <w:p w14:paraId="568DCEE7" w14:textId="15A3214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GDP/AU</w:t>
            </w:r>
          </w:p>
        </w:tc>
        <w:tc>
          <w:tcPr>
            <w:tcW w:w="3690" w:type="dxa"/>
          </w:tcPr>
          <w:p w14:paraId="5779357D" w14:textId="438A0C1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AU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6005E768" w14:textId="6B18B912"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AU</w:t>
            </w:r>
          </w:p>
          <w:p w14:paraId="19476969"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63A398E4" w14:textId="0217DD16"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lastRenderedPageBreak/>
              <w:t>8</w:t>
            </w:r>
          </w:p>
        </w:tc>
        <w:tc>
          <w:tcPr>
            <w:tcW w:w="1080" w:type="dxa"/>
          </w:tcPr>
          <w:p w14:paraId="1A98E126" w14:textId="102079B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16.4731</w:t>
            </w:r>
          </w:p>
          <w:p w14:paraId="162D4211" w14:textId="21EA2ED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1.34567</w:t>
            </w:r>
          </w:p>
        </w:tc>
        <w:tc>
          <w:tcPr>
            <w:tcW w:w="990" w:type="dxa"/>
          </w:tcPr>
          <w:p w14:paraId="2ABA4273" w14:textId="153E7BA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0.0241</w:t>
            </w:r>
          </w:p>
          <w:p w14:paraId="614C347B" w14:textId="0163BB7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0.3827</w:t>
            </w:r>
          </w:p>
        </w:tc>
        <w:tc>
          <w:tcPr>
            <w:tcW w:w="1980" w:type="dxa"/>
          </w:tcPr>
          <w:p w14:paraId="5CF532ED"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0E9A7AB6" w14:textId="791FD15F"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22A4FE7A" w14:textId="57624EF7" w:rsidTr="000333A3">
        <w:tc>
          <w:tcPr>
            <w:tcW w:w="1016" w:type="dxa"/>
          </w:tcPr>
          <w:p w14:paraId="0EDC918B" w14:textId="056A463B"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SJIBL</w:t>
            </w:r>
          </w:p>
        </w:tc>
        <w:tc>
          <w:tcPr>
            <w:tcW w:w="784" w:type="dxa"/>
          </w:tcPr>
          <w:p w14:paraId="3EC835DF" w14:textId="64215DC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GDP/AU</w:t>
            </w:r>
          </w:p>
        </w:tc>
        <w:tc>
          <w:tcPr>
            <w:tcW w:w="3690" w:type="dxa"/>
          </w:tcPr>
          <w:p w14:paraId="5D8B694E" w14:textId="1E53634C"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AU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4853BE16" w14:textId="42B054D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AU</w:t>
            </w:r>
          </w:p>
          <w:p w14:paraId="21C78494"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7E35F010" w14:textId="3374F319"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51625200" w14:textId="56599A8A"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6.02411</w:t>
            </w:r>
          </w:p>
          <w:p w14:paraId="76478EE5" w14:textId="57CE911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0.18563</w:t>
            </w:r>
          </w:p>
        </w:tc>
        <w:tc>
          <w:tcPr>
            <w:tcW w:w="990" w:type="dxa"/>
          </w:tcPr>
          <w:p w14:paraId="180FCCF6" w14:textId="4304A46C"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0.0495</w:t>
            </w:r>
          </w:p>
          <w:p w14:paraId="3241D569" w14:textId="7C7279F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0.6816</w:t>
            </w:r>
          </w:p>
        </w:tc>
        <w:tc>
          <w:tcPr>
            <w:tcW w:w="1980" w:type="dxa"/>
          </w:tcPr>
          <w:p w14:paraId="6BF631A0"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717C3211" w14:textId="0254A4A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45CFC063" w14:textId="4499BC4C" w:rsidTr="000333A3">
        <w:tc>
          <w:tcPr>
            <w:tcW w:w="1016" w:type="dxa"/>
          </w:tcPr>
          <w:p w14:paraId="2EC3664A" w14:textId="561D8D7A"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SIBL</w:t>
            </w:r>
          </w:p>
        </w:tc>
        <w:tc>
          <w:tcPr>
            <w:tcW w:w="784" w:type="dxa"/>
          </w:tcPr>
          <w:p w14:paraId="1937E1CD" w14:textId="6AF1EC9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GDP/AU</w:t>
            </w:r>
          </w:p>
        </w:tc>
        <w:tc>
          <w:tcPr>
            <w:tcW w:w="3690" w:type="dxa"/>
          </w:tcPr>
          <w:p w14:paraId="4FB02948" w14:textId="500AEDD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AU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342CA073" w14:textId="6A9D2C5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AU</w:t>
            </w:r>
          </w:p>
          <w:p w14:paraId="0FDE42CD"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5CB57755" w14:textId="72E35E2A"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416D6E53" w14:textId="205D38EB"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0.13167</w:t>
            </w:r>
          </w:p>
          <w:p w14:paraId="38AFCEF2" w14:textId="18C6E6A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58.8854</w:t>
            </w:r>
          </w:p>
        </w:tc>
        <w:tc>
          <w:tcPr>
            <w:tcW w:w="990" w:type="dxa"/>
          </w:tcPr>
          <w:p w14:paraId="2A0A7692" w14:textId="3151BD6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0.8814</w:t>
            </w:r>
          </w:p>
          <w:p w14:paraId="4BA2F64D" w14:textId="360C5AC2"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0.0039</w:t>
            </w:r>
          </w:p>
        </w:tc>
        <w:tc>
          <w:tcPr>
            <w:tcW w:w="1980" w:type="dxa"/>
          </w:tcPr>
          <w:p w14:paraId="7AA819B7"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58D98ED8" w14:textId="3DD4DFA9"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bl>
    <w:p w14:paraId="49FBCA45" w14:textId="77777777" w:rsidR="000333A3" w:rsidRPr="00C04EA2" w:rsidRDefault="000333A3" w:rsidP="005A30C7">
      <w:pPr>
        <w:spacing w:line="360" w:lineRule="auto"/>
        <w:jc w:val="both"/>
        <w:rPr>
          <w:rFonts w:ascii="Times New Roman" w:hAnsi="Times New Roman" w:cs="Times New Roman"/>
          <w:sz w:val="24"/>
          <w:szCs w:val="24"/>
        </w:rPr>
      </w:pPr>
    </w:p>
    <w:p w14:paraId="62836C87" w14:textId="69B5592E" w:rsidR="00BD66E0" w:rsidRPr="00BD66E0" w:rsidRDefault="00F75F5F" w:rsidP="00BD66E0">
      <w:pPr>
        <w:spacing w:after="0" w:line="360" w:lineRule="auto"/>
        <w:jc w:val="both"/>
        <w:rPr>
          <w:rFonts w:ascii="Times New Roman" w:eastAsia="Times New Roman" w:hAnsi="Times New Roman" w:cs="Times New Roman"/>
          <w:sz w:val="24"/>
          <w:szCs w:val="24"/>
        </w:rPr>
      </w:pPr>
      <w:r w:rsidRPr="00F75F5F">
        <w:rPr>
          <w:rFonts w:ascii="Times New Roman" w:eastAsia="Times New Roman" w:hAnsi="Times New Roman" w:cs="Times New Roman"/>
          <w:sz w:val="24"/>
          <w:szCs w:val="24"/>
        </w:rPr>
        <w:t xml:space="preserve">According to Table 10's Granger causality study results, return on assets leads to GDP in the case of FSIBL, and we cannot rule out the causal relationship between GDP and ROA. Furthermore, we can accept the causal association between GDP and EPS and reject the null hypothesis, meaning that in the instance of IBBL, earning per share leads to GDP. The null hypothesis—that asset utilization causes GDP—may be rejected in the cases of AIBL and SJIBL, however, where we can clearly observe a causal relationship between GDP and AU. On the other hand, in the SIBL scenario, we are able to reject the null hypothesis and acknowledge the causal relationship between GDP and AU, in which case asset usage is a result of GDP. </w:t>
      </w:r>
      <w:r w:rsidR="00BD66E0" w:rsidRPr="00BD66E0">
        <w:rPr>
          <w:rFonts w:ascii="Times New Roman" w:eastAsia="Times New Roman" w:hAnsi="Times New Roman" w:cs="Times New Roman"/>
          <w:sz w:val="24"/>
          <w:szCs w:val="24"/>
        </w:rPr>
        <w:t>We can conclude that there is a one-way relationship in all cases between financial ratios and GDP. Table 10 shows that there is a substantial causal relationship between Bangladesh's GDP and the financial ratio of Islamic banks. The p-value is below any traditional level of significance, which makes this clear. Therefore, it appears that during the 2010–2019 study period, GDP and financial ratios are statistically linked. It is additionally apparent that the economic progress of Bangladesh is positively and considerably impacted by the functioning of Islamic banks.</w:t>
      </w:r>
    </w:p>
    <w:p w14:paraId="4D9DA4D0" w14:textId="09C52AA4" w:rsidR="00371016" w:rsidRDefault="00371016" w:rsidP="005A30C7">
      <w:pPr>
        <w:spacing w:line="360" w:lineRule="auto"/>
        <w:rPr>
          <w:rFonts w:ascii="Times New Roman" w:hAnsi="Times New Roman" w:cs="Times New Roman"/>
          <w:sz w:val="24"/>
          <w:szCs w:val="24"/>
        </w:rPr>
      </w:pPr>
    </w:p>
    <w:p w14:paraId="6C018C0C" w14:textId="0F0F2311" w:rsidR="00C82735" w:rsidRDefault="00C82735" w:rsidP="00C82735">
      <w:pPr>
        <w:spacing w:line="360" w:lineRule="auto"/>
        <w:jc w:val="center"/>
        <w:rPr>
          <w:rFonts w:ascii="Times New Roman" w:hAnsi="Times New Roman" w:cs="Times New Roman"/>
          <w:b/>
          <w:sz w:val="24"/>
          <w:szCs w:val="24"/>
        </w:rPr>
      </w:pPr>
      <w:r w:rsidRPr="00C82735">
        <w:rPr>
          <w:rFonts w:ascii="Times New Roman" w:hAnsi="Times New Roman" w:cs="Times New Roman"/>
          <w:b/>
          <w:sz w:val="24"/>
          <w:szCs w:val="24"/>
        </w:rPr>
        <w:t>DISCUSSION</w:t>
      </w:r>
    </w:p>
    <w:p w14:paraId="6D928C48" w14:textId="2C98C193" w:rsidR="00C82735" w:rsidRPr="00965A1B" w:rsidRDefault="00C82735" w:rsidP="00965A1B">
      <w:pPr>
        <w:spacing w:line="360" w:lineRule="auto"/>
        <w:jc w:val="both"/>
        <w:rPr>
          <w:rFonts w:ascii="Times New Roman" w:eastAsia="Times New Roman" w:hAnsi="Times New Roman" w:cs="Times New Roman"/>
          <w:sz w:val="24"/>
          <w:szCs w:val="24"/>
        </w:rPr>
      </w:pPr>
      <w:r w:rsidRPr="00C04EA2">
        <w:rPr>
          <w:rFonts w:ascii="Times New Roman" w:hAnsi="Times New Roman" w:cs="Times New Roman"/>
          <w:sz w:val="24"/>
          <w:szCs w:val="24"/>
        </w:rPr>
        <w:t xml:space="preserve">The ARDL test's findings indicate that there is a long-term relationship between GDP and the sample banks' financial ratios, which means that, Islamic banks' performance significantly influenced Bangladesh's economic growth. </w:t>
      </w:r>
      <w:r w:rsidR="00965A1B" w:rsidRPr="00965A1B">
        <w:rPr>
          <w:rFonts w:ascii="Times New Roman" w:eastAsia="Times New Roman" w:hAnsi="Times New Roman" w:cs="Times New Roman"/>
          <w:sz w:val="24"/>
          <w:szCs w:val="24"/>
        </w:rPr>
        <w:t>The Granger Causality Analysis also revealed a causal relationship between the performance of Islamic banks and Bangladesh's economic expansion. Put another way, Bangladesh's Islamic banking industry contributes to the nation's economic expansion.</w:t>
      </w:r>
      <w:r w:rsidR="006836BC">
        <w:rPr>
          <w:rFonts w:ascii="Times New Roman" w:hAnsi="Times New Roman" w:cs="Times New Roman"/>
          <w:sz w:val="24"/>
          <w:szCs w:val="24"/>
        </w:rPr>
        <w:t xml:space="preserve"> The </w:t>
      </w:r>
      <w:r w:rsidR="00965A1B">
        <w:rPr>
          <w:rFonts w:ascii="Times New Roman" w:hAnsi="Times New Roman" w:cs="Times New Roman"/>
          <w:sz w:val="24"/>
          <w:szCs w:val="24"/>
        </w:rPr>
        <w:t>result</w:t>
      </w:r>
      <w:r w:rsidR="006836BC">
        <w:rPr>
          <w:rFonts w:ascii="Times New Roman" w:hAnsi="Times New Roman" w:cs="Times New Roman"/>
          <w:sz w:val="24"/>
          <w:szCs w:val="24"/>
        </w:rPr>
        <w:t xml:space="preserve">s are similar to the outcomes found by </w:t>
      </w:r>
      <w:proofErr w:type="spellStart"/>
      <w:r w:rsidR="006836BC" w:rsidRPr="00C04EA2">
        <w:rPr>
          <w:rFonts w:ascii="Times New Roman" w:hAnsi="Times New Roman" w:cs="Times New Roman"/>
          <w:sz w:val="24"/>
          <w:szCs w:val="24"/>
        </w:rPr>
        <w:t>Furqani</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Mulyayn</w:t>
      </w:r>
      <w:proofErr w:type="spellEnd"/>
      <w:r w:rsidR="006836BC" w:rsidRPr="00C04EA2">
        <w:rPr>
          <w:rFonts w:ascii="Times New Roman" w:hAnsi="Times New Roman" w:cs="Times New Roman"/>
          <w:sz w:val="24"/>
          <w:szCs w:val="24"/>
        </w:rPr>
        <w:t xml:space="preserve"> (2009)</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Tabash</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lastRenderedPageBreak/>
        <w:t>and</w:t>
      </w:r>
      <w:r w:rsidR="006836BC" w:rsidRPr="00C04EA2">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Dhankar</w:t>
      </w:r>
      <w:proofErr w:type="spellEnd"/>
      <w:r w:rsidR="006836BC" w:rsidRPr="00C04EA2">
        <w:rPr>
          <w:rFonts w:ascii="Times New Roman" w:hAnsi="Times New Roman" w:cs="Times New Roman"/>
          <w:sz w:val="24"/>
          <w:szCs w:val="24"/>
        </w:rPr>
        <w:t xml:space="preserve"> (2014a), </w:t>
      </w:r>
      <w:proofErr w:type="spellStart"/>
      <w:r w:rsidR="006836BC" w:rsidRPr="00C04EA2">
        <w:rPr>
          <w:rFonts w:ascii="Times New Roman" w:hAnsi="Times New Roman" w:cs="Times New Roman"/>
          <w:sz w:val="24"/>
          <w:szCs w:val="24"/>
        </w:rPr>
        <w:t>Abduh</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Chowdhury (2012), </w:t>
      </w:r>
      <w:proofErr w:type="spellStart"/>
      <w:r w:rsidR="006836BC" w:rsidRPr="00C04EA2">
        <w:rPr>
          <w:rFonts w:ascii="Times New Roman" w:hAnsi="Times New Roman" w:cs="Times New Roman"/>
          <w:sz w:val="24"/>
          <w:szCs w:val="24"/>
        </w:rPr>
        <w:t>Yazdan</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Dastan (2013), </w:t>
      </w:r>
      <w:proofErr w:type="spellStart"/>
      <w:r w:rsidR="006836BC" w:rsidRPr="00C04EA2">
        <w:rPr>
          <w:rFonts w:ascii="Times New Roman" w:hAnsi="Times New Roman" w:cs="Times New Roman"/>
          <w:sz w:val="24"/>
          <w:szCs w:val="24"/>
        </w:rPr>
        <w:t>Tabash</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Dhankar</w:t>
      </w:r>
      <w:proofErr w:type="spellEnd"/>
      <w:r w:rsidR="006836BC" w:rsidRPr="00C04EA2">
        <w:rPr>
          <w:rFonts w:ascii="Times New Roman" w:hAnsi="Times New Roman" w:cs="Times New Roman"/>
          <w:sz w:val="24"/>
          <w:szCs w:val="24"/>
        </w:rPr>
        <w:t xml:space="preserve"> (2014b), </w:t>
      </w:r>
      <w:proofErr w:type="spellStart"/>
      <w:r w:rsidR="006836BC" w:rsidRPr="00C04EA2">
        <w:rPr>
          <w:rFonts w:ascii="Times New Roman" w:hAnsi="Times New Roman" w:cs="Times New Roman"/>
          <w:sz w:val="24"/>
          <w:szCs w:val="24"/>
        </w:rPr>
        <w:t>Atici</w:t>
      </w:r>
      <w:proofErr w:type="spellEnd"/>
      <w:r w:rsidR="006836BC" w:rsidRPr="00C04EA2">
        <w:rPr>
          <w:rFonts w:ascii="Times New Roman" w:hAnsi="Times New Roman" w:cs="Times New Roman"/>
          <w:sz w:val="24"/>
          <w:szCs w:val="24"/>
        </w:rPr>
        <w:t xml:space="preserve"> (2018), Jawad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Christian (2019</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Kassim</w:t>
      </w:r>
      <w:proofErr w:type="spellEnd"/>
      <w:r w:rsidR="006836BC" w:rsidRPr="00C04EA2">
        <w:rPr>
          <w:rFonts w:ascii="Times New Roman" w:hAnsi="Times New Roman" w:cs="Times New Roman"/>
          <w:sz w:val="24"/>
          <w:szCs w:val="24"/>
        </w:rPr>
        <w:t xml:space="preserve"> (2016), </w:t>
      </w:r>
      <w:proofErr w:type="spellStart"/>
      <w:r w:rsidR="006836BC" w:rsidRPr="00C04EA2">
        <w:rPr>
          <w:rFonts w:ascii="Times New Roman" w:hAnsi="Times New Roman" w:cs="Times New Roman"/>
          <w:sz w:val="24"/>
          <w:szCs w:val="24"/>
        </w:rPr>
        <w:t>Yazdan</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Sadr (2012), M. Anwar et. al. (2020)</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Sarwer</w:t>
      </w:r>
      <w:proofErr w:type="spellEnd"/>
      <w:r w:rsidR="006836BC" w:rsidRPr="00C04EA2">
        <w:rPr>
          <w:rFonts w:ascii="Times New Roman" w:hAnsi="Times New Roman" w:cs="Times New Roman"/>
          <w:sz w:val="24"/>
          <w:szCs w:val="24"/>
        </w:rPr>
        <w:t xml:space="preserve"> et. al. (2013), Yusof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Bahlous</w:t>
      </w:r>
      <w:proofErr w:type="spellEnd"/>
      <w:r w:rsidR="006836BC" w:rsidRPr="00C04EA2">
        <w:rPr>
          <w:rFonts w:ascii="Times New Roman" w:hAnsi="Times New Roman" w:cs="Times New Roman"/>
          <w:sz w:val="24"/>
          <w:szCs w:val="24"/>
        </w:rPr>
        <w:t xml:space="preserve"> (2013) </w:t>
      </w:r>
      <w:r w:rsidR="006836BC">
        <w:rPr>
          <w:rFonts w:ascii="Times New Roman" w:hAnsi="Times New Roman" w:cs="Times New Roman"/>
          <w:sz w:val="24"/>
          <w:szCs w:val="24"/>
        </w:rPr>
        <w:t>and many more. On the other hand, the findings are dissimilar with the investigation done by</w:t>
      </w:r>
      <w:r w:rsidR="006836BC" w:rsidRPr="00C04EA2">
        <w:rPr>
          <w:rFonts w:ascii="Times New Roman" w:hAnsi="Times New Roman" w:cs="Times New Roman"/>
          <w:sz w:val="24"/>
          <w:szCs w:val="24"/>
        </w:rPr>
        <w:t xml:space="preserve"> Johnson (2013)</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Hachicha</w:t>
      </w:r>
      <w:proofErr w:type="spellEnd"/>
      <w:r w:rsidR="006836BC" w:rsidRPr="00C04EA2">
        <w:rPr>
          <w:rFonts w:ascii="Times New Roman" w:hAnsi="Times New Roman" w:cs="Times New Roman"/>
          <w:sz w:val="24"/>
          <w:szCs w:val="24"/>
        </w:rPr>
        <w:t xml:space="preserve"> and Amar (2015</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Afandi</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Amin (2019)</w:t>
      </w:r>
      <w:r w:rsidR="00F75F5F">
        <w:rPr>
          <w:rFonts w:ascii="Times New Roman" w:hAnsi="Times New Roman" w:cs="Times New Roman"/>
          <w:sz w:val="24"/>
          <w:szCs w:val="24"/>
        </w:rPr>
        <w:t xml:space="preserve"> and many others</w:t>
      </w:r>
      <w:r w:rsidR="006836BC" w:rsidRPr="00C04EA2">
        <w:rPr>
          <w:rFonts w:ascii="Times New Roman" w:hAnsi="Times New Roman" w:cs="Times New Roman"/>
          <w:sz w:val="24"/>
          <w:szCs w:val="24"/>
        </w:rPr>
        <w:t xml:space="preserve">. </w:t>
      </w:r>
    </w:p>
    <w:p w14:paraId="770FE936" w14:textId="77777777" w:rsidR="006836BC" w:rsidRPr="00C82735" w:rsidRDefault="006836BC" w:rsidP="00C82735">
      <w:pPr>
        <w:spacing w:line="360" w:lineRule="auto"/>
        <w:jc w:val="both"/>
        <w:rPr>
          <w:rFonts w:ascii="Times New Roman" w:hAnsi="Times New Roman" w:cs="Times New Roman"/>
          <w:sz w:val="24"/>
          <w:szCs w:val="24"/>
        </w:rPr>
      </w:pPr>
    </w:p>
    <w:p w14:paraId="0D3BDD85" w14:textId="7866CCCD" w:rsidR="007D5371" w:rsidRPr="00C04EA2" w:rsidRDefault="007D5371" w:rsidP="005A30C7">
      <w:pPr>
        <w:spacing w:line="360" w:lineRule="auto"/>
        <w:jc w:val="center"/>
        <w:rPr>
          <w:rFonts w:ascii="Times New Roman" w:hAnsi="Times New Roman" w:cs="Times New Roman"/>
          <w:b/>
          <w:sz w:val="24"/>
          <w:szCs w:val="24"/>
        </w:rPr>
      </w:pPr>
      <w:r w:rsidRPr="00C04EA2">
        <w:rPr>
          <w:rFonts w:ascii="Times New Roman" w:hAnsi="Times New Roman" w:cs="Times New Roman"/>
          <w:b/>
          <w:sz w:val="24"/>
          <w:szCs w:val="24"/>
        </w:rPr>
        <w:t>CONCLUSION</w:t>
      </w:r>
    </w:p>
    <w:p w14:paraId="561215D7" w14:textId="4262B0A4" w:rsidR="0049187B" w:rsidRPr="0049187B" w:rsidRDefault="00EF053B" w:rsidP="0049187B">
      <w:pPr>
        <w:spacing w:line="360" w:lineRule="auto"/>
        <w:jc w:val="both"/>
        <w:rPr>
          <w:rFonts w:ascii="Times New Roman" w:eastAsia="Times New Roman" w:hAnsi="Times New Roman" w:cs="Times New Roman"/>
          <w:sz w:val="24"/>
          <w:szCs w:val="24"/>
        </w:rPr>
      </w:pPr>
      <w:r w:rsidRPr="00C04EA2">
        <w:rPr>
          <w:rFonts w:ascii="Times New Roman" w:hAnsi="Times New Roman" w:cs="Times New Roman"/>
          <w:sz w:val="24"/>
          <w:szCs w:val="24"/>
        </w:rPr>
        <w:t xml:space="preserve">Islamic banking is becoming more and more well-liked almost everywhere. The structure of this banking system is influenced by a wide range of factors. It is necessary to have a banking system without interest, for instance, because Muslims are sensitive to Islamic laws. </w:t>
      </w:r>
      <w:r w:rsidR="0049187B" w:rsidRPr="0049187B">
        <w:rPr>
          <w:rFonts w:ascii="Times New Roman" w:eastAsia="Times New Roman" w:hAnsi="Times New Roman" w:cs="Times New Roman"/>
          <w:sz w:val="24"/>
          <w:szCs w:val="24"/>
        </w:rPr>
        <w:t>According to several studies, interest exacerbates wealth inequality between individuals, which makes a new interest-free banking system imperative.</w:t>
      </w:r>
      <w:r w:rsidR="0049187B">
        <w:rPr>
          <w:rFonts w:ascii="Times New Roman" w:eastAsia="Times New Roman" w:hAnsi="Times New Roman" w:cs="Times New Roman"/>
          <w:sz w:val="24"/>
          <w:szCs w:val="24"/>
        </w:rPr>
        <w:t xml:space="preserve"> </w:t>
      </w:r>
      <w:r w:rsidRPr="00C04EA2">
        <w:rPr>
          <w:rFonts w:ascii="Times New Roman" w:hAnsi="Times New Roman" w:cs="Times New Roman"/>
          <w:sz w:val="24"/>
          <w:szCs w:val="24"/>
        </w:rPr>
        <w:t>A majority-Muslim nation, Bangladesh has a large number of Islamic banks that operate there. Compared to traditional banks, their percentage is high, and their popularity has increased significantly most recently.</w:t>
      </w:r>
      <w:r w:rsidR="00C82735">
        <w:rPr>
          <w:rFonts w:ascii="Times New Roman" w:hAnsi="Times New Roman" w:cs="Times New Roman"/>
          <w:sz w:val="24"/>
          <w:szCs w:val="24"/>
        </w:rPr>
        <w:t xml:space="preserve"> </w:t>
      </w:r>
      <w:r w:rsidR="00FB5129" w:rsidRPr="00C04EA2">
        <w:rPr>
          <w:rFonts w:ascii="Times New Roman" w:hAnsi="Times New Roman" w:cs="Times New Roman"/>
          <w:sz w:val="24"/>
          <w:szCs w:val="24"/>
        </w:rPr>
        <w:t>Examining whether Islamic banking performance supports Bangladesh's economic growth is the ma</w:t>
      </w:r>
      <w:r w:rsidR="0049187B">
        <w:rPr>
          <w:rFonts w:ascii="Times New Roman" w:hAnsi="Times New Roman" w:cs="Times New Roman"/>
          <w:sz w:val="24"/>
          <w:szCs w:val="24"/>
        </w:rPr>
        <w:t>jor objectives</w:t>
      </w:r>
      <w:r w:rsidR="00FB5129" w:rsidRPr="00C04EA2">
        <w:rPr>
          <w:rFonts w:ascii="Times New Roman" w:hAnsi="Times New Roman" w:cs="Times New Roman"/>
          <w:sz w:val="24"/>
          <w:szCs w:val="24"/>
        </w:rPr>
        <w:t xml:space="preserve"> of this </w:t>
      </w:r>
      <w:r w:rsidR="0049187B">
        <w:rPr>
          <w:rFonts w:ascii="Times New Roman" w:hAnsi="Times New Roman" w:cs="Times New Roman"/>
          <w:sz w:val="24"/>
          <w:szCs w:val="24"/>
        </w:rPr>
        <w:t>investigation</w:t>
      </w:r>
      <w:r w:rsidR="00FB5129" w:rsidRPr="00C04EA2">
        <w:rPr>
          <w:rFonts w:ascii="Times New Roman" w:hAnsi="Times New Roman" w:cs="Times New Roman"/>
          <w:sz w:val="24"/>
          <w:szCs w:val="24"/>
        </w:rPr>
        <w:t xml:space="preserve">. Panel data were considered within this scope for the </w:t>
      </w:r>
      <w:r w:rsidR="00C82735">
        <w:rPr>
          <w:rFonts w:ascii="Times New Roman" w:hAnsi="Times New Roman" w:cs="Times New Roman"/>
          <w:sz w:val="24"/>
          <w:szCs w:val="24"/>
        </w:rPr>
        <w:t>periods</w:t>
      </w:r>
      <w:r w:rsidR="00FB5129" w:rsidRPr="00C04EA2">
        <w:rPr>
          <w:rFonts w:ascii="Times New Roman" w:hAnsi="Times New Roman" w:cs="Times New Roman"/>
          <w:sz w:val="24"/>
          <w:szCs w:val="24"/>
        </w:rPr>
        <w:t xml:space="preserve"> from 20</w:t>
      </w:r>
      <w:r w:rsidR="00540022" w:rsidRPr="00C04EA2">
        <w:rPr>
          <w:rFonts w:ascii="Times New Roman" w:hAnsi="Times New Roman" w:cs="Times New Roman"/>
          <w:sz w:val="24"/>
          <w:szCs w:val="24"/>
        </w:rPr>
        <w:t>10</w:t>
      </w:r>
      <w:r w:rsidR="00FB5129" w:rsidRPr="00C04EA2">
        <w:rPr>
          <w:rFonts w:ascii="Times New Roman" w:hAnsi="Times New Roman" w:cs="Times New Roman"/>
          <w:sz w:val="24"/>
          <w:szCs w:val="24"/>
        </w:rPr>
        <w:t xml:space="preserve"> to 2019. To accomplish this, additional methods such as the </w:t>
      </w:r>
      <w:r w:rsidR="00C82735" w:rsidRPr="00C04EA2">
        <w:rPr>
          <w:rFonts w:ascii="Times New Roman" w:hAnsi="Times New Roman" w:cs="Times New Roman"/>
          <w:sz w:val="24"/>
          <w:szCs w:val="24"/>
        </w:rPr>
        <w:t xml:space="preserve">unit root test, ARDL test, and </w:t>
      </w:r>
      <w:r w:rsidR="00C82735">
        <w:rPr>
          <w:rFonts w:ascii="Times New Roman" w:hAnsi="Times New Roman" w:cs="Times New Roman"/>
          <w:sz w:val="24"/>
          <w:szCs w:val="24"/>
        </w:rPr>
        <w:t>Granger</w:t>
      </w:r>
      <w:r w:rsidR="00C82735" w:rsidRPr="00C04EA2">
        <w:rPr>
          <w:rFonts w:ascii="Times New Roman" w:hAnsi="Times New Roman" w:cs="Times New Roman"/>
          <w:sz w:val="24"/>
          <w:szCs w:val="24"/>
        </w:rPr>
        <w:t xml:space="preserve"> causality analysis </w:t>
      </w:r>
      <w:r w:rsidR="00FB5129" w:rsidRPr="00C04EA2">
        <w:rPr>
          <w:rFonts w:ascii="Times New Roman" w:hAnsi="Times New Roman" w:cs="Times New Roman"/>
          <w:sz w:val="24"/>
          <w:szCs w:val="24"/>
        </w:rPr>
        <w:t xml:space="preserve">were used. </w:t>
      </w:r>
      <w:r w:rsidR="0049187B" w:rsidRPr="0049187B">
        <w:rPr>
          <w:rFonts w:ascii="Times New Roman" w:eastAsia="Times New Roman" w:hAnsi="Times New Roman" w:cs="Times New Roman"/>
          <w:sz w:val="24"/>
          <w:szCs w:val="24"/>
        </w:rPr>
        <w:t>The findings indicate a long-term association between the sample banks' financial ratios and GDP, suggesting that Islamic bank performance significantly influenced Bangladesh's economic expansion. Moreover, a causal link was shown between Bangladesh's economic growth and the Islamic banks' performance. Stated differently, the Islamic banking sector affects Bangladesh's economic growth.</w:t>
      </w:r>
    </w:p>
    <w:p w14:paraId="4F9C659E" w14:textId="386A4836" w:rsidR="00FB5129" w:rsidRPr="0049187B" w:rsidRDefault="00FB5129" w:rsidP="0049187B">
      <w:pPr>
        <w:spacing w:line="360" w:lineRule="auto"/>
        <w:jc w:val="both"/>
        <w:rPr>
          <w:rFonts w:ascii="Times New Roman" w:eastAsia="Times New Roman" w:hAnsi="Times New Roman" w:cs="Times New Roman"/>
          <w:sz w:val="24"/>
          <w:szCs w:val="24"/>
        </w:rPr>
      </w:pPr>
      <w:r w:rsidRPr="00C04EA2">
        <w:rPr>
          <w:rFonts w:ascii="Times New Roman" w:hAnsi="Times New Roman" w:cs="Times New Roman"/>
          <w:sz w:val="24"/>
          <w:szCs w:val="24"/>
        </w:rPr>
        <w:t>It will therefore be preferable to conduct this analysis once Bangladesh's Islamic banks have increased</w:t>
      </w:r>
      <w:r w:rsidR="006755BC" w:rsidRPr="00C04EA2">
        <w:rPr>
          <w:rFonts w:ascii="Times New Roman" w:hAnsi="Times New Roman" w:cs="Times New Roman"/>
          <w:sz w:val="24"/>
          <w:szCs w:val="24"/>
        </w:rPr>
        <w:t xml:space="preserve"> </w:t>
      </w:r>
      <w:r w:rsidRPr="00C04EA2">
        <w:rPr>
          <w:rFonts w:ascii="Times New Roman" w:hAnsi="Times New Roman" w:cs="Times New Roman"/>
          <w:sz w:val="24"/>
          <w:szCs w:val="24"/>
        </w:rPr>
        <w:t xml:space="preserve">in size. </w:t>
      </w:r>
      <w:r w:rsidR="0049187B" w:rsidRPr="0049187B">
        <w:rPr>
          <w:rFonts w:ascii="Times New Roman" w:eastAsia="Times New Roman" w:hAnsi="Times New Roman" w:cs="Times New Roman"/>
          <w:sz w:val="24"/>
          <w:szCs w:val="24"/>
        </w:rPr>
        <w:t>Although the relationship between Islamic banks and economic growth has been the subject of numerous studies, none have precisely looked at how Islamic banks' performance affects growth in the economy. This work makes a substantial contribution to the literature by accounting for this component in the analysis. Still, a more recent study focusing on larger banks over a longer period of time will be beneficial.</w:t>
      </w:r>
    </w:p>
    <w:p w14:paraId="37064ABB" w14:textId="076DAB26" w:rsidR="00FB5129" w:rsidRPr="00C04EA2" w:rsidRDefault="00FB5129" w:rsidP="005A30C7">
      <w:pPr>
        <w:spacing w:line="360" w:lineRule="auto"/>
        <w:rPr>
          <w:rFonts w:ascii="Times New Roman" w:hAnsi="Times New Roman" w:cs="Times New Roman"/>
          <w:sz w:val="24"/>
          <w:szCs w:val="24"/>
        </w:rPr>
      </w:pPr>
    </w:p>
    <w:p w14:paraId="21873569" w14:textId="51536F1B" w:rsidR="008810B3" w:rsidRPr="00C04EA2" w:rsidRDefault="00C82735" w:rsidP="005A30C7">
      <w:pPr>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lastRenderedPageBreak/>
        <w:t>References</w:t>
      </w:r>
    </w:p>
    <w:p w14:paraId="3BFBED92"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Abduh</w:t>
      </w:r>
      <w:proofErr w:type="spellEnd"/>
      <w:r w:rsidRPr="00C04EA2">
        <w:rPr>
          <w:rFonts w:ascii="Times New Roman" w:hAnsi="Times New Roman" w:cs="Times New Roman"/>
          <w:sz w:val="24"/>
          <w:szCs w:val="24"/>
        </w:rPr>
        <w:t xml:space="preserve">, M., &amp; Azmi Omar, M. (2012). Islamic banking and economic growth: The Indonesian experience. </w:t>
      </w:r>
      <w:r w:rsidRPr="000B7941">
        <w:rPr>
          <w:rFonts w:ascii="Times New Roman" w:hAnsi="Times New Roman" w:cs="Times New Roman"/>
          <w:i/>
          <w:iCs/>
          <w:sz w:val="24"/>
          <w:szCs w:val="24"/>
        </w:rPr>
        <w:t>International Journal of Islamic and Middle Eastern Finance and Management</w:t>
      </w:r>
      <w:r w:rsidRPr="000B7941">
        <w:rPr>
          <w:rFonts w:ascii="Times New Roman" w:hAnsi="Times New Roman" w:cs="Times New Roman"/>
          <w:i/>
          <w:sz w:val="24"/>
          <w:szCs w:val="24"/>
        </w:rPr>
        <w:t xml:space="preserve">, </w:t>
      </w:r>
      <w:r w:rsidRPr="000B7941">
        <w:rPr>
          <w:rFonts w:ascii="Times New Roman" w:hAnsi="Times New Roman" w:cs="Times New Roman"/>
          <w:i/>
          <w:iCs/>
          <w:sz w:val="24"/>
          <w:szCs w:val="24"/>
        </w:rPr>
        <w:t>5</w:t>
      </w:r>
      <w:r w:rsidRPr="00C04EA2">
        <w:rPr>
          <w:rFonts w:ascii="Times New Roman" w:hAnsi="Times New Roman" w:cs="Times New Roman"/>
          <w:sz w:val="24"/>
          <w:szCs w:val="24"/>
        </w:rPr>
        <w:t xml:space="preserve">(1), 35–47. </w:t>
      </w:r>
      <w:hyperlink r:id="rId14" w:history="1">
        <w:r w:rsidRPr="00C04EA2">
          <w:rPr>
            <w:rStyle w:val="Hyperlink"/>
            <w:rFonts w:ascii="Times New Roman" w:hAnsi="Times New Roman" w:cs="Times New Roman"/>
            <w:color w:val="auto"/>
            <w:sz w:val="24"/>
            <w:szCs w:val="24"/>
          </w:rPr>
          <w:t>https://doi.org/10.1108/17538391211216811</w:t>
        </w:r>
      </w:hyperlink>
    </w:p>
    <w:p w14:paraId="4AD5D18E" w14:textId="355DED9B"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Abduh</w:t>
      </w:r>
      <w:proofErr w:type="spellEnd"/>
      <w:r w:rsidRPr="00C04EA2">
        <w:rPr>
          <w:rFonts w:ascii="Times New Roman" w:hAnsi="Times New Roman" w:cs="Times New Roman"/>
          <w:sz w:val="24"/>
          <w:szCs w:val="24"/>
        </w:rPr>
        <w:t xml:space="preserve">, M., &amp; Chowdhury, N. T. (2012). </w:t>
      </w:r>
      <w:r w:rsidRPr="00C04EA2">
        <w:rPr>
          <w:rFonts w:ascii="Times New Roman" w:hAnsi="Times New Roman" w:cs="Times New Roman"/>
          <w:iCs/>
          <w:sz w:val="24"/>
          <w:szCs w:val="24"/>
        </w:rPr>
        <w:t>Does Islamic Banking Matter for Economic Growth in Bangladesh?</w:t>
      </w:r>
      <w:r w:rsidRPr="00C04EA2">
        <w:rPr>
          <w:rFonts w:ascii="Times New Roman" w:hAnsi="Times New Roman" w:cs="Times New Roman"/>
          <w:sz w:val="24"/>
          <w:szCs w:val="24"/>
        </w:rPr>
        <w:t xml:space="preserve"> </w:t>
      </w:r>
    </w:p>
    <w:p w14:paraId="07D5146C" w14:textId="77777777" w:rsidR="000B7941" w:rsidRPr="00C04EA2" w:rsidRDefault="000B7941" w:rsidP="005A30C7">
      <w:pPr>
        <w:spacing w:line="360" w:lineRule="auto"/>
        <w:ind w:left="720" w:hanging="720"/>
        <w:jc w:val="both"/>
        <w:rPr>
          <w:rFonts w:ascii="Times New Roman" w:hAnsi="Times New Roman" w:cs="Times New Roman"/>
          <w:color w:val="FF0000"/>
          <w:sz w:val="24"/>
          <w:szCs w:val="24"/>
        </w:rPr>
      </w:pPr>
      <w:proofErr w:type="spellStart"/>
      <w:r w:rsidRPr="00C04EA2">
        <w:rPr>
          <w:rFonts w:ascii="Times New Roman" w:hAnsi="Times New Roman" w:cs="Times New Roman"/>
          <w:sz w:val="24"/>
          <w:szCs w:val="24"/>
        </w:rPr>
        <w:t>Abedifar</w:t>
      </w:r>
      <w:proofErr w:type="spellEnd"/>
      <w:r w:rsidRPr="00C04EA2">
        <w:rPr>
          <w:rFonts w:ascii="Times New Roman" w:hAnsi="Times New Roman" w:cs="Times New Roman"/>
          <w:sz w:val="24"/>
          <w:szCs w:val="24"/>
        </w:rPr>
        <w:t xml:space="preserve">, P., Hasan, I., &amp; </w:t>
      </w:r>
      <w:proofErr w:type="spellStart"/>
      <w:r w:rsidRPr="00C04EA2">
        <w:rPr>
          <w:rFonts w:ascii="Times New Roman" w:hAnsi="Times New Roman" w:cs="Times New Roman"/>
          <w:sz w:val="24"/>
          <w:szCs w:val="24"/>
        </w:rPr>
        <w:t>Tarazi</w:t>
      </w:r>
      <w:proofErr w:type="spellEnd"/>
      <w:r w:rsidRPr="00C04EA2">
        <w:rPr>
          <w:rFonts w:ascii="Times New Roman" w:hAnsi="Times New Roman" w:cs="Times New Roman"/>
          <w:sz w:val="24"/>
          <w:szCs w:val="24"/>
        </w:rPr>
        <w:t xml:space="preserve">, A. (2016). Finance-growth nexus and dual-banking systems: Relative importance of Islamic banks. </w:t>
      </w:r>
      <w:r w:rsidRPr="000B7941">
        <w:rPr>
          <w:rFonts w:ascii="Times New Roman" w:hAnsi="Times New Roman" w:cs="Times New Roman"/>
          <w:i/>
          <w:iCs/>
          <w:sz w:val="24"/>
          <w:szCs w:val="24"/>
        </w:rPr>
        <w:t>Journal of Economic Behavior &amp; Organization</w:t>
      </w:r>
      <w:r w:rsidRPr="000B7941">
        <w:rPr>
          <w:rFonts w:ascii="Times New Roman" w:hAnsi="Times New Roman" w:cs="Times New Roman"/>
          <w:i/>
          <w:sz w:val="24"/>
          <w:szCs w:val="24"/>
        </w:rPr>
        <w:t xml:space="preserve">, </w:t>
      </w:r>
      <w:r w:rsidRPr="000B7941">
        <w:rPr>
          <w:rFonts w:ascii="Times New Roman" w:hAnsi="Times New Roman" w:cs="Times New Roman"/>
          <w:i/>
          <w:iCs/>
          <w:sz w:val="24"/>
          <w:szCs w:val="24"/>
        </w:rPr>
        <w:t>132</w:t>
      </w:r>
      <w:r w:rsidRPr="00C04EA2">
        <w:rPr>
          <w:rFonts w:ascii="Times New Roman" w:hAnsi="Times New Roman" w:cs="Times New Roman"/>
          <w:sz w:val="24"/>
          <w:szCs w:val="24"/>
        </w:rPr>
        <w:t xml:space="preserve">, 198–215. </w:t>
      </w:r>
      <w:hyperlink r:id="rId15" w:history="1">
        <w:r w:rsidRPr="00C04EA2">
          <w:rPr>
            <w:rStyle w:val="Hyperlink"/>
            <w:rFonts w:ascii="Times New Roman" w:hAnsi="Times New Roman" w:cs="Times New Roman"/>
            <w:color w:val="auto"/>
            <w:sz w:val="24"/>
            <w:szCs w:val="24"/>
          </w:rPr>
          <w:t>https://doi.org/10.1016/j.jebo.2016.03.005</w:t>
        </w:r>
      </w:hyperlink>
    </w:p>
    <w:p w14:paraId="147D32ED"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shd w:val="clear" w:color="auto" w:fill="FFFFFF"/>
        </w:rPr>
        <w:t>Afandi</w:t>
      </w:r>
      <w:proofErr w:type="spellEnd"/>
      <w:r w:rsidRPr="00C04EA2">
        <w:rPr>
          <w:rFonts w:ascii="Times New Roman" w:hAnsi="Times New Roman" w:cs="Times New Roman"/>
          <w:sz w:val="24"/>
          <w:szCs w:val="24"/>
          <w:shd w:val="clear" w:color="auto" w:fill="FFFFFF"/>
        </w:rPr>
        <w:t>, M. A., &amp; Amin, M. (2019). Islamic bank financing and its effects on economic growth: A cross province analysis. </w:t>
      </w:r>
      <w:proofErr w:type="spellStart"/>
      <w:r w:rsidRPr="000B7941">
        <w:rPr>
          <w:rFonts w:ascii="Times New Roman" w:hAnsi="Times New Roman" w:cs="Times New Roman"/>
          <w:i/>
          <w:iCs/>
          <w:sz w:val="24"/>
          <w:szCs w:val="24"/>
          <w:shd w:val="clear" w:color="auto" w:fill="FFFFFF"/>
        </w:rPr>
        <w:t>Signifikan</w:t>
      </w:r>
      <w:proofErr w:type="spellEnd"/>
      <w:r w:rsidRPr="000B7941">
        <w:rPr>
          <w:rFonts w:ascii="Times New Roman" w:hAnsi="Times New Roman" w:cs="Times New Roman"/>
          <w:i/>
          <w:iCs/>
          <w:sz w:val="24"/>
          <w:szCs w:val="24"/>
          <w:shd w:val="clear" w:color="auto" w:fill="FFFFFF"/>
        </w:rPr>
        <w:t xml:space="preserve">: </w:t>
      </w:r>
      <w:proofErr w:type="spellStart"/>
      <w:r w:rsidRPr="000B7941">
        <w:rPr>
          <w:rFonts w:ascii="Times New Roman" w:hAnsi="Times New Roman" w:cs="Times New Roman"/>
          <w:i/>
          <w:iCs/>
          <w:sz w:val="24"/>
          <w:szCs w:val="24"/>
          <w:shd w:val="clear" w:color="auto" w:fill="FFFFFF"/>
        </w:rPr>
        <w:t>Jurnal</w:t>
      </w:r>
      <w:proofErr w:type="spellEnd"/>
      <w:r w:rsidRPr="000B7941">
        <w:rPr>
          <w:rFonts w:ascii="Times New Roman" w:hAnsi="Times New Roman" w:cs="Times New Roman"/>
          <w:i/>
          <w:iCs/>
          <w:sz w:val="24"/>
          <w:szCs w:val="24"/>
          <w:shd w:val="clear" w:color="auto" w:fill="FFFFFF"/>
        </w:rPr>
        <w:t xml:space="preserve"> </w:t>
      </w:r>
      <w:proofErr w:type="spellStart"/>
      <w:r w:rsidRPr="000B7941">
        <w:rPr>
          <w:rFonts w:ascii="Times New Roman" w:hAnsi="Times New Roman" w:cs="Times New Roman"/>
          <w:i/>
          <w:iCs/>
          <w:sz w:val="24"/>
          <w:szCs w:val="24"/>
          <w:shd w:val="clear" w:color="auto" w:fill="FFFFFF"/>
        </w:rPr>
        <w:t>Ilmu</w:t>
      </w:r>
      <w:proofErr w:type="spellEnd"/>
      <w:r w:rsidRPr="000B7941">
        <w:rPr>
          <w:rFonts w:ascii="Times New Roman" w:hAnsi="Times New Roman" w:cs="Times New Roman"/>
          <w:i/>
          <w:iCs/>
          <w:sz w:val="24"/>
          <w:szCs w:val="24"/>
          <w:shd w:val="clear" w:color="auto" w:fill="FFFFFF"/>
        </w:rPr>
        <w:t xml:space="preserve"> </w:t>
      </w:r>
      <w:proofErr w:type="spellStart"/>
      <w:r w:rsidRPr="000B7941">
        <w:rPr>
          <w:rFonts w:ascii="Times New Roman" w:hAnsi="Times New Roman" w:cs="Times New Roman"/>
          <w:i/>
          <w:iCs/>
          <w:sz w:val="24"/>
          <w:szCs w:val="24"/>
          <w:shd w:val="clear" w:color="auto" w:fill="FFFFFF"/>
        </w:rPr>
        <w:t>Ekonomi</w:t>
      </w:r>
      <w:proofErr w:type="spellEnd"/>
      <w:r w:rsidRPr="000B7941">
        <w:rPr>
          <w:rFonts w:ascii="Times New Roman" w:hAnsi="Times New Roman" w:cs="Times New Roman"/>
          <w:i/>
          <w:sz w:val="24"/>
          <w:szCs w:val="24"/>
          <w:shd w:val="clear" w:color="auto" w:fill="FFFFFF"/>
        </w:rPr>
        <w:t>, </w:t>
      </w:r>
      <w:r w:rsidRPr="000B7941">
        <w:rPr>
          <w:rFonts w:ascii="Times New Roman" w:hAnsi="Times New Roman" w:cs="Times New Roman"/>
          <w:i/>
          <w:iCs/>
          <w:sz w:val="24"/>
          <w:szCs w:val="24"/>
          <w:shd w:val="clear" w:color="auto" w:fill="FFFFFF"/>
        </w:rPr>
        <w:t>8</w:t>
      </w:r>
      <w:r w:rsidRPr="00C04EA2">
        <w:rPr>
          <w:rFonts w:ascii="Times New Roman" w:hAnsi="Times New Roman" w:cs="Times New Roman"/>
          <w:sz w:val="24"/>
          <w:szCs w:val="24"/>
          <w:shd w:val="clear" w:color="auto" w:fill="FFFFFF"/>
        </w:rPr>
        <w:t>(2), 243-250.</w:t>
      </w:r>
    </w:p>
    <w:p w14:paraId="221770B6" w14:textId="43F9716D" w:rsidR="000B7941" w:rsidRPr="00C04EA2" w:rsidRDefault="000B7941" w:rsidP="005A30C7">
      <w:pPr>
        <w:spacing w:line="360" w:lineRule="auto"/>
        <w:ind w:left="720" w:hanging="720"/>
        <w:jc w:val="both"/>
        <w:rPr>
          <w:rFonts w:ascii="Times New Roman" w:hAnsi="Times New Roman" w:cs="Times New Roman"/>
          <w:sz w:val="24"/>
          <w:szCs w:val="24"/>
        </w:rPr>
      </w:pPr>
      <w:r w:rsidRPr="00C04EA2">
        <w:rPr>
          <w:rFonts w:ascii="Times New Roman" w:hAnsi="Times New Roman" w:cs="Times New Roman"/>
          <w:sz w:val="24"/>
          <w:szCs w:val="24"/>
        </w:rPr>
        <w:t>Ahmed, A. (2010). Global Financial Crisis: An Islamic Finance Perspective</w:t>
      </w:r>
      <w:r>
        <w:rPr>
          <w:rFonts w:ascii="Times New Roman" w:hAnsi="Times New Roman" w:cs="Times New Roman"/>
          <w:sz w:val="24"/>
          <w:szCs w:val="24"/>
        </w:rPr>
        <w:t>.</w:t>
      </w:r>
      <w:r w:rsidRPr="00C04EA2">
        <w:rPr>
          <w:rFonts w:ascii="Times New Roman" w:hAnsi="Times New Roman" w:cs="Times New Roman"/>
          <w:sz w:val="24"/>
          <w:szCs w:val="24"/>
        </w:rPr>
        <w:t xml:space="preserve"> </w:t>
      </w:r>
      <w:r w:rsidRPr="000B7941">
        <w:rPr>
          <w:rFonts w:ascii="Times New Roman" w:hAnsi="Times New Roman" w:cs="Times New Roman"/>
          <w:i/>
          <w:sz w:val="24"/>
          <w:szCs w:val="24"/>
        </w:rPr>
        <w:t>International Journal of Islamic and Middle Eastern Finance and Management, 3</w:t>
      </w:r>
      <w:r w:rsidRPr="00C04EA2">
        <w:rPr>
          <w:rFonts w:ascii="Times New Roman" w:hAnsi="Times New Roman" w:cs="Times New Roman"/>
          <w:sz w:val="24"/>
          <w:szCs w:val="24"/>
        </w:rPr>
        <w:t>(4), pp. 306-320.</w:t>
      </w:r>
    </w:p>
    <w:p w14:paraId="784BBBF2"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Atici</w:t>
      </w:r>
      <w:proofErr w:type="spellEnd"/>
      <w:r w:rsidRPr="00C04EA2">
        <w:rPr>
          <w:rFonts w:ascii="Times New Roman" w:hAnsi="Times New Roman" w:cs="Times New Roman"/>
          <w:sz w:val="24"/>
          <w:szCs w:val="24"/>
        </w:rPr>
        <w:t xml:space="preserve">, G. (2018). Islamic (Participation) Banking and Economic Growth: Empirical Focus on Turkey. </w:t>
      </w:r>
      <w:r w:rsidRPr="000B7941">
        <w:rPr>
          <w:rFonts w:ascii="Times New Roman" w:hAnsi="Times New Roman" w:cs="Times New Roman"/>
          <w:i/>
          <w:iCs/>
          <w:sz w:val="24"/>
          <w:szCs w:val="24"/>
        </w:rPr>
        <w:t>Asian Economic and Financial Review</w:t>
      </w:r>
      <w:r w:rsidRPr="000B7941">
        <w:rPr>
          <w:rFonts w:ascii="Times New Roman" w:hAnsi="Times New Roman" w:cs="Times New Roman"/>
          <w:i/>
          <w:sz w:val="24"/>
          <w:szCs w:val="24"/>
        </w:rPr>
        <w:t xml:space="preserve">, </w:t>
      </w:r>
      <w:r w:rsidRPr="000B7941">
        <w:rPr>
          <w:rFonts w:ascii="Times New Roman" w:hAnsi="Times New Roman" w:cs="Times New Roman"/>
          <w:i/>
          <w:iCs/>
          <w:sz w:val="24"/>
          <w:szCs w:val="24"/>
        </w:rPr>
        <w:t>8</w:t>
      </w:r>
      <w:r w:rsidRPr="00C04EA2">
        <w:rPr>
          <w:rFonts w:ascii="Times New Roman" w:hAnsi="Times New Roman" w:cs="Times New Roman"/>
          <w:sz w:val="24"/>
          <w:szCs w:val="24"/>
        </w:rPr>
        <w:t xml:space="preserve">(11), 1354–1364. </w:t>
      </w:r>
      <w:hyperlink r:id="rId16" w:history="1">
        <w:r w:rsidRPr="00C04EA2">
          <w:rPr>
            <w:rStyle w:val="Hyperlink"/>
            <w:rFonts w:ascii="Times New Roman" w:hAnsi="Times New Roman" w:cs="Times New Roman"/>
            <w:color w:val="auto"/>
            <w:sz w:val="24"/>
            <w:szCs w:val="24"/>
          </w:rPr>
          <w:t>https://doi.org/10.18488/journal.aefr.2018.811.1354.1364</w:t>
        </w:r>
      </w:hyperlink>
    </w:p>
    <w:p w14:paraId="0C763E36"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Bendriouch</w:t>
      </w:r>
      <w:proofErr w:type="spellEnd"/>
      <w:r w:rsidRPr="00C04EA2">
        <w:rPr>
          <w:rFonts w:ascii="Times New Roman" w:hAnsi="Times New Roman" w:cs="Times New Roman"/>
          <w:sz w:val="24"/>
          <w:szCs w:val="24"/>
        </w:rPr>
        <w:t xml:space="preserve">, F. Z., </w:t>
      </w:r>
      <w:proofErr w:type="spellStart"/>
      <w:r w:rsidRPr="00C04EA2">
        <w:rPr>
          <w:rFonts w:ascii="Times New Roman" w:hAnsi="Times New Roman" w:cs="Times New Roman"/>
          <w:sz w:val="24"/>
          <w:szCs w:val="24"/>
        </w:rPr>
        <w:t>Satt</w:t>
      </w:r>
      <w:proofErr w:type="spellEnd"/>
      <w:r w:rsidRPr="00C04EA2">
        <w:rPr>
          <w:rFonts w:ascii="Times New Roman" w:hAnsi="Times New Roman" w:cs="Times New Roman"/>
          <w:sz w:val="24"/>
          <w:szCs w:val="24"/>
        </w:rPr>
        <w:t xml:space="preserve">, H., &amp; </w:t>
      </w:r>
      <w:proofErr w:type="spellStart"/>
      <w:r w:rsidRPr="00C04EA2">
        <w:rPr>
          <w:rFonts w:ascii="Times New Roman" w:hAnsi="Times New Roman" w:cs="Times New Roman"/>
          <w:sz w:val="24"/>
          <w:szCs w:val="24"/>
        </w:rPr>
        <w:t>M’hamdi</w:t>
      </w:r>
      <w:proofErr w:type="spellEnd"/>
      <w:r w:rsidRPr="00C04EA2">
        <w:rPr>
          <w:rFonts w:ascii="Times New Roman" w:hAnsi="Times New Roman" w:cs="Times New Roman"/>
          <w:sz w:val="24"/>
          <w:szCs w:val="24"/>
        </w:rPr>
        <w:t xml:space="preserve">, M. (2020). </w:t>
      </w:r>
      <w:r w:rsidRPr="00C04EA2">
        <w:rPr>
          <w:rFonts w:ascii="Times New Roman" w:hAnsi="Times New Roman" w:cs="Times New Roman"/>
          <w:iCs/>
          <w:sz w:val="24"/>
          <w:szCs w:val="24"/>
        </w:rPr>
        <w:t>Do Islamic Banks Contribute to Economic Growth? Evidence from the GCC Countries</w:t>
      </w:r>
      <w:r w:rsidRPr="00C04EA2">
        <w:rPr>
          <w:rFonts w:ascii="Times New Roman" w:hAnsi="Times New Roman" w:cs="Times New Roman"/>
          <w:sz w:val="24"/>
          <w:szCs w:val="24"/>
        </w:rPr>
        <w:t xml:space="preserve">. </w:t>
      </w:r>
      <w:r w:rsidRPr="005A30C7">
        <w:rPr>
          <w:rFonts w:ascii="Times New Roman" w:hAnsi="Times New Roman" w:cs="Times New Roman"/>
          <w:i/>
          <w:iCs/>
          <w:sz w:val="24"/>
          <w:szCs w:val="24"/>
        </w:rPr>
        <w:t>10</w:t>
      </w:r>
      <w:r w:rsidRPr="00C04EA2">
        <w:rPr>
          <w:rFonts w:ascii="Times New Roman" w:hAnsi="Times New Roman" w:cs="Times New Roman"/>
          <w:sz w:val="24"/>
          <w:szCs w:val="24"/>
        </w:rPr>
        <w:t>(5), 9.</w:t>
      </w:r>
    </w:p>
    <w:p w14:paraId="2F3D4482"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Boukhatem</w:t>
      </w:r>
      <w:proofErr w:type="spellEnd"/>
      <w:r w:rsidRPr="00C04EA2">
        <w:rPr>
          <w:rFonts w:ascii="Times New Roman" w:hAnsi="Times New Roman" w:cs="Times New Roman"/>
          <w:sz w:val="24"/>
          <w:szCs w:val="24"/>
        </w:rPr>
        <w:t>, J., &amp; Ben Moussa, F. (2018). The effect of Islamic banks on GDP growth: Some evidence from selected MENA countries</w:t>
      </w:r>
      <w:r w:rsidRPr="005A30C7">
        <w:rPr>
          <w:rFonts w:ascii="Times New Roman" w:hAnsi="Times New Roman" w:cs="Times New Roman"/>
          <w:i/>
          <w:sz w:val="24"/>
          <w:szCs w:val="24"/>
        </w:rPr>
        <w:t xml:space="preserve">. </w:t>
      </w:r>
      <w:proofErr w:type="spellStart"/>
      <w:r w:rsidRPr="005A30C7">
        <w:rPr>
          <w:rFonts w:ascii="Times New Roman" w:hAnsi="Times New Roman" w:cs="Times New Roman"/>
          <w:i/>
          <w:iCs/>
          <w:sz w:val="24"/>
          <w:szCs w:val="24"/>
        </w:rPr>
        <w:t>Borsa</w:t>
      </w:r>
      <w:proofErr w:type="spellEnd"/>
      <w:r w:rsidRPr="005A30C7">
        <w:rPr>
          <w:rFonts w:ascii="Times New Roman" w:hAnsi="Times New Roman" w:cs="Times New Roman"/>
          <w:i/>
          <w:iCs/>
          <w:sz w:val="24"/>
          <w:szCs w:val="24"/>
        </w:rPr>
        <w:t xml:space="preserve"> Istanbul Review</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18</w:t>
      </w:r>
      <w:r w:rsidRPr="00C04EA2">
        <w:rPr>
          <w:rFonts w:ascii="Times New Roman" w:hAnsi="Times New Roman" w:cs="Times New Roman"/>
          <w:sz w:val="24"/>
          <w:szCs w:val="24"/>
        </w:rPr>
        <w:t xml:space="preserve">(3), 231–247. </w:t>
      </w:r>
      <w:hyperlink r:id="rId17" w:history="1">
        <w:r w:rsidRPr="00C04EA2">
          <w:rPr>
            <w:rStyle w:val="Hyperlink"/>
            <w:rFonts w:ascii="Times New Roman" w:hAnsi="Times New Roman" w:cs="Times New Roman"/>
            <w:color w:val="auto"/>
            <w:sz w:val="24"/>
            <w:szCs w:val="24"/>
          </w:rPr>
          <w:t>https://doi.org/10.1016/j.bir.2017.11.004</w:t>
        </w:r>
      </w:hyperlink>
    </w:p>
    <w:p w14:paraId="5C79ED1E" w14:textId="77777777" w:rsidR="000B7941" w:rsidRPr="00C04EA2" w:rsidRDefault="000B7941" w:rsidP="005A30C7">
      <w:pPr>
        <w:spacing w:line="360" w:lineRule="auto"/>
        <w:ind w:left="720" w:hanging="720"/>
        <w:jc w:val="both"/>
        <w:rPr>
          <w:rFonts w:ascii="Times New Roman" w:hAnsi="Times New Roman" w:cs="Times New Roman"/>
          <w:color w:val="222222"/>
          <w:sz w:val="24"/>
          <w:szCs w:val="24"/>
          <w:shd w:val="clear" w:color="auto" w:fill="FFFFFF"/>
        </w:rPr>
      </w:pPr>
      <w:r w:rsidRPr="00C04EA2">
        <w:rPr>
          <w:rFonts w:ascii="Times New Roman" w:hAnsi="Times New Roman" w:cs="Times New Roman"/>
          <w:color w:val="222222"/>
          <w:sz w:val="24"/>
          <w:szCs w:val="24"/>
          <w:shd w:val="clear" w:color="auto" w:fill="FFFFFF"/>
        </w:rPr>
        <w:t>Bourke, P. (1989). Concentration and other determinants of bank profitability in Europe, North America and Australia. </w:t>
      </w:r>
      <w:r w:rsidRPr="005A30C7">
        <w:rPr>
          <w:rFonts w:ascii="Times New Roman" w:hAnsi="Times New Roman" w:cs="Times New Roman"/>
          <w:i/>
          <w:iCs/>
          <w:color w:val="222222"/>
          <w:sz w:val="24"/>
          <w:szCs w:val="24"/>
          <w:shd w:val="clear" w:color="auto" w:fill="FFFFFF"/>
        </w:rPr>
        <w:t>Journal of Banking &amp; Finance</w:t>
      </w:r>
      <w:r w:rsidRPr="005A30C7">
        <w:rPr>
          <w:rFonts w:ascii="Times New Roman" w:hAnsi="Times New Roman" w:cs="Times New Roman"/>
          <w:i/>
          <w:color w:val="222222"/>
          <w:sz w:val="24"/>
          <w:szCs w:val="24"/>
          <w:shd w:val="clear" w:color="auto" w:fill="FFFFFF"/>
        </w:rPr>
        <w:t>, </w:t>
      </w:r>
      <w:r w:rsidRPr="005A30C7">
        <w:rPr>
          <w:rFonts w:ascii="Times New Roman" w:hAnsi="Times New Roman" w:cs="Times New Roman"/>
          <w:i/>
          <w:iCs/>
          <w:color w:val="222222"/>
          <w:sz w:val="24"/>
          <w:szCs w:val="24"/>
          <w:shd w:val="clear" w:color="auto" w:fill="FFFFFF"/>
        </w:rPr>
        <w:t>13</w:t>
      </w:r>
      <w:r w:rsidRPr="00C04EA2">
        <w:rPr>
          <w:rFonts w:ascii="Times New Roman" w:hAnsi="Times New Roman" w:cs="Times New Roman"/>
          <w:color w:val="222222"/>
          <w:sz w:val="24"/>
          <w:szCs w:val="24"/>
          <w:shd w:val="clear" w:color="auto" w:fill="FFFFFF"/>
        </w:rPr>
        <w:t>(1), 65-79.</w:t>
      </w:r>
    </w:p>
    <w:p w14:paraId="4C8A7316"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Furqani</w:t>
      </w:r>
      <w:proofErr w:type="spellEnd"/>
      <w:r w:rsidRPr="00C04EA2">
        <w:rPr>
          <w:rFonts w:ascii="Times New Roman" w:hAnsi="Times New Roman" w:cs="Times New Roman"/>
          <w:sz w:val="24"/>
          <w:szCs w:val="24"/>
        </w:rPr>
        <w:t xml:space="preserve">, H., &amp; </w:t>
      </w:r>
      <w:proofErr w:type="spellStart"/>
      <w:r w:rsidRPr="00C04EA2">
        <w:rPr>
          <w:rFonts w:ascii="Times New Roman" w:hAnsi="Times New Roman" w:cs="Times New Roman"/>
          <w:sz w:val="24"/>
          <w:szCs w:val="24"/>
        </w:rPr>
        <w:t>Mulyany</w:t>
      </w:r>
      <w:proofErr w:type="spellEnd"/>
      <w:r w:rsidRPr="00C04EA2">
        <w:rPr>
          <w:rFonts w:ascii="Times New Roman" w:hAnsi="Times New Roman" w:cs="Times New Roman"/>
          <w:sz w:val="24"/>
          <w:szCs w:val="24"/>
        </w:rPr>
        <w:t xml:space="preserve">, R. (2009). Islamic banking and economic growth: Empirical evidence from Malaysia. </w:t>
      </w:r>
      <w:r w:rsidRPr="005A30C7">
        <w:rPr>
          <w:rFonts w:ascii="Times New Roman" w:hAnsi="Times New Roman" w:cs="Times New Roman"/>
          <w:i/>
          <w:sz w:val="24"/>
          <w:szCs w:val="24"/>
        </w:rPr>
        <w:t>Journal of Economic Cooperation and Development, 30</w:t>
      </w:r>
      <w:r w:rsidRPr="00C04EA2">
        <w:rPr>
          <w:rFonts w:ascii="Times New Roman" w:hAnsi="Times New Roman" w:cs="Times New Roman"/>
          <w:sz w:val="24"/>
          <w:szCs w:val="24"/>
        </w:rPr>
        <w:t>(2): 59-74.</w:t>
      </w:r>
    </w:p>
    <w:p w14:paraId="766DEF00"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lastRenderedPageBreak/>
        <w:t>Gheeraert</w:t>
      </w:r>
      <w:proofErr w:type="spellEnd"/>
      <w:r w:rsidRPr="00C04EA2">
        <w:rPr>
          <w:rFonts w:ascii="Times New Roman" w:hAnsi="Times New Roman" w:cs="Times New Roman"/>
          <w:sz w:val="24"/>
          <w:szCs w:val="24"/>
        </w:rPr>
        <w:t xml:space="preserve">, L., &amp; Weill, L. (2015). Does Islamic banking development favor macroeconomic efficiency? Evidence on the Islamic finance-growth nexus. </w:t>
      </w:r>
      <w:r w:rsidRPr="005A30C7">
        <w:rPr>
          <w:rFonts w:ascii="Times New Roman" w:hAnsi="Times New Roman" w:cs="Times New Roman"/>
          <w:i/>
          <w:iCs/>
          <w:sz w:val="24"/>
          <w:szCs w:val="24"/>
        </w:rPr>
        <w:t>Economic Modelling</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47</w:t>
      </w:r>
      <w:r w:rsidRPr="00C04EA2">
        <w:rPr>
          <w:rFonts w:ascii="Times New Roman" w:hAnsi="Times New Roman" w:cs="Times New Roman"/>
          <w:sz w:val="24"/>
          <w:szCs w:val="24"/>
        </w:rPr>
        <w:t xml:space="preserve">, 32–39. </w:t>
      </w:r>
      <w:hyperlink r:id="rId18" w:history="1">
        <w:r w:rsidRPr="00C04EA2">
          <w:rPr>
            <w:rStyle w:val="Hyperlink"/>
            <w:rFonts w:ascii="Times New Roman" w:hAnsi="Times New Roman" w:cs="Times New Roman"/>
            <w:color w:val="auto"/>
            <w:sz w:val="24"/>
            <w:szCs w:val="24"/>
          </w:rPr>
          <w:t>https://doi.org/10.1016/j.econmod.2015.02.012</w:t>
        </w:r>
      </w:hyperlink>
    </w:p>
    <w:p w14:paraId="7276D54C" w14:textId="77777777" w:rsidR="000B7941" w:rsidRPr="00C04EA2" w:rsidRDefault="000B7941" w:rsidP="005A30C7">
      <w:pPr>
        <w:spacing w:line="360" w:lineRule="auto"/>
        <w:ind w:left="720" w:hanging="720"/>
        <w:jc w:val="both"/>
        <w:rPr>
          <w:rStyle w:val="Hyperlink"/>
          <w:rFonts w:ascii="Times New Roman" w:hAnsi="Times New Roman" w:cs="Times New Roman"/>
          <w:color w:val="FF0000"/>
          <w:sz w:val="24"/>
          <w:szCs w:val="24"/>
        </w:rPr>
      </w:pPr>
      <w:proofErr w:type="spellStart"/>
      <w:r w:rsidRPr="00C04EA2">
        <w:rPr>
          <w:rFonts w:ascii="Times New Roman" w:hAnsi="Times New Roman" w:cs="Times New Roman"/>
          <w:sz w:val="24"/>
          <w:szCs w:val="24"/>
        </w:rPr>
        <w:t>Hachicha</w:t>
      </w:r>
      <w:proofErr w:type="spellEnd"/>
      <w:r w:rsidRPr="00C04EA2">
        <w:rPr>
          <w:rFonts w:ascii="Times New Roman" w:hAnsi="Times New Roman" w:cs="Times New Roman"/>
          <w:sz w:val="24"/>
          <w:szCs w:val="24"/>
        </w:rPr>
        <w:t xml:space="preserve">, N., &amp; Ben Amar, A. (2015). Does Islamic bank financing contribute to economic growth? The Malaysian case. </w:t>
      </w:r>
      <w:r w:rsidRPr="005A30C7">
        <w:rPr>
          <w:rFonts w:ascii="Times New Roman" w:hAnsi="Times New Roman" w:cs="Times New Roman"/>
          <w:i/>
          <w:iCs/>
          <w:sz w:val="24"/>
          <w:szCs w:val="24"/>
        </w:rPr>
        <w:t>International Journal of Islamic and Middle Eastern Finance and Management</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8</w:t>
      </w:r>
      <w:r w:rsidRPr="00C04EA2">
        <w:rPr>
          <w:rFonts w:ascii="Times New Roman" w:hAnsi="Times New Roman" w:cs="Times New Roman"/>
          <w:sz w:val="24"/>
          <w:szCs w:val="24"/>
        </w:rPr>
        <w:t xml:space="preserve">(3), 349–368. </w:t>
      </w:r>
      <w:hyperlink r:id="rId19" w:history="1">
        <w:r w:rsidRPr="00C04EA2">
          <w:rPr>
            <w:rStyle w:val="Hyperlink"/>
            <w:rFonts w:ascii="Times New Roman" w:hAnsi="Times New Roman" w:cs="Times New Roman"/>
            <w:color w:val="auto"/>
            <w:sz w:val="24"/>
            <w:szCs w:val="24"/>
          </w:rPr>
          <w:t>https://doi.org/10.1108/IMEFM-07-2014-0063</w:t>
        </w:r>
      </w:hyperlink>
    </w:p>
    <w:p w14:paraId="53E1C004" w14:textId="77777777" w:rsidR="000B7941" w:rsidRPr="00C04EA2" w:rsidRDefault="000B7941" w:rsidP="005A30C7">
      <w:pPr>
        <w:spacing w:line="360" w:lineRule="auto"/>
        <w:ind w:left="720" w:hanging="720"/>
        <w:jc w:val="both"/>
        <w:rPr>
          <w:rFonts w:ascii="Times New Roman" w:hAnsi="Times New Roman" w:cs="Times New Roman"/>
          <w:sz w:val="24"/>
          <w:szCs w:val="24"/>
        </w:rPr>
      </w:pPr>
      <w:r w:rsidRPr="00C04EA2">
        <w:rPr>
          <w:rFonts w:ascii="Times New Roman" w:hAnsi="Times New Roman" w:cs="Times New Roman"/>
          <w:sz w:val="24"/>
          <w:szCs w:val="24"/>
        </w:rPr>
        <w:t xml:space="preserve">Hassan, M. K. &amp; Bashir, A. H. M. (2003). </w:t>
      </w:r>
      <w:r w:rsidRPr="005A30C7">
        <w:rPr>
          <w:rFonts w:ascii="Times New Roman" w:hAnsi="Times New Roman" w:cs="Times New Roman"/>
          <w:i/>
          <w:sz w:val="24"/>
          <w:szCs w:val="24"/>
        </w:rPr>
        <w:t>Determinants of Islamic banking profitability.</w:t>
      </w:r>
      <w:r w:rsidRPr="00C04EA2">
        <w:rPr>
          <w:rFonts w:ascii="Times New Roman" w:hAnsi="Times New Roman" w:cs="Times New Roman"/>
          <w:sz w:val="24"/>
          <w:szCs w:val="24"/>
        </w:rPr>
        <w:t xml:space="preserve"> In 10th ERF annual conference, Morocco (pp. 16-18).</w:t>
      </w:r>
    </w:p>
    <w:p w14:paraId="16903997" w14:textId="77777777" w:rsidR="000B7941" w:rsidRPr="00C04EA2" w:rsidRDefault="000B7941" w:rsidP="005A30C7">
      <w:pPr>
        <w:spacing w:line="360" w:lineRule="auto"/>
        <w:ind w:left="720" w:hanging="720"/>
        <w:jc w:val="both"/>
        <w:rPr>
          <w:rFonts w:ascii="Times New Roman" w:hAnsi="Times New Roman" w:cs="Times New Roman"/>
          <w:sz w:val="24"/>
          <w:szCs w:val="24"/>
        </w:rPr>
      </w:pPr>
      <w:r w:rsidRPr="00C04EA2">
        <w:rPr>
          <w:rFonts w:ascii="Times New Roman" w:hAnsi="Times New Roman" w:cs="Times New Roman"/>
          <w:sz w:val="24"/>
          <w:szCs w:val="24"/>
          <w:shd w:val="clear" w:color="auto" w:fill="FFFFFF"/>
        </w:rPr>
        <w:t>Jawad, A., &amp; Christian, K. (2019). Islamic banking and economic growth: applying the conventional hypothesis. </w:t>
      </w:r>
      <w:r w:rsidRPr="005A30C7">
        <w:rPr>
          <w:rFonts w:ascii="Times New Roman" w:hAnsi="Times New Roman" w:cs="Times New Roman"/>
          <w:i/>
          <w:iCs/>
          <w:sz w:val="24"/>
          <w:szCs w:val="24"/>
          <w:shd w:val="clear" w:color="auto" w:fill="FFFFFF"/>
        </w:rPr>
        <w:t>Journal of Islamic Monetary Economics and Finance</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5</w:t>
      </w:r>
      <w:r w:rsidRPr="00C04EA2">
        <w:rPr>
          <w:rFonts w:ascii="Times New Roman" w:hAnsi="Times New Roman" w:cs="Times New Roman"/>
          <w:sz w:val="24"/>
          <w:szCs w:val="24"/>
          <w:shd w:val="clear" w:color="auto" w:fill="FFFFFF"/>
        </w:rPr>
        <w:t>(1), 37-62.</w:t>
      </w:r>
    </w:p>
    <w:p w14:paraId="35FE0B0E" w14:textId="59E0CD60" w:rsidR="000B7941" w:rsidRPr="00C04EA2" w:rsidRDefault="000B7941" w:rsidP="005A30C7">
      <w:pPr>
        <w:spacing w:line="360" w:lineRule="auto"/>
        <w:ind w:left="720" w:hanging="720"/>
        <w:jc w:val="both"/>
        <w:rPr>
          <w:rFonts w:ascii="Times New Roman" w:hAnsi="Times New Roman" w:cs="Times New Roman"/>
          <w:sz w:val="24"/>
          <w:szCs w:val="24"/>
        </w:rPr>
      </w:pPr>
      <w:r w:rsidRPr="00C04EA2">
        <w:rPr>
          <w:rFonts w:ascii="Times New Roman" w:hAnsi="Times New Roman" w:cs="Times New Roman"/>
          <w:sz w:val="24"/>
          <w:szCs w:val="24"/>
        </w:rPr>
        <w:t xml:space="preserve">Johnson, K. (2013). </w:t>
      </w:r>
      <w:r w:rsidRPr="00C04EA2">
        <w:rPr>
          <w:rFonts w:ascii="Times New Roman" w:hAnsi="Times New Roman" w:cs="Times New Roman"/>
          <w:iCs/>
          <w:sz w:val="24"/>
          <w:szCs w:val="24"/>
        </w:rPr>
        <w:t>The Role of Islamic Banking in Economic Growth</w:t>
      </w:r>
      <w:r w:rsidRPr="00C04EA2">
        <w:rPr>
          <w:rFonts w:ascii="Times New Roman" w:hAnsi="Times New Roman" w:cs="Times New Roman"/>
          <w:sz w:val="24"/>
          <w:szCs w:val="24"/>
        </w:rPr>
        <w:t>.</w:t>
      </w:r>
    </w:p>
    <w:p w14:paraId="6DFAF093" w14:textId="77777777" w:rsidR="000B7941" w:rsidRPr="00C04EA2" w:rsidRDefault="000B7941" w:rsidP="005A30C7">
      <w:pPr>
        <w:spacing w:line="360" w:lineRule="auto"/>
        <w:ind w:left="720" w:hanging="720"/>
        <w:jc w:val="both"/>
        <w:rPr>
          <w:rFonts w:ascii="Times New Roman" w:hAnsi="Times New Roman" w:cs="Times New Roman"/>
          <w:color w:val="FF0000"/>
          <w:sz w:val="24"/>
          <w:szCs w:val="24"/>
        </w:rPr>
      </w:pPr>
      <w:proofErr w:type="spellStart"/>
      <w:r w:rsidRPr="00C04EA2">
        <w:rPr>
          <w:rFonts w:ascii="Times New Roman" w:hAnsi="Times New Roman" w:cs="Times New Roman"/>
          <w:sz w:val="24"/>
          <w:szCs w:val="24"/>
        </w:rPr>
        <w:t>Kassim</w:t>
      </w:r>
      <w:proofErr w:type="spellEnd"/>
      <w:r w:rsidRPr="00C04EA2">
        <w:rPr>
          <w:rFonts w:ascii="Times New Roman" w:hAnsi="Times New Roman" w:cs="Times New Roman"/>
          <w:sz w:val="24"/>
          <w:szCs w:val="24"/>
        </w:rPr>
        <w:t xml:space="preserve">, S. (2016). Islamic finance and economic growth: The Malaysian experience. </w:t>
      </w:r>
      <w:r w:rsidRPr="005A30C7">
        <w:rPr>
          <w:rFonts w:ascii="Times New Roman" w:hAnsi="Times New Roman" w:cs="Times New Roman"/>
          <w:i/>
          <w:iCs/>
          <w:sz w:val="24"/>
          <w:szCs w:val="24"/>
        </w:rPr>
        <w:t>Global Finance Journal</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30</w:t>
      </w:r>
      <w:r w:rsidRPr="00C04EA2">
        <w:rPr>
          <w:rFonts w:ascii="Times New Roman" w:hAnsi="Times New Roman" w:cs="Times New Roman"/>
          <w:sz w:val="24"/>
          <w:szCs w:val="24"/>
        </w:rPr>
        <w:t xml:space="preserve">, 66–76. </w:t>
      </w:r>
      <w:hyperlink r:id="rId20" w:history="1">
        <w:r w:rsidRPr="00C04EA2">
          <w:rPr>
            <w:rStyle w:val="Hyperlink"/>
            <w:rFonts w:ascii="Times New Roman" w:hAnsi="Times New Roman" w:cs="Times New Roman"/>
            <w:color w:val="auto"/>
            <w:sz w:val="24"/>
            <w:szCs w:val="24"/>
          </w:rPr>
          <w:t>https://doi.org/10.1016/j.gfj.2015.11.007</w:t>
        </w:r>
      </w:hyperlink>
    </w:p>
    <w:p w14:paraId="4EEC2519" w14:textId="7EBD11E2" w:rsidR="000B7941" w:rsidRPr="00C04EA2" w:rsidRDefault="000B7941" w:rsidP="005A30C7">
      <w:pPr>
        <w:spacing w:line="360" w:lineRule="auto"/>
        <w:ind w:left="720" w:hanging="720"/>
        <w:jc w:val="both"/>
        <w:rPr>
          <w:rFonts w:ascii="Times New Roman" w:hAnsi="Times New Roman" w:cs="Times New Roman"/>
          <w:color w:val="FF0000"/>
          <w:sz w:val="24"/>
          <w:szCs w:val="24"/>
        </w:rPr>
      </w:pPr>
      <w:proofErr w:type="spellStart"/>
      <w:r w:rsidRPr="00C04EA2">
        <w:rPr>
          <w:rFonts w:ascii="Times New Roman" w:hAnsi="Times New Roman" w:cs="Times New Roman"/>
          <w:sz w:val="24"/>
          <w:szCs w:val="24"/>
        </w:rPr>
        <w:t>Lebdaoui</w:t>
      </w:r>
      <w:proofErr w:type="spellEnd"/>
      <w:r w:rsidRPr="00C04EA2">
        <w:rPr>
          <w:rFonts w:ascii="Times New Roman" w:hAnsi="Times New Roman" w:cs="Times New Roman"/>
          <w:sz w:val="24"/>
          <w:szCs w:val="24"/>
        </w:rPr>
        <w:t xml:space="preserve">, H., &amp; Wild, J. (2016). Islamic banking presence and economic growth in Southeast Asia. </w:t>
      </w:r>
      <w:r w:rsidRPr="005A30C7">
        <w:rPr>
          <w:rFonts w:ascii="Times New Roman" w:hAnsi="Times New Roman" w:cs="Times New Roman"/>
          <w:i/>
          <w:iCs/>
          <w:sz w:val="24"/>
          <w:szCs w:val="24"/>
        </w:rPr>
        <w:t>International Journal of Islamic and Middle Eastern Finance and Management</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9</w:t>
      </w:r>
      <w:r w:rsidRPr="00C04EA2">
        <w:rPr>
          <w:rFonts w:ascii="Times New Roman" w:hAnsi="Times New Roman" w:cs="Times New Roman"/>
          <w:sz w:val="24"/>
          <w:szCs w:val="24"/>
        </w:rPr>
        <w:t>(4), 551</w:t>
      </w:r>
      <w:r w:rsidR="005A30C7">
        <w:rPr>
          <w:rFonts w:ascii="Times New Roman" w:hAnsi="Times New Roman" w:cs="Times New Roman"/>
          <w:sz w:val="24"/>
          <w:szCs w:val="24"/>
        </w:rPr>
        <w:t>.</w:t>
      </w:r>
    </w:p>
    <w:p w14:paraId="545806EC" w14:textId="36641A4A" w:rsidR="000B7941" w:rsidRPr="005A30C7" w:rsidRDefault="000B7941" w:rsidP="005A30C7">
      <w:pPr>
        <w:spacing w:line="360" w:lineRule="auto"/>
        <w:ind w:left="720" w:hanging="720"/>
        <w:jc w:val="both"/>
        <w:rPr>
          <w:rFonts w:ascii="Times New Roman" w:hAnsi="Times New Roman" w:cs="Times New Roman"/>
          <w:sz w:val="24"/>
          <w:szCs w:val="24"/>
        </w:rPr>
      </w:pPr>
      <w:r w:rsidRPr="00C04EA2">
        <w:rPr>
          <w:rFonts w:ascii="Times New Roman" w:hAnsi="Times New Roman" w:cs="Times New Roman"/>
          <w:sz w:val="24"/>
          <w:szCs w:val="24"/>
        </w:rPr>
        <w:t xml:space="preserve">M. Anwar, S., </w:t>
      </w:r>
      <w:proofErr w:type="spellStart"/>
      <w:r w:rsidRPr="00C04EA2">
        <w:rPr>
          <w:rFonts w:ascii="Times New Roman" w:hAnsi="Times New Roman" w:cs="Times New Roman"/>
          <w:sz w:val="24"/>
          <w:szCs w:val="24"/>
        </w:rPr>
        <w:t>Junaidi</w:t>
      </w:r>
      <w:proofErr w:type="spellEnd"/>
      <w:r w:rsidRPr="00C04EA2">
        <w:rPr>
          <w:rFonts w:ascii="Times New Roman" w:hAnsi="Times New Roman" w:cs="Times New Roman"/>
          <w:sz w:val="24"/>
          <w:szCs w:val="24"/>
        </w:rPr>
        <w:t xml:space="preserve">, J., </w:t>
      </w:r>
      <w:proofErr w:type="spellStart"/>
      <w:r w:rsidRPr="00C04EA2">
        <w:rPr>
          <w:rFonts w:ascii="Times New Roman" w:hAnsi="Times New Roman" w:cs="Times New Roman"/>
          <w:sz w:val="24"/>
          <w:szCs w:val="24"/>
        </w:rPr>
        <w:t>Salju</w:t>
      </w:r>
      <w:proofErr w:type="spellEnd"/>
      <w:r w:rsidRPr="00C04EA2">
        <w:rPr>
          <w:rFonts w:ascii="Times New Roman" w:hAnsi="Times New Roman" w:cs="Times New Roman"/>
          <w:sz w:val="24"/>
          <w:szCs w:val="24"/>
        </w:rPr>
        <w:t xml:space="preserve">, S., </w:t>
      </w:r>
      <w:proofErr w:type="spellStart"/>
      <w:r w:rsidRPr="00C04EA2">
        <w:rPr>
          <w:rFonts w:ascii="Times New Roman" w:hAnsi="Times New Roman" w:cs="Times New Roman"/>
          <w:sz w:val="24"/>
          <w:szCs w:val="24"/>
        </w:rPr>
        <w:t>Wicaksono</w:t>
      </w:r>
      <w:proofErr w:type="spellEnd"/>
      <w:r w:rsidRPr="00C04EA2">
        <w:rPr>
          <w:rFonts w:ascii="Times New Roman" w:hAnsi="Times New Roman" w:cs="Times New Roman"/>
          <w:sz w:val="24"/>
          <w:szCs w:val="24"/>
        </w:rPr>
        <w:t xml:space="preserve">, R., &amp; </w:t>
      </w:r>
      <w:proofErr w:type="spellStart"/>
      <w:r w:rsidRPr="00C04EA2">
        <w:rPr>
          <w:rFonts w:ascii="Times New Roman" w:hAnsi="Times New Roman" w:cs="Times New Roman"/>
          <w:sz w:val="24"/>
          <w:szCs w:val="24"/>
        </w:rPr>
        <w:t>Mispiyanti</w:t>
      </w:r>
      <w:proofErr w:type="spellEnd"/>
      <w:r w:rsidRPr="00C04EA2">
        <w:rPr>
          <w:rFonts w:ascii="Times New Roman" w:hAnsi="Times New Roman" w:cs="Times New Roman"/>
          <w:sz w:val="24"/>
          <w:szCs w:val="24"/>
        </w:rPr>
        <w:t xml:space="preserve">, M. (2020). Islamic bank contribution to Indonesian economic growth. </w:t>
      </w:r>
      <w:r w:rsidRPr="005A30C7">
        <w:rPr>
          <w:rFonts w:ascii="Times New Roman" w:hAnsi="Times New Roman" w:cs="Times New Roman"/>
          <w:i/>
          <w:iCs/>
          <w:sz w:val="24"/>
          <w:szCs w:val="24"/>
        </w:rPr>
        <w:t>International Journal of Islamic and Middle Eastern</w:t>
      </w:r>
      <w:r w:rsidR="005A30C7">
        <w:rPr>
          <w:rFonts w:ascii="Times New Roman" w:hAnsi="Times New Roman" w:cs="Times New Roman"/>
          <w:sz w:val="24"/>
          <w:szCs w:val="24"/>
        </w:rPr>
        <w:t>.</w:t>
      </w:r>
      <w:r w:rsidRPr="005A30C7">
        <w:rPr>
          <w:rFonts w:ascii="Times New Roman" w:hAnsi="Times New Roman" w:cs="Times New Roman"/>
          <w:sz w:val="24"/>
          <w:szCs w:val="24"/>
        </w:rPr>
        <w:t xml:space="preserve"> </w:t>
      </w:r>
    </w:p>
    <w:p w14:paraId="500E7994" w14:textId="65C970AE"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Nasution</w:t>
      </w:r>
      <w:proofErr w:type="spellEnd"/>
      <w:r w:rsidRPr="00C04EA2">
        <w:rPr>
          <w:rFonts w:ascii="Times New Roman" w:hAnsi="Times New Roman" w:cs="Times New Roman"/>
          <w:sz w:val="24"/>
          <w:szCs w:val="24"/>
        </w:rPr>
        <w:t xml:space="preserve">, L. N., </w:t>
      </w:r>
      <w:proofErr w:type="spellStart"/>
      <w:r w:rsidRPr="00C04EA2">
        <w:rPr>
          <w:rFonts w:ascii="Times New Roman" w:hAnsi="Times New Roman" w:cs="Times New Roman"/>
          <w:sz w:val="24"/>
          <w:szCs w:val="24"/>
        </w:rPr>
        <w:t>Novalina</w:t>
      </w:r>
      <w:proofErr w:type="spellEnd"/>
      <w:r w:rsidRPr="00C04EA2">
        <w:rPr>
          <w:rFonts w:ascii="Times New Roman" w:hAnsi="Times New Roman" w:cs="Times New Roman"/>
          <w:sz w:val="24"/>
          <w:szCs w:val="24"/>
        </w:rPr>
        <w:t xml:space="preserve">, A., &amp; </w:t>
      </w:r>
      <w:proofErr w:type="spellStart"/>
      <w:r w:rsidRPr="00C04EA2">
        <w:rPr>
          <w:rFonts w:ascii="Times New Roman" w:hAnsi="Times New Roman" w:cs="Times New Roman"/>
          <w:sz w:val="24"/>
          <w:szCs w:val="24"/>
        </w:rPr>
        <w:t>Faried</w:t>
      </w:r>
      <w:proofErr w:type="spellEnd"/>
      <w:r w:rsidRPr="00C04EA2">
        <w:rPr>
          <w:rFonts w:ascii="Times New Roman" w:hAnsi="Times New Roman" w:cs="Times New Roman"/>
          <w:sz w:val="24"/>
          <w:szCs w:val="24"/>
        </w:rPr>
        <w:t xml:space="preserve">, A. I. (2019). </w:t>
      </w:r>
      <w:r w:rsidRPr="00C04EA2">
        <w:rPr>
          <w:rFonts w:ascii="Times New Roman" w:hAnsi="Times New Roman" w:cs="Times New Roman"/>
          <w:iCs/>
          <w:sz w:val="24"/>
          <w:szCs w:val="24"/>
        </w:rPr>
        <w:t xml:space="preserve">Financial Performance and Profitability </w:t>
      </w:r>
      <w:r w:rsidR="005A30C7">
        <w:rPr>
          <w:rFonts w:ascii="Times New Roman" w:hAnsi="Times New Roman" w:cs="Times New Roman"/>
          <w:iCs/>
          <w:sz w:val="24"/>
          <w:szCs w:val="24"/>
        </w:rPr>
        <w:t>o</w:t>
      </w:r>
      <w:r w:rsidRPr="00C04EA2">
        <w:rPr>
          <w:rFonts w:ascii="Times New Roman" w:hAnsi="Times New Roman" w:cs="Times New Roman"/>
          <w:iCs/>
          <w:sz w:val="24"/>
          <w:szCs w:val="24"/>
        </w:rPr>
        <w:t xml:space="preserve">f Islamic Banking </w:t>
      </w:r>
      <w:r w:rsidR="005A30C7">
        <w:rPr>
          <w:rFonts w:ascii="Times New Roman" w:hAnsi="Times New Roman" w:cs="Times New Roman"/>
          <w:iCs/>
          <w:sz w:val="24"/>
          <w:szCs w:val="24"/>
        </w:rPr>
        <w:t>o</w:t>
      </w:r>
      <w:r w:rsidRPr="00C04EA2">
        <w:rPr>
          <w:rFonts w:ascii="Times New Roman" w:hAnsi="Times New Roman" w:cs="Times New Roman"/>
          <w:iCs/>
          <w:sz w:val="24"/>
          <w:szCs w:val="24"/>
        </w:rPr>
        <w:t xml:space="preserve">n Economic Growth </w:t>
      </w:r>
      <w:r w:rsidR="005A30C7">
        <w:rPr>
          <w:rFonts w:ascii="Times New Roman" w:hAnsi="Times New Roman" w:cs="Times New Roman"/>
          <w:iCs/>
          <w:sz w:val="24"/>
          <w:szCs w:val="24"/>
        </w:rPr>
        <w:t>i</w:t>
      </w:r>
      <w:r w:rsidRPr="00C04EA2">
        <w:rPr>
          <w:rFonts w:ascii="Times New Roman" w:hAnsi="Times New Roman" w:cs="Times New Roman"/>
          <w:iCs/>
          <w:sz w:val="24"/>
          <w:szCs w:val="24"/>
        </w:rPr>
        <w:t>n Indonesia</w:t>
      </w:r>
      <w:r w:rsidRPr="00C04EA2">
        <w:rPr>
          <w:rFonts w:ascii="Times New Roman" w:hAnsi="Times New Roman" w:cs="Times New Roman"/>
          <w:sz w:val="24"/>
          <w:szCs w:val="24"/>
        </w:rPr>
        <w:t xml:space="preserve">. </w:t>
      </w:r>
    </w:p>
    <w:p w14:paraId="565B078B"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shd w:val="clear" w:color="auto" w:fill="FFFFFF"/>
        </w:rPr>
        <w:t>Osmanovica</w:t>
      </w:r>
      <w:proofErr w:type="spellEnd"/>
      <w:r w:rsidRPr="00C04EA2">
        <w:rPr>
          <w:rFonts w:ascii="Times New Roman" w:hAnsi="Times New Roman" w:cs="Times New Roman"/>
          <w:sz w:val="24"/>
          <w:szCs w:val="24"/>
          <w:shd w:val="clear" w:color="auto" w:fill="FFFFFF"/>
        </w:rPr>
        <w:t xml:space="preserve">, N., </w:t>
      </w:r>
      <w:proofErr w:type="spellStart"/>
      <w:r w:rsidRPr="00C04EA2">
        <w:rPr>
          <w:rFonts w:ascii="Times New Roman" w:hAnsi="Times New Roman" w:cs="Times New Roman"/>
          <w:sz w:val="24"/>
          <w:szCs w:val="24"/>
          <w:shd w:val="clear" w:color="auto" w:fill="FFFFFF"/>
        </w:rPr>
        <w:t>Kb</w:t>
      </w:r>
      <w:proofErr w:type="spellEnd"/>
      <w:r w:rsidRPr="00C04EA2">
        <w:rPr>
          <w:rFonts w:ascii="Times New Roman" w:hAnsi="Times New Roman" w:cs="Times New Roman"/>
          <w:sz w:val="24"/>
          <w:szCs w:val="24"/>
          <w:shd w:val="clear" w:color="auto" w:fill="FFFFFF"/>
        </w:rPr>
        <w:t xml:space="preserve">, P., &amp; </w:t>
      </w:r>
      <w:proofErr w:type="spellStart"/>
      <w:r w:rsidRPr="00C04EA2">
        <w:rPr>
          <w:rFonts w:ascii="Times New Roman" w:hAnsi="Times New Roman" w:cs="Times New Roman"/>
          <w:sz w:val="24"/>
          <w:szCs w:val="24"/>
          <w:shd w:val="clear" w:color="auto" w:fill="FFFFFF"/>
        </w:rPr>
        <w:t>Stojanovic</w:t>
      </w:r>
      <w:proofErr w:type="spellEnd"/>
      <w:r w:rsidRPr="00C04EA2">
        <w:rPr>
          <w:rFonts w:ascii="Times New Roman" w:hAnsi="Times New Roman" w:cs="Times New Roman"/>
          <w:sz w:val="24"/>
          <w:szCs w:val="24"/>
          <w:shd w:val="clear" w:color="auto" w:fill="FFFFFF"/>
        </w:rPr>
        <w:t>, I. (2020). Impacts of Islamic banking system on economic growth of UAE. </w:t>
      </w:r>
      <w:r w:rsidRPr="005A30C7">
        <w:rPr>
          <w:rFonts w:ascii="Times New Roman" w:hAnsi="Times New Roman" w:cs="Times New Roman"/>
          <w:i/>
          <w:iCs/>
          <w:sz w:val="24"/>
          <w:szCs w:val="24"/>
          <w:shd w:val="clear" w:color="auto" w:fill="FFFFFF"/>
        </w:rPr>
        <w:t>Journal of Talent Development and Excellence</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12</w:t>
      </w:r>
      <w:r w:rsidRPr="00C04EA2">
        <w:rPr>
          <w:rFonts w:ascii="Times New Roman" w:hAnsi="Times New Roman" w:cs="Times New Roman"/>
          <w:sz w:val="24"/>
          <w:szCs w:val="24"/>
          <w:shd w:val="clear" w:color="auto" w:fill="FFFFFF"/>
        </w:rPr>
        <w:t>(3s), 1555-1566.</w:t>
      </w:r>
    </w:p>
    <w:p w14:paraId="7D3D4518" w14:textId="5EEF8680"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shd w:val="clear" w:color="auto" w:fill="FFFFFF"/>
        </w:rPr>
        <w:t>Rabaa</w:t>
      </w:r>
      <w:proofErr w:type="spellEnd"/>
      <w:r w:rsidRPr="00C04EA2">
        <w:rPr>
          <w:rFonts w:ascii="Times New Roman" w:hAnsi="Times New Roman" w:cs="Times New Roman"/>
          <w:sz w:val="24"/>
          <w:szCs w:val="24"/>
          <w:shd w:val="clear" w:color="auto" w:fill="FFFFFF"/>
        </w:rPr>
        <w:t xml:space="preserve">, B., &amp; Younes, B. (2016). The impact of the Islamic </w:t>
      </w:r>
      <w:r w:rsidR="005A30C7" w:rsidRPr="00C04EA2">
        <w:rPr>
          <w:rFonts w:ascii="Times New Roman" w:hAnsi="Times New Roman" w:cs="Times New Roman"/>
          <w:sz w:val="24"/>
          <w:szCs w:val="24"/>
          <w:shd w:val="clear" w:color="auto" w:fill="FFFFFF"/>
        </w:rPr>
        <w:t>bank’s</w:t>
      </w:r>
      <w:r w:rsidRPr="00C04EA2">
        <w:rPr>
          <w:rFonts w:ascii="Times New Roman" w:hAnsi="Times New Roman" w:cs="Times New Roman"/>
          <w:sz w:val="24"/>
          <w:szCs w:val="24"/>
          <w:shd w:val="clear" w:color="auto" w:fill="FFFFFF"/>
        </w:rPr>
        <w:t xml:space="preserve"> performances on economic growth: using panel data. </w:t>
      </w:r>
      <w:r w:rsidRPr="005A30C7">
        <w:rPr>
          <w:rFonts w:ascii="Times New Roman" w:hAnsi="Times New Roman" w:cs="Times New Roman"/>
          <w:i/>
          <w:iCs/>
          <w:sz w:val="24"/>
          <w:szCs w:val="24"/>
          <w:shd w:val="clear" w:color="auto" w:fill="FFFFFF"/>
        </w:rPr>
        <w:t>International Journal of Economics and Finance Studies</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8</w:t>
      </w:r>
      <w:r w:rsidRPr="00C04EA2">
        <w:rPr>
          <w:rFonts w:ascii="Times New Roman" w:hAnsi="Times New Roman" w:cs="Times New Roman"/>
          <w:sz w:val="24"/>
          <w:szCs w:val="24"/>
          <w:shd w:val="clear" w:color="auto" w:fill="FFFFFF"/>
        </w:rPr>
        <w:t>(1), 101-111.</w:t>
      </w:r>
    </w:p>
    <w:p w14:paraId="3290B59C"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shd w:val="clear" w:color="auto" w:fill="FFFFFF"/>
        </w:rPr>
        <w:lastRenderedPageBreak/>
        <w:t>Sarwer</w:t>
      </w:r>
      <w:proofErr w:type="spellEnd"/>
      <w:r w:rsidRPr="00C04EA2">
        <w:rPr>
          <w:rFonts w:ascii="Times New Roman" w:hAnsi="Times New Roman" w:cs="Times New Roman"/>
          <w:sz w:val="24"/>
          <w:szCs w:val="24"/>
          <w:shd w:val="clear" w:color="auto" w:fill="FFFFFF"/>
        </w:rPr>
        <w:t xml:space="preserve">, M.S., Ramzan, M., &amp; Waqar Ahmad, M. (2013). Does </w:t>
      </w:r>
      <w:proofErr w:type="spellStart"/>
      <w:r w:rsidRPr="00C04EA2">
        <w:rPr>
          <w:rFonts w:ascii="Times New Roman" w:hAnsi="Times New Roman" w:cs="Times New Roman"/>
          <w:sz w:val="24"/>
          <w:szCs w:val="24"/>
          <w:shd w:val="clear" w:color="auto" w:fill="FFFFFF"/>
        </w:rPr>
        <w:t>islamic</w:t>
      </w:r>
      <w:proofErr w:type="spellEnd"/>
      <w:r w:rsidRPr="00C04EA2">
        <w:rPr>
          <w:rFonts w:ascii="Times New Roman" w:hAnsi="Times New Roman" w:cs="Times New Roman"/>
          <w:sz w:val="24"/>
          <w:szCs w:val="24"/>
          <w:shd w:val="clear" w:color="auto" w:fill="FFFFFF"/>
        </w:rPr>
        <w:t xml:space="preserve"> banking system contributes to economy development. </w:t>
      </w:r>
      <w:r w:rsidRPr="005A30C7">
        <w:rPr>
          <w:rFonts w:ascii="Times New Roman" w:hAnsi="Times New Roman" w:cs="Times New Roman"/>
          <w:i/>
          <w:sz w:val="24"/>
          <w:szCs w:val="24"/>
          <w:shd w:val="clear" w:color="auto" w:fill="FFFFFF"/>
        </w:rPr>
        <w:t>Global Journal of Management and Business Research, 13</w:t>
      </w:r>
      <w:r w:rsidRPr="00C04EA2">
        <w:rPr>
          <w:rFonts w:ascii="Times New Roman" w:hAnsi="Times New Roman" w:cs="Times New Roman"/>
          <w:sz w:val="24"/>
          <w:szCs w:val="24"/>
          <w:shd w:val="clear" w:color="auto" w:fill="FFFFFF"/>
        </w:rPr>
        <w:t>(2): 60-68.</w:t>
      </w:r>
    </w:p>
    <w:p w14:paraId="7494004E"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shd w:val="clear" w:color="auto" w:fill="FFFFFF"/>
        </w:rPr>
        <w:t>Sekmen</w:t>
      </w:r>
      <w:proofErr w:type="spellEnd"/>
      <w:r w:rsidRPr="00C04EA2">
        <w:rPr>
          <w:rFonts w:ascii="Times New Roman" w:hAnsi="Times New Roman" w:cs="Times New Roman"/>
          <w:sz w:val="24"/>
          <w:szCs w:val="24"/>
          <w:shd w:val="clear" w:color="auto" w:fill="FFFFFF"/>
        </w:rPr>
        <w:t>, T. A. N. E. R. (2021). Islamic banking and economic growth in the dual banking system. </w:t>
      </w:r>
      <w:r w:rsidRPr="005A30C7">
        <w:rPr>
          <w:rFonts w:ascii="Times New Roman" w:hAnsi="Times New Roman" w:cs="Times New Roman"/>
          <w:i/>
          <w:iCs/>
          <w:sz w:val="24"/>
          <w:szCs w:val="24"/>
          <w:shd w:val="clear" w:color="auto" w:fill="FFFFFF"/>
        </w:rPr>
        <w:t xml:space="preserve">Optimum </w:t>
      </w:r>
      <w:proofErr w:type="spellStart"/>
      <w:r w:rsidRPr="005A30C7">
        <w:rPr>
          <w:rFonts w:ascii="Times New Roman" w:hAnsi="Times New Roman" w:cs="Times New Roman"/>
          <w:i/>
          <w:iCs/>
          <w:sz w:val="24"/>
          <w:szCs w:val="24"/>
          <w:shd w:val="clear" w:color="auto" w:fill="FFFFFF"/>
        </w:rPr>
        <w:t>Ekonomi</w:t>
      </w:r>
      <w:proofErr w:type="spellEnd"/>
      <w:r w:rsidRPr="005A30C7">
        <w:rPr>
          <w:rFonts w:ascii="Times New Roman" w:hAnsi="Times New Roman" w:cs="Times New Roman"/>
          <w:i/>
          <w:iCs/>
          <w:sz w:val="24"/>
          <w:szCs w:val="24"/>
          <w:shd w:val="clear" w:color="auto" w:fill="FFFFFF"/>
        </w:rPr>
        <w:t xml:space="preserve"> </w:t>
      </w:r>
      <w:proofErr w:type="spellStart"/>
      <w:r w:rsidRPr="005A30C7">
        <w:rPr>
          <w:rFonts w:ascii="Times New Roman" w:hAnsi="Times New Roman" w:cs="Times New Roman"/>
          <w:i/>
          <w:iCs/>
          <w:sz w:val="24"/>
          <w:szCs w:val="24"/>
          <w:shd w:val="clear" w:color="auto" w:fill="FFFFFF"/>
        </w:rPr>
        <w:t>ve</w:t>
      </w:r>
      <w:proofErr w:type="spellEnd"/>
      <w:r w:rsidRPr="005A30C7">
        <w:rPr>
          <w:rFonts w:ascii="Times New Roman" w:hAnsi="Times New Roman" w:cs="Times New Roman"/>
          <w:i/>
          <w:iCs/>
          <w:sz w:val="24"/>
          <w:szCs w:val="24"/>
          <w:shd w:val="clear" w:color="auto" w:fill="FFFFFF"/>
        </w:rPr>
        <w:t xml:space="preserve"> </w:t>
      </w:r>
      <w:proofErr w:type="spellStart"/>
      <w:r w:rsidRPr="005A30C7">
        <w:rPr>
          <w:rFonts w:ascii="Times New Roman" w:hAnsi="Times New Roman" w:cs="Times New Roman"/>
          <w:i/>
          <w:iCs/>
          <w:sz w:val="24"/>
          <w:szCs w:val="24"/>
          <w:shd w:val="clear" w:color="auto" w:fill="FFFFFF"/>
        </w:rPr>
        <w:t>Yönetim</w:t>
      </w:r>
      <w:proofErr w:type="spellEnd"/>
      <w:r w:rsidRPr="005A30C7">
        <w:rPr>
          <w:rFonts w:ascii="Times New Roman" w:hAnsi="Times New Roman" w:cs="Times New Roman"/>
          <w:i/>
          <w:iCs/>
          <w:sz w:val="24"/>
          <w:szCs w:val="24"/>
          <w:shd w:val="clear" w:color="auto" w:fill="FFFFFF"/>
        </w:rPr>
        <w:t xml:space="preserve"> </w:t>
      </w:r>
      <w:proofErr w:type="spellStart"/>
      <w:r w:rsidRPr="005A30C7">
        <w:rPr>
          <w:rFonts w:ascii="Times New Roman" w:hAnsi="Times New Roman" w:cs="Times New Roman"/>
          <w:i/>
          <w:iCs/>
          <w:sz w:val="24"/>
          <w:szCs w:val="24"/>
          <w:shd w:val="clear" w:color="auto" w:fill="FFFFFF"/>
        </w:rPr>
        <w:t>Bilimleri</w:t>
      </w:r>
      <w:proofErr w:type="spellEnd"/>
      <w:r w:rsidRPr="005A30C7">
        <w:rPr>
          <w:rFonts w:ascii="Times New Roman" w:hAnsi="Times New Roman" w:cs="Times New Roman"/>
          <w:i/>
          <w:iCs/>
          <w:sz w:val="24"/>
          <w:szCs w:val="24"/>
          <w:shd w:val="clear" w:color="auto" w:fill="FFFFFF"/>
        </w:rPr>
        <w:t xml:space="preserve"> </w:t>
      </w:r>
      <w:proofErr w:type="spellStart"/>
      <w:r w:rsidRPr="005A30C7">
        <w:rPr>
          <w:rFonts w:ascii="Times New Roman" w:hAnsi="Times New Roman" w:cs="Times New Roman"/>
          <w:i/>
          <w:iCs/>
          <w:sz w:val="24"/>
          <w:szCs w:val="24"/>
          <w:shd w:val="clear" w:color="auto" w:fill="FFFFFF"/>
        </w:rPr>
        <w:t>Dergisi</w:t>
      </w:r>
      <w:proofErr w:type="spellEnd"/>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8</w:t>
      </w:r>
      <w:r w:rsidRPr="00C04EA2">
        <w:rPr>
          <w:rFonts w:ascii="Times New Roman" w:hAnsi="Times New Roman" w:cs="Times New Roman"/>
          <w:sz w:val="24"/>
          <w:szCs w:val="24"/>
          <w:shd w:val="clear" w:color="auto" w:fill="FFFFFF"/>
        </w:rPr>
        <w:t>(1), 183-196.</w:t>
      </w:r>
    </w:p>
    <w:p w14:paraId="6CDC99FC" w14:textId="12386A4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M. I., &amp;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R. S. (2014a). Islamic Banking and Economic Growth: An Empirical Evidence from Qatar. </w:t>
      </w:r>
      <w:r w:rsidRPr="005A30C7">
        <w:rPr>
          <w:rFonts w:ascii="Times New Roman" w:hAnsi="Times New Roman" w:cs="Times New Roman"/>
          <w:i/>
          <w:sz w:val="24"/>
          <w:szCs w:val="24"/>
        </w:rPr>
        <w:t xml:space="preserve">Journal of Applied Economics </w:t>
      </w:r>
      <w:r w:rsidR="005A30C7">
        <w:rPr>
          <w:rFonts w:ascii="Times New Roman" w:hAnsi="Times New Roman" w:cs="Times New Roman"/>
          <w:i/>
          <w:sz w:val="24"/>
          <w:szCs w:val="24"/>
        </w:rPr>
        <w:t>a</w:t>
      </w:r>
      <w:r w:rsidRPr="005A30C7">
        <w:rPr>
          <w:rFonts w:ascii="Times New Roman" w:hAnsi="Times New Roman" w:cs="Times New Roman"/>
          <w:i/>
          <w:sz w:val="24"/>
          <w:szCs w:val="24"/>
        </w:rPr>
        <w:t>nd Business, 2</w:t>
      </w:r>
      <w:r w:rsidRPr="00C04EA2">
        <w:rPr>
          <w:rFonts w:ascii="Times New Roman" w:hAnsi="Times New Roman" w:cs="Times New Roman"/>
          <w:sz w:val="24"/>
          <w:szCs w:val="24"/>
        </w:rPr>
        <w:t xml:space="preserve">(1), 5167. </w:t>
      </w:r>
    </w:p>
    <w:p w14:paraId="660C36E1"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M. I., &amp;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R. S. (2014b). The flow of Islamic finance and economic growth: An empirical evidence of Middle East. </w:t>
      </w:r>
      <w:r w:rsidRPr="005A30C7">
        <w:rPr>
          <w:rFonts w:ascii="Times New Roman" w:hAnsi="Times New Roman" w:cs="Times New Roman"/>
          <w:i/>
          <w:sz w:val="24"/>
          <w:szCs w:val="24"/>
        </w:rPr>
        <w:t>Journal of Finance and Accounting, 2</w:t>
      </w:r>
      <w:r w:rsidRPr="00C04EA2">
        <w:rPr>
          <w:rFonts w:ascii="Times New Roman" w:hAnsi="Times New Roman" w:cs="Times New Roman"/>
          <w:sz w:val="24"/>
          <w:szCs w:val="24"/>
        </w:rPr>
        <w:t xml:space="preserve">(1), 11-19. </w:t>
      </w:r>
    </w:p>
    <w:p w14:paraId="7DA249F3"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M. I., &amp;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R. S. (2014c). Islamic Finance and Economic Growth: An Empirical Evidence from United Arab Emirates (UAE). </w:t>
      </w:r>
      <w:r w:rsidRPr="005A30C7">
        <w:rPr>
          <w:rFonts w:ascii="Times New Roman" w:hAnsi="Times New Roman" w:cs="Times New Roman"/>
          <w:i/>
          <w:sz w:val="24"/>
          <w:szCs w:val="24"/>
        </w:rPr>
        <w:t>Journal of Emerging Issues in Economics, Finance and Banking, 3</w:t>
      </w:r>
      <w:r w:rsidRPr="00C04EA2">
        <w:rPr>
          <w:rFonts w:ascii="Times New Roman" w:hAnsi="Times New Roman" w:cs="Times New Roman"/>
          <w:sz w:val="24"/>
          <w:szCs w:val="24"/>
        </w:rPr>
        <w:t>(2), 1069-1085.</w:t>
      </w:r>
    </w:p>
    <w:p w14:paraId="55FBE4EA" w14:textId="77777777" w:rsidR="000B7941" w:rsidRPr="00C04EA2" w:rsidRDefault="000B7941" w:rsidP="005A30C7">
      <w:pPr>
        <w:spacing w:line="360" w:lineRule="auto"/>
        <w:ind w:left="720" w:hanging="720"/>
        <w:jc w:val="both"/>
        <w:rPr>
          <w:rFonts w:ascii="Times New Roman" w:hAnsi="Times New Roman" w:cs="Times New Roman"/>
          <w:b/>
          <w:sz w:val="24"/>
          <w:szCs w:val="24"/>
        </w:rPr>
      </w:pPr>
      <w:proofErr w:type="spellStart"/>
      <w:r w:rsidRPr="00C04EA2">
        <w:rPr>
          <w:rFonts w:ascii="Times New Roman" w:hAnsi="Times New Roman" w:cs="Times New Roman"/>
          <w:sz w:val="24"/>
          <w:szCs w:val="24"/>
          <w:shd w:val="clear" w:color="auto" w:fill="FFFFFF"/>
        </w:rPr>
        <w:t>Tajgardoon</w:t>
      </w:r>
      <w:proofErr w:type="spellEnd"/>
      <w:r w:rsidRPr="00C04EA2">
        <w:rPr>
          <w:rFonts w:ascii="Times New Roman" w:hAnsi="Times New Roman" w:cs="Times New Roman"/>
          <w:sz w:val="24"/>
          <w:szCs w:val="24"/>
          <w:shd w:val="clear" w:color="auto" w:fill="FFFFFF"/>
        </w:rPr>
        <w:t xml:space="preserve">, G., </w:t>
      </w:r>
      <w:proofErr w:type="spellStart"/>
      <w:r w:rsidRPr="00C04EA2">
        <w:rPr>
          <w:rFonts w:ascii="Times New Roman" w:hAnsi="Times New Roman" w:cs="Times New Roman"/>
          <w:sz w:val="24"/>
          <w:szCs w:val="24"/>
          <w:shd w:val="clear" w:color="auto" w:fill="FFFFFF"/>
        </w:rPr>
        <w:t>Behname</w:t>
      </w:r>
      <w:proofErr w:type="spellEnd"/>
      <w:r w:rsidRPr="00C04EA2">
        <w:rPr>
          <w:rFonts w:ascii="Times New Roman" w:hAnsi="Times New Roman" w:cs="Times New Roman"/>
          <w:sz w:val="24"/>
          <w:szCs w:val="24"/>
          <w:shd w:val="clear" w:color="auto" w:fill="FFFFFF"/>
        </w:rPr>
        <w:t xml:space="preserve">, M., &amp; </w:t>
      </w:r>
      <w:proofErr w:type="spellStart"/>
      <w:r w:rsidRPr="00C04EA2">
        <w:rPr>
          <w:rFonts w:ascii="Times New Roman" w:hAnsi="Times New Roman" w:cs="Times New Roman"/>
          <w:sz w:val="24"/>
          <w:szCs w:val="24"/>
          <w:shd w:val="clear" w:color="auto" w:fill="FFFFFF"/>
        </w:rPr>
        <w:t>Noormohamadi</w:t>
      </w:r>
      <w:proofErr w:type="spellEnd"/>
      <w:r w:rsidRPr="00C04EA2">
        <w:rPr>
          <w:rFonts w:ascii="Times New Roman" w:hAnsi="Times New Roman" w:cs="Times New Roman"/>
          <w:sz w:val="24"/>
          <w:szCs w:val="24"/>
          <w:shd w:val="clear" w:color="auto" w:fill="FFFFFF"/>
        </w:rPr>
        <w:t>, K. (2013). Islamic banking and economic growth: evidence from Asia. </w:t>
      </w:r>
      <w:r w:rsidRPr="005A30C7">
        <w:rPr>
          <w:rFonts w:ascii="Times New Roman" w:hAnsi="Times New Roman" w:cs="Times New Roman"/>
          <w:i/>
          <w:iCs/>
          <w:sz w:val="24"/>
          <w:szCs w:val="24"/>
          <w:shd w:val="clear" w:color="auto" w:fill="FFFFFF"/>
        </w:rPr>
        <w:t>Journal of Modern Accounting and Auditing</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9</w:t>
      </w:r>
      <w:r w:rsidRPr="00C04EA2">
        <w:rPr>
          <w:rFonts w:ascii="Times New Roman" w:hAnsi="Times New Roman" w:cs="Times New Roman"/>
          <w:sz w:val="24"/>
          <w:szCs w:val="24"/>
          <w:shd w:val="clear" w:color="auto" w:fill="FFFFFF"/>
        </w:rPr>
        <w:t>(4), 542.</w:t>
      </w:r>
    </w:p>
    <w:p w14:paraId="3B89C5BE"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Tunay</w:t>
      </w:r>
      <w:proofErr w:type="spellEnd"/>
      <w:r w:rsidRPr="00C04EA2">
        <w:rPr>
          <w:rFonts w:ascii="Times New Roman" w:hAnsi="Times New Roman" w:cs="Times New Roman"/>
          <w:sz w:val="24"/>
          <w:szCs w:val="24"/>
        </w:rPr>
        <w:t xml:space="preserve">, B. (2016).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Bankacılık</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ile</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Ekonomik</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Büyüme</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Arasında</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Nedensellik</w:t>
      </w:r>
      <w:proofErr w:type="spellEnd"/>
      <w:r w:rsidRPr="00C04EA2">
        <w:rPr>
          <w:rFonts w:ascii="Times New Roman" w:hAnsi="Times New Roman" w:cs="Times New Roman"/>
          <w:sz w:val="24"/>
          <w:szCs w:val="24"/>
        </w:rPr>
        <w:t xml:space="preserve"> </w:t>
      </w:r>
      <w:proofErr w:type="spellStart"/>
      <w:proofErr w:type="gramStart"/>
      <w:r w:rsidRPr="00C04EA2">
        <w:rPr>
          <w:rFonts w:ascii="Times New Roman" w:hAnsi="Times New Roman" w:cs="Times New Roman"/>
          <w:sz w:val="24"/>
          <w:szCs w:val="24"/>
        </w:rPr>
        <w:t>İlişkileri</w:t>
      </w:r>
      <w:proofErr w:type="spellEnd"/>
      <w:r w:rsidRPr="00C04EA2">
        <w:rPr>
          <w:rFonts w:ascii="Times New Roman" w:hAnsi="Times New Roman" w:cs="Times New Roman"/>
          <w:sz w:val="24"/>
          <w:szCs w:val="24"/>
        </w:rPr>
        <w:t>(</w:t>
      </w:r>
      <w:proofErr w:type="gramEnd"/>
      <w:r w:rsidRPr="00C04EA2">
        <w:rPr>
          <w:rFonts w:ascii="Times New Roman" w:hAnsi="Times New Roman" w:cs="Times New Roman"/>
          <w:sz w:val="24"/>
          <w:szCs w:val="24"/>
        </w:rPr>
        <w:t xml:space="preserve">Causality Relations Between Islamic Banking and Economic Growth). </w:t>
      </w:r>
      <w:proofErr w:type="spellStart"/>
      <w:r w:rsidRPr="005A30C7">
        <w:rPr>
          <w:rFonts w:ascii="Times New Roman" w:hAnsi="Times New Roman" w:cs="Times New Roman"/>
          <w:i/>
          <w:iCs/>
          <w:sz w:val="24"/>
          <w:szCs w:val="24"/>
        </w:rPr>
        <w:t>Yönetim</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ve</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Ekonomi</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Celal</w:t>
      </w:r>
      <w:proofErr w:type="spellEnd"/>
      <w:r w:rsidRPr="005A30C7">
        <w:rPr>
          <w:rFonts w:ascii="Times New Roman" w:hAnsi="Times New Roman" w:cs="Times New Roman"/>
          <w:i/>
          <w:iCs/>
          <w:sz w:val="24"/>
          <w:szCs w:val="24"/>
        </w:rPr>
        <w:t xml:space="preserve"> Bayar </w:t>
      </w:r>
      <w:proofErr w:type="spellStart"/>
      <w:r w:rsidRPr="005A30C7">
        <w:rPr>
          <w:rFonts w:ascii="Times New Roman" w:hAnsi="Times New Roman" w:cs="Times New Roman"/>
          <w:i/>
          <w:iCs/>
          <w:sz w:val="24"/>
          <w:szCs w:val="24"/>
        </w:rPr>
        <w:t>Üniversitesi</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İktisadi</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ve</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İdari</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Bilimler</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Fakültesi</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Dergisi</w:t>
      </w:r>
      <w:proofErr w:type="spellEnd"/>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23</w:t>
      </w:r>
      <w:r w:rsidRPr="005A30C7">
        <w:rPr>
          <w:rFonts w:ascii="Times New Roman" w:hAnsi="Times New Roman" w:cs="Times New Roman"/>
          <w:sz w:val="24"/>
          <w:szCs w:val="24"/>
        </w:rPr>
        <w:t>(2</w:t>
      </w:r>
      <w:r w:rsidRPr="00C04EA2">
        <w:rPr>
          <w:rFonts w:ascii="Times New Roman" w:hAnsi="Times New Roman" w:cs="Times New Roman"/>
          <w:sz w:val="24"/>
          <w:szCs w:val="24"/>
        </w:rPr>
        <w:t xml:space="preserve">), 485. </w:t>
      </w:r>
      <w:hyperlink r:id="rId21" w:history="1">
        <w:r w:rsidRPr="00C04EA2">
          <w:rPr>
            <w:rStyle w:val="Hyperlink"/>
            <w:rFonts w:ascii="Times New Roman" w:hAnsi="Times New Roman" w:cs="Times New Roman"/>
            <w:color w:val="auto"/>
            <w:sz w:val="24"/>
            <w:szCs w:val="24"/>
          </w:rPr>
          <w:t>https://doi.org/10.18657/yecbu.89247</w:t>
        </w:r>
      </w:hyperlink>
    </w:p>
    <w:p w14:paraId="2F73D09B"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r w:rsidRPr="00C04EA2">
        <w:rPr>
          <w:rFonts w:ascii="Times New Roman" w:hAnsi="Times New Roman" w:cs="Times New Roman"/>
          <w:sz w:val="24"/>
          <w:szCs w:val="24"/>
          <w:shd w:val="clear" w:color="auto" w:fill="FFFFFF"/>
        </w:rPr>
        <w:t xml:space="preserve">Wahab, M., Mufti, O., &amp; Murad, M. S. (2016). The study of co-integration and causal link between Islamic </w:t>
      </w:r>
      <w:r w:rsidRPr="005A30C7">
        <w:rPr>
          <w:rFonts w:ascii="Times New Roman" w:hAnsi="Times New Roman" w:cs="Times New Roman"/>
          <w:i/>
          <w:sz w:val="24"/>
          <w:szCs w:val="24"/>
          <w:shd w:val="clear" w:color="auto" w:fill="FFFFFF"/>
        </w:rPr>
        <w:t>Bank financing and economic growth. </w:t>
      </w:r>
      <w:proofErr w:type="spellStart"/>
      <w:r w:rsidRPr="005A30C7">
        <w:rPr>
          <w:rFonts w:ascii="Times New Roman" w:hAnsi="Times New Roman" w:cs="Times New Roman"/>
          <w:i/>
          <w:iCs/>
          <w:sz w:val="24"/>
          <w:szCs w:val="24"/>
          <w:shd w:val="clear" w:color="auto" w:fill="FFFFFF"/>
        </w:rPr>
        <w:t>Abasyn</w:t>
      </w:r>
      <w:proofErr w:type="spellEnd"/>
      <w:r w:rsidRPr="005A30C7">
        <w:rPr>
          <w:rFonts w:ascii="Times New Roman" w:hAnsi="Times New Roman" w:cs="Times New Roman"/>
          <w:i/>
          <w:iCs/>
          <w:sz w:val="24"/>
          <w:szCs w:val="24"/>
          <w:shd w:val="clear" w:color="auto" w:fill="FFFFFF"/>
        </w:rPr>
        <w:t xml:space="preserve"> University Journal of Social Sciences</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9</w:t>
      </w:r>
      <w:r w:rsidRPr="00C04EA2">
        <w:rPr>
          <w:rFonts w:ascii="Times New Roman" w:hAnsi="Times New Roman" w:cs="Times New Roman"/>
          <w:sz w:val="24"/>
          <w:szCs w:val="24"/>
          <w:shd w:val="clear" w:color="auto" w:fill="FFFFFF"/>
        </w:rPr>
        <w:t>(2), 134-146.</w:t>
      </w:r>
    </w:p>
    <w:p w14:paraId="0916A833"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shd w:val="clear" w:color="auto" w:fill="FFFFFF"/>
        </w:rPr>
        <w:t>Yazdan</w:t>
      </w:r>
      <w:proofErr w:type="spellEnd"/>
      <w:r w:rsidRPr="00C04EA2">
        <w:rPr>
          <w:rFonts w:ascii="Times New Roman" w:hAnsi="Times New Roman" w:cs="Times New Roman"/>
          <w:sz w:val="24"/>
          <w:szCs w:val="24"/>
          <w:shd w:val="clear" w:color="auto" w:fill="FFFFFF"/>
        </w:rPr>
        <w:t>, G. F., &amp; Mohammad Hossein, S. S. (2012). Analysis of Islamic Bank's Financing and Economic Growth: Case Study Iran and Indonesia. </w:t>
      </w:r>
      <w:r w:rsidRPr="005A30C7">
        <w:rPr>
          <w:rFonts w:ascii="Times New Roman" w:hAnsi="Times New Roman" w:cs="Times New Roman"/>
          <w:i/>
          <w:iCs/>
          <w:sz w:val="24"/>
          <w:szCs w:val="24"/>
          <w:shd w:val="clear" w:color="auto" w:fill="FFFFFF"/>
        </w:rPr>
        <w:t>Journal of Economic Cooperation &amp; Development</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33</w:t>
      </w:r>
      <w:r w:rsidRPr="00C04EA2">
        <w:rPr>
          <w:rFonts w:ascii="Times New Roman" w:hAnsi="Times New Roman" w:cs="Times New Roman"/>
          <w:sz w:val="24"/>
          <w:szCs w:val="24"/>
          <w:shd w:val="clear" w:color="auto" w:fill="FFFFFF"/>
        </w:rPr>
        <w:t>(4).</w:t>
      </w:r>
    </w:p>
    <w:p w14:paraId="453F507E"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rPr>
        <w:t>Yüksel</w:t>
      </w:r>
      <w:proofErr w:type="spellEnd"/>
      <w:r w:rsidRPr="00C04EA2">
        <w:rPr>
          <w:rFonts w:ascii="Times New Roman" w:hAnsi="Times New Roman" w:cs="Times New Roman"/>
          <w:sz w:val="24"/>
          <w:szCs w:val="24"/>
        </w:rPr>
        <w:t xml:space="preserve">, S., &amp; </w:t>
      </w:r>
      <w:proofErr w:type="spellStart"/>
      <w:r w:rsidRPr="00C04EA2">
        <w:rPr>
          <w:rFonts w:ascii="Times New Roman" w:hAnsi="Times New Roman" w:cs="Times New Roman"/>
          <w:sz w:val="24"/>
          <w:szCs w:val="24"/>
        </w:rPr>
        <w:t>Canöz</w:t>
      </w:r>
      <w:proofErr w:type="spellEnd"/>
      <w:r w:rsidRPr="00C04EA2">
        <w:rPr>
          <w:rFonts w:ascii="Times New Roman" w:hAnsi="Times New Roman" w:cs="Times New Roman"/>
          <w:sz w:val="24"/>
          <w:szCs w:val="24"/>
        </w:rPr>
        <w:t xml:space="preserve">, İ. (2017). Does Islamic Banking Contribute to Economic Growth and Industrial Development in Turkey? </w:t>
      </w:r>
      <w:r w:rsidRPr="005A30C7">
        <w:rPr>
          <w:rFonts w:ascii="Times New Roman" w:hAnsi="Times New Roman" w:cs="Times New Roman"/>
          <w:i/>
          <w:iCs/>
          <w:sz w:val="24"/>
          <w:szCs w:val="24"/>
        </w:rPr>
        <w:t>IKONOMIKA</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2</w:t>
      </w:r>
      <w:r w:rsidRPr="005A30C7">
        <w:rPr>
          <w:rFonts w:ascii="Times New Roman" w:hAnsi="Times New Roman" w:cs="Times New Roman"/>
          <w:i/>
          <w:sz w:val="24"/>
          <w:szCs w:val="24"/>
        </w:rPr>
        <w:t>(</w:t>
      </w:r>
      <w:r w:rsidRPr="00C04EA2">
        <w:rPr>
          <w:rFonts w:ascii="Times New Roman" w:hAnsi="Times New Roman" w:cs="Times New Roman"/>
          <w:sz w:val="24"/>
          <w:szCs w:val="24"/>
        </w:rPr>
        <w:t xml:space="preserve">1). </w:t>
      </w:r>
      <w:hyperlink r:id="rId22" w:history="1">
        <w:r w:rsidRPr="00C04EA2">
          <w:rPr>
            <w:rStyle w:val="Hyperlink"/>
            <w:rFonts w:ascii="Times New Roman" w:hAnsi="Times New Roman" w:cs="Times New Roman"/>
            <w:color w:val="auto"/>
            <w:sz w:val="24"/>
            <w:szCs w:val="24"/>
          </w:rPr>
          <w:t>https://doi.org/10.24042/febi.v2i1.945</w:t>
        </w:r>
      </w:hyperlink>
    </w:p>
    <w:p w14:paraId="28FFD2CF"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r w:rsidRPr="00C04EA2">
        <w:rPr>
          <w:rFonts w:ascii="Times New Roman" w:hAnsi="Times New Roman" w:cs="Times New Roman"/>
          <w:sz w:val="24"/>
          <w:szCs w:val="24"/>
          <w:shd w:val="clear" w:color="auto" w:fill="FFFFFF"/>
        </w:rPr>
        <w:lastRenderedPageBreak/>
        <w:t>Yusof, N. A. M., &amp; Loong, L. C. (2020). Islamic Banking and Economic Growth in Malaysia: Evidence of a Causal Relationship Pre and Post Regulatory Reform. </w:t>
      </w:r>
      <w:r w:rsidRPr="005A30C7">
        <w:rPr>
          <w:rFonts w:ascii="Times New Roman" w:hAnsi="Times New Roman" w:cs="Times New Roman"/>
          <w:i/>
          <w:iCs/>
          <w:sz w:val="24"/>
          <w:szCs w:val="24"/>
          <w:shd w:val="clear" w:color="auto" w:fill="FFFFFF"/>
        </w:rPr>
        <w:t>Journal of Entrepreneurship and Business</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8</w:t>
      </w:r>
      <w:r w:rsidRPr="00C04EA2">
        <w:rPr>
          <w:rFonts w:ascii="Times New Roman" w:hAnsi="Times New Roman" w:cs="Times New Roman"/>
          <w:sz w:val="24"/>
          <w:szCs w:val="24"/>
          <w:shd w:val="clear" w:color="auto" w:fill="FFFFFF"/>
        </w:rPr>
        <w:t>(1), 1-14.</w:t>
      </w:r>
    </w:p>
    <w:sectPr w:rsidR="000B7941" w:rsidRPr="00C04EA2" w:rsidSect="00A7788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A89AC" w14:textId="77777777" w:rsidR="00F12F94" w:rsidRDefault="00F12F94" w:rsidP="00A556AB">
      <w:pPr>
        <w:spacing w:after="0" w:line="240" w:lineRule="auto"/>
      </w:pPr>
      <w:r>
        <w:separator/>
      </w:r>
    </w:p>
  </w:endnote>
  <w:endnote w:type="continuationSeparator" w:id="0">
    <w:p w14:paraId="523E0132" w14:textId="77777777" w:rsidR="00F12F94" w:rsidRDefault="00F12F94" w:rsidP="00A5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alibri"/>
    <w:panose1 w:val="000004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B74DF" w14:textId="77777777" w:rsidR="00F12F94" w:rsidRDefault="00F12F94" w:rsidP="00A556AB">
      <w:pPr>
        <w:spacing w:after="0" w:line="240" w:lineRule="auto"/>
      </w:pPr>
      <w:r>
        <w:separator/>
      </w:r>
    </w:p>
  </w:footnote>
  <w:footnote w:type="continuationSeparator" w:id="0">
    <w:p w14:paraId="0C42C7AA" w14:textId="77777777" w:rsidR="00F12F94" w:rsidRDefault="00F12F94" w:rsidP="00A55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470C"/>
    <w:multiLevelType w:val="hybridMultilevel"/>
    <w:tmpl w:val="A01E17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2ED293A"/>
    <w:multiLevelType w:val="hybridMultilevel"/>
    <w:tmpl w:val="16AE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C45EC"/>
    <w:multiLevelType w:val="hybridMultilevel"/>
    <w:tmpl w:val="78C8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105377"/>
    <w:multiLevelType w:val="hybridMultilevel"/>
    <w:tmpl w:val="749E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FD4CFA"/>
    <w:multiLevelType w:val="hybridMultilevel"/>
    <w:tmpl w:val="91307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FF0"/>
    <w:rsid w:val="0001687A"/>
    <w:rsid w:val="00017561"/>
    <w:rsid w:val="00030C06"/>
    <w:rsid w:val="000333A3"/>
    <w:rsid w:val="00051C2A"/>
    <w:rsid w:val="00053400"/>
    <w:rsid w:val="00062F11"/>
    <w:rsid w:val="00065B9C"/>
    <w:rsid w:val="00085520"/>
    <w:rsid w:val="0009680B"/>
    <w:rsid w:val="000A44CA"/>
    <w:rsid w:val="000A4A4F"/>
    <w:rsid w:val="000A5758"/>
    <w:rsid w:val="000A6849"/>
    <w:rsid w:val="000B7941"/>
    <w:rsid w:val="000E1E69"/>
    <w:rsid w:val="000E7B95"/>
    <w:rsid w:val="000F398E"/>
    <w:rsid w:val="00106D06"/>
    <w:rsid w:val="001113C4"/>
    <w:rsid w:val="00111879"/>
    <w:rsid w:val="00111A0E"/>
    <w:rsid w:val="0011497A"/>
    <w:rsid w:val="001235A1"/>
    <w:rsid w:val="00127508"/>
    <w:rsid w:val="00153323"/>
    <w:rsid w:val="00162E92"/>
    <w:rsid w:val="00177407"/>
    <w:rsid w:val="001B0251"/>
    <w:rsid w:val="001C0AB4"/>
    <w:rsid w:val="001F3569"/>
    <w:rsid w:val="001F75D7"/>
    <w:rsid w:val="00227ADD"/>
    <w:rsid w:val="00241712"/>
    <w:rsid w:val="00250850"/>
    <w:rsid w:val="0025196F"/>
    <w:rsid w:val="002617E3"/>
    <w:rsid w:val="00277EFD"/>
    <w:rsid w:val="00282B1A"/>
    <w:rsid w:val="002908C2"/>
    <w:rsid w:val="00294F41"/>
    <w:rsid w:val="00297D43"/>
    <w:rsid w:val="002A70C5"/>
    <w:rsid w:val="002B5CC1"/>
    <w:rsid w:val="002B78E8"/>
    <w:rsid w:val="002D2E84"/>
    <w:rsid w:val="002F06CC"/>
    <w:rsid w:val="002F45B0"/>
    <w:rsid w:val="0030192A"/>
    <w:rsid w:val="00302B8A"/>
    <w:rsid w:val="00303710"/>
    <w:rsid w:val="00306C57"/>
    <w:rsid w:val="00311CE0"/>
    <w:rsid w:val="003200C3"/>
    <w:rsid w:val="00320336"/>
    <w:rsid w:val="00321453"/>
    <w:rsid w:val="00340B7F"/>
    <w:rsid w:val="00342CDE"/>
    <w:rsid w:val="0035104A"/>
    <w:rsid w:val="0035132E"/>
    <w:rsid w:val="00356A3A"/>
    <w:rsid w:val="00356B93"/>
    <w:rsid w:val="00356FF4"/>
    <w:rsid w:val="00371016"/>
    <w:rsid w:val="00371A39"/>
    <w:rsid w:val="003734E3"/>
    <w:rsid w:val="00390009"/>
    <w:rsid w:val="00390F4E"/>
    <w:rsid w:val="003930C5"/>
    <w:rsid w:val="003A384D"/>
    <w:rsid w:val="003B43A6"/>
    <w:rsid w:val="003D1BB0"/>
    <w:rsid w:val="003E2E95"/>
    <w:rsid w:val="003F2088"/>
    <w:rsid w:val="00401AEF"/>
    <w:rsid w:val="004121CB"/>
    <w:rsid w:val="00415154"/>
    <w:rsid w:val="0042098B"/>
    <w:rsid w:val="00452AE4"/>
    <w:rsid w:val="00460B48"/>
    <w:rsid w:val="00473B8F"/>
    <w:rsid w:val="00474E2B"/>
    <w:rsid w:val="0049187B"/>
    <w:rsid w:val="00493478"/>
    <w:rsid w:val="004A1513"/>
    <w:rsid w:val="004B0584"/>
    <w:rsid w:val="004C1101"/>
    <w:rsid w:val="004C6F4E"/>
    <w:rsid w:val="004E6121"/>
    <w:rsid w:val="004E7F29"/>
    <w:rsid w:val="005017D2"/>
    <w:rsid w:val="0053026B"/>
    <w:rsid w:val="00535656"/>
    <w:rsid w:val="00537182"/>
    <w:rsid w:val="00540022"/>
    <w:rsid w:val="00544AA8"/>
    <w:rsid w:val="00556717"/>
    <w:rsid w:val="00580DB7"/>
    <w:rsid w:val="0058635A"/>
    <w:rsid w:val="005A29AD"/>
    <w:rsid w:val="005A30C7"/>
    <w:rsid w:val="005A3758"/>
    <w:rsid w:val="005A477E"/>
    <w:rsid w:val="005A7F46"/>
    <w:rsid w:val="005C4B3C"/>
    <w:rsid w:val="005F67F3"/>
    <w:rsid w:val="00601166"/>
    <w:rsid w:val="006017C1"/>
    <w:rsid w:val="006061D5"/>
    <w:rsid w:val="0061429F"/>
    <w:rsid w:val="00616F11"/>
    <w:rsid w:val="006302F9"/>
    <w:rsid w:val="00636553"/>
    <w:rsid w:val="006443A1"/>
    <w:rsid w:val="00662FCB"/>
    <w:rsid w:val="006755BC"/>
    <w:rsid w:val="00677BE3"/>
    <w:rsid w:val="006836BC"/>
    <w:rsid w:val="006964C4"/>
    <w:rsid w:val="006B12FE"/>
    <w:rsid w:val="006B1E9D"/>
    <w:rsid w:val="006B2E8F"/>
    <w:rsid w:val="006B361E"/>
    <w:rsid w:val="006C4D98"/>
    <w:rsid w:val="006C7D76"/>
    <w:rsid w:val="006D6D79"/>
    <w:rsid w:val="006F7DB2"/>
    <w:rsid w:val="00707A6E"/>
    <w:rsid w:val="00716A65"/>
    <w:rsid w:val="00720000"/>
    <w:rsid w:val="007216F2"/>
    <w:rsid w:val="007217C5"/>
    <w:rsid w:val="00733C33"/>
    <w:rsid w:val="007363C8"/>
    <w:rsid w:val="00746BBC"/>
    <w:rsid w:val="007533FC"/>
    <w:rsid w:val="0076558D"/>
    <w:rsid w:val="00765F98"/>
    <w:rsid w:val="00773EF0"/>
    <w:rsid w:val="00776FA4"/>
    <w:rsid w:val="00783C8C"/>
    <w:rsid w:val="00783D69"/>
    <w:rsid w:val="0078674A"/>
    <w:rsid w:val="00796CF5"/>
    <w:rsid w:val="007A1944"/>
    <w:rsid w:val="007A381C"/>
    <w:rsid w:val="007D5371"/>
    <w:rsid w:val="007D7929"/>
    <w:rsid w:val="007D79F5"/>
    <w:rsid w:val="007E2021"/>
    <w:rsid w:val="00803C38"/>
    <w:rsid w:val="00813015"/>
    <w:rsid w:val="008273F0"/>
    <w:rsid w:val="008301FE"/>
    <w:rsid w:val="0083271C"/>
    <w:rsid w:val="00833107"/>
    <w:rsid w:val="00835DD0"/>
    <w:rsid w:val="0084339E"/>
    <w:rsid w:val="008607F6"/>
    <w:rsid w:val="00860D32"/>
    <w:rsid w:val="00862BE3"/>
    <w:rsid w:val="008810B3"/>
    <w:rsid w:val="00895E99"/>
    <w:rsid w:val="008B443E"/>
    <w:rsid w:val="008C2435"/>
    <w:rsid w:val="008C2829"/>
    <w:rsid w:val="008D0582"/>
    <w:rsid w:val="008D358A"/>
    <w:rsid w:val="008E2F1A"/>
    <w:rsid w:val="008E37C9"/>
    <w:rsid w:val="008E45A9"/>
    <w:rsid w:val="008F3F69"/>
    <w:rsid w:val="008F7A89"/>
    <w:rsid w:val="009037A8"/>
    <w:rsid w:val="00912FC5"/>
    <w:rsid w:val="00920298"/>
    <w:rsid w:val="009231F9"/>
    <w:rsid w:val="00925F2B"/>
    <w:rsid w:val="00932F22"/>
    <w:rsid w:val="00934BB6"/>
    <w:rsid w:val="00935E18"/>
    <w:rsid w:val="00941DDB"/>
    <w:rsid w:val="009548F6"/>
    <w:rsid w:val="00956FBC"/>
    <w:rsid w:val="00964DFB"/>
    <w:rsid w:val="00965A1B"/>
    <w:rsid w:val="00983E54"/>
    <w:rsid w:val="0098531E"/>
    <w:rsid w:val="009921FF"/>
    <w:rsid w:val="00992EC4"/>
    <w:rsid w:val="00997034"/>
    <w:rsid w:val="009A31C1"/>
    <w:rsid w:val="009B105C"/>
    <w:rsid w:val="009B320A"/>
    <w:rsid w:val="009B7364"/>
    <w:rsid w:val="009E2659"/>
    <w:rsid w:val="009E7607"/>
    <w:rsid w:val="009F1A1B"/>
    <w:rsid w:val="00A126AD"/>
    <w:rsid w:val="00A228F8"/>
    <w:rsid w:val="00A24304"/>
    <w:rsid w:val="00A322E1"/>
    <w:rsid w:val="00A35617"/>
    <w:rsid w:val="00A5012A"/>
    <w:rsid w:val="00A556AB"/>
    <w:rsid w:val="00A63298"/>
    <w:rsid w:val="00A74463"/>
    <w:rsid w:val="00A7788F"/>
    <w:rsid w:val="00A8163B"/>
    <w:rsid w:val="00AA7A27"/>
    <w:rsid w:val="00AB0204"/>
    <w:rsid w:val="00AB6B94"/>
    <w:rsid w:val="00AC395F"/>
    <w:rsid w:val="00AC6C23"/>
    <w:rsid w:val="00AD017C"/>
    <w:rsid w:val="00AD4406"/>
    <w:rsid w:val="00AF04F5"/>
    <w:rsid w:val="00B06969"/>
    <w:rsid w:val="00B17160"/>
    <w:rsid w:val="00B500FE"/>
    <w:rsid w:val="00B51579"/>
    <w:rsid w:val="00B52BC8"/>
    <w:rsid w:val="00B544A7"/>
    <w:rsid w:val="00B600E4"/>
    <w:rsid w:val="00B83670"/>
    <w:rsid w:val="00B97A82"/>
    <w:rsid w:val="00BA5D7E"/>
    <w:rsid w:val="00BB4C2D"/>
    <w:rsid w:val="00BD66E0"/>
    <w:rsid w:val="00BD7CCE"/>
    <w:rsid w:val="00C0445D"/>
    <w:rsid w:val="00C04EA2"/>
    <w:rsid w:val="00C13267"/>
    <w:rsid w:val="00C21D99"/>
    <w:rsid w:val="00C24572"/>
    <w:rsid w:val="00C27D0E"/>
    <w:rsid w:val="00C3133D"/>
    <w:rsid w:val="00C3612D"/>
    <w:rsid w:val="00C51996"/>
    <w:rsid w:val="00C53C63"/>
    <w:rsid w:val="00C53E4E"/>
    <w:rsid w:val="00C54ECF"/>
    <w:rsid w:val="00C55570"/>
    <w:rsid w:val="00C82735"/>
    <w:rsid w:val="00CA359B"/>
    <w:rsid w:val="00CE0AA6"/>
    <w:rsid w:val="00CE2140"/>
    <w:rsid w:val="00CF4161"/>
    <w:rsid w:val="00D01152"/>
    <w:rsid w:val="00D064BA"/>
    <w:rsid w:val="00D3340F"/>
    <w:rsid w:val="00D41052"/>
    <w:rsid w:val="00D63792"/>
    <w:rsid w:val="00D90551"/>
    <w:rsid w:val="00D922EA"/>
    <w:rsid w:val="00DA345C"/>
    <w:rsid w:val="00DB045B"/>
    <w:rsid w:val="00DC18CA"/>
    <w:rsid w:val="00DE4AD8"/>
    <w:rsid w:val="00DF6416"/>
    <w:rsid w:val="00E06D87"/>
    <w:rsid w:val="00E07292"/>
    <w:rsid w:val="00E40ADA"/>
    <w:rsid w:val="00E40AE5"/>
    <w:rsid w:val="00E46F45"/>
    <w:rsid w:val="00E52DCA"/>
    <w:rsid w:val="00E5319F"/>
    <w:rsid w:val="00E53C1A"/>
    <w:rsid w:val="00E56909"/>
    <w:rsid w:val="00E85E9C"/>
    <w:rsid w:val="00E94829"/>
    <w:rsid w:val="00EA360E"/>
    <w:rsid w:val="00EA5472"/>
    <w:rsid w:val="00EC1774"/>
    <w:rsid w:val="00EE2D91"/>
    <w:rsid w:val="00EE3326"/>
    <w:rsid w:val="00EF053B"/>
    <w:rsid w:val="00EF3E88"/>
    <w:rsid w:val="00EF4DB7"/>
    <w:rsid w:val="00EF7162"/>
    <w:rsid w:val="00F001A1"/>
    <w:rsid w:val="00F07FF0"/>
    <w:rsid w:val="00F10146"/>
    <w:rsid w:val="00F12F94"/>
    <w:rsid w:val="00F14DB3"/>
    <w:rsid w:val="00F31C27"/>
    <w:rsid w:val="00F33F8A"/>
    <w:rsid w:val="00F40A26"/>
    <w:rsid w:val="00F52303"/>
    <w:rsid w:val="00F6229E"/>
    <w:rsid w:val="00F73E2A"/>
    <w:rsid w:val="00F75F5F"/>
    <w:rsid w:val="00F76ED8"/>
    <w:rsid w:val="00F92E07"/>
    <w:rsid w:val="00FA1BAD"/>
    <w:rsid w:val="00FB5129"/>
    <w:rsid w:val="00FB6B2D"/>
    <w:rsid w:val="00FD460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6A6EA8"/>
  <w15:chartTrackingRefBased/>
  <w15:docId w15:val="{81C87D80-55D2-4FB8-A289-B96B46A7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7A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7A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AE5"/>
    <w:pPr>
      <w:ind w:left="720"/>
      <w:contextualSpacing/>
    </w:pPr>
  </w:style>
  <w:style w:type="paragraph" w:styleId="FootnoteText">
    <w:name w:val="footnote text"/>
    <w:basedOn w:val="Normal"/>
    <w:link w:val="FootnoteTextChar"/>
    <w:uiPriority w:val="99"/>
    <w:semiHidden/>
    <w:unhideWhenUsed/>
    <w:rsid w:val="00A556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56AB"/>
    <w:rPr>
      <w:sz w:val="20"/>
      <w:szCs w:val="20"/>
    </w:rPr>
  </w:style>
  <w:style w:type="character" w:styleId="FootnoteReference">
    <w:name w:val="footnote reference"/>
    <w:basedOn w:val="DefaultParagraphFont"/>
    <w:uiPriority w:val="99"/>
    <w:semiHidden/>
    <w:unhideWhenUsed/>
    <w:rsid w:val="00A556AB"/>
    <w:rPr>
      <w:vertAlign w:val="superscript"/>
    </w:rPr>
  </w:style>
  <w:style w:type="character" w:styleId="Hyperlink">
    <w:name w:val="Hyperlink"/>
    <w:basedOn w:val="DefaultParagraphFont"/>
    <w:uiPriority w:val="99"/>
    <w:unhideWhenUsed/>
    <w:rsid w:val="00A556AB"/>
    <w:rPr>
      <w:color w:val="0563C1" w:themeColor="hyperlink"/>
      <w:u w:val="single"/>
    </w:rPr>
  </w:style>
  <w:style w:type="paragraph" w:styleId="Header">
    <w:name w:val="header"/>
    <w:basedOn w:val="Normal"/>
    <w:link w:val="HeaderChar"/>
    <w:uiPriority w:val="99"/>
    <w:unhideWhenUsed/>
    <w:rsid w:val="00356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A3A"/>
  </w:style>
  <w:style w:type="paragraph" w:styleId="Footer">
    <w:name w:val="footer"/>
    <w:basedOn w:val="Normal"/>
    <w:link w:val="FooterChar"/>
    <w:uiPriority w:val="99"/>
    <w:unhideWhenUsed/>
    <w:rsid w:val="00356A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A3A"/>
  </w:style>
  <w:style w:type="table" w:styleId="TableGrid">
    <w:name w:val="Table Grid"/>
    <w:basedOn w:val="TableNormal"/>
    <w:uiPriority w:val="39"/>
    <w:rsid w:val="00992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2">
    <w:name w:val="Table Subtle 2"/>
    <w:basedOn w:val="TableNormal"/>
    <w:uiPriority w:val="99"/>
    <w:rsid w:val="00992EC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ainTable3">
    <w:name w:val="Plain Table 3"/>
    <w:basedOn w:val="TableNormal"/>
    <w:uiPriority w:val="43"/>
    <w:rsid w:val="00C21D9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C21D9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C21D9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3710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F73E2A"/>
    <w:rPr>
      <w:color w:val="605E5C"/>
      <w:shd w:val="clear" w:color="auto" w:fill="E1DFDD"/>
    </w:rPr>
  </w:style>
  <w:style w:type="character" w:customStyle="1" w:styleId="fontstyle01">
    <w:name w:val="fontstyle01"/>
    <w:basedOn w:val="DefaultParagraphFont"/>
    <w:rsid w:val="005C4B3C"/>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5C4B3C"/>
    <w:rPr>
      <w:rFonts w:ascii="TimesNewRomanPS-ItalicMT" w:hAnsi="TimesNewRomanPS-ItalicMT" w:hint="default"/>
      <w:b w:val="0"/>
      <w:bCs w:val="0"/>
      <w:i/>
      <w:iCs/>
      <w:color w:val="000000"/>
      <w:sz w:val="24"/>
      <w:szCs w:val="24"/>
    </w:rPr>
  </w:style>
  <w:style w:type="character" w:styleId="FollowedHyperlink">
    <w:name w:val="FollowedHyperlink"/>
    <w:basedOn w:val="DefaultParagraphFont"/>
    <w:uiPriority w:val="99"/>
    <w:semiHidden/>
    <w:unhideWhenUsed/>
    <w:rsid w:val="007216F2"/>
    <w:rPr>
      <w:color w:val="954F72" w:themeColor="followedHyperlink"/>
      <w:u w:val="single"/>
    </w:rPr>
  </w:style>
  <w:style w:type="character" w:styleId="UnresolvedMention">
    <w:name w:val="Unresolved Mention"/>
    <w:basedOn w:val="DefaultParagraphFont"/>
    <w:uiPriority w:val="99"/>
    <w:semiHidden/>
    <w:unhideWhenUsed/>
    <w:rsid w:val="007216F2"/>
    <w:rPr>
      <w:color w:val="605E5C"/>
      <w:shd w:val="clear" w:color="auto" w:fill="E1DFDD"/>
    </w:rPr>
  </w:style>
  <w:style w:type="paragraph" w:styleId="NoSpacing">
    <w:name w:val="No Spacing"/>
    <w:uiPriority w:val="1"/>
    <w:qFormat/>
    <w:rsid w:val="00B97A82"/>
    <w:pPr>
      <w:spacing w:after="0" w:line="240" w:lineRule="auto"/>
    </w:pPr>
  </w:style>
  <w:style w:type="character" w:customStyle="1" w:styleId="Heading1Char">
    <w:name w:val="Heading 1 Char"/>
    <w:basedOn w:val="DefaultParagraphFont"/>
    <w:link w:val="Heading1"/>
    <w:uiPriority w:val="9"/>
    <w:rsid w:val="00B97A8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97A8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6302">
      <w:bodyDiv w:val="1"/>
      <w:marLeft w:val="0"/>
      <w:marRight w:val="0"/>
      <w:marTop w:val="0"/>
      <w:marBottom w:val="0"/>
      <w:divBdr>
        <w:top w:val="none" w:sz="0" w:space="0" w:color="auto"/>
        <w:left w:val="none" w:sz="0" w:space="0" w:color="auto"/>
        <w:bottom w:val="none" w:sz="0" w:space="0" w:color="auto"/>
        <w:right w:val="none" w:sz="0" w:space="0" w:color="auto"/>
      </w:divBdr>
    </w:div>
    <w:div w:id="23407838">
      <w:bodyDiv w:val="1"/>
      <w:marLeft w:val="0"/>
      <w:marRight w:val="0"/>
      <w:marTop w:val="0"/>
      <w:marBottom w:val="0"/>
      <w:divBdr>
        <w:top w:val="none" w:sz="0" w:space="0" w:color="auto"/>
        <w:left w:val="none" w:sz="0" w:space="0" w:color="auto"/>
        <w:bottom w:val="none" w:sz="0" w:space="0" w:color="auto"/>
        <w:right w:val="none" w:sz="0" w:space="0" w:color="auto"/>
      </w:divBdr>
    </w:div>
    <w:div w:id="142940016">
      <w:bodyDiv w:val="1"/>
      <w:marLeft w:val="0"/>
      <w:marRight w:val="0"/>
      <w:marTop w:val="0"/>
      <w:marBottom w:val="0"/>
      <w:divBdr>
        <w:top w:val="none" w:sz="0" w:space="0" w:color="auto"/>
        <w:left w:val="none" w:sz="0" w:space="0" w:color="auto"/>
        <w:bottom w:val="none" w:sz="0" w:space="0" w:color="auto"/>
        <w:right w:val="none" w:sz="0" w:space="0" w:color="auto"/>
      </w:divBdr>
    </w:div>
    <w:div w:id="156658118">
      <w:bodyDiv w:val="1"/>
      <w:marLeft w:val="0"/>
      <w:marRight w:val="0"/>
      <w:marTop w:val="0"/>
      <w:marBottom w:val="0"/>
      <w:divBdr>
        <w:top w:val="none" w:sz="0" w:space="0" w:color="auto"/>
        <w:left w:val="none" w:sz="0" w:space="0" w:color="auto"/>
        <w:bottom w:val="none" w:sz="0" w:space="0" w:color="auto"/>
        <w:right w:val="none" w:sz="0" w:space="0" w:color="auto"/>
      </w:divBdr>
    </w:div>
    <w:div w:id="195852061">
      <w:bodyDiv w:val="1"/>
      <w:marLeft w:val="0"/>
      <w:marRight w:val="0"/>
      <w:marTop w:val="0"/>
      <w:marBottom w:val="0"/>
      <w:divBdr>
        <w:top w:val="none" w:sz="0" w:space="0" w:color="auto"/>
        <w:left w:val="none" w:sz="0" w:space="0" w:color="auto"/>
        <w:bottom w:val="none" w:sz="0" w:space="0" w:color="auto"/>
        <w:right w:val="none" w:sz="0" w:space="0" w:color="auto"/>
      </w:divBdr>
    </w:div>
    <w:div w:id="243952072">
      <w:bodyDiv w:val="1"/>
      <w:marLeft w:val="0"/>
      <w:marRight w:val="0"/>
      <w:marTop w:val="0"/>
      <w:marBottom w:val="0"/>
      <w:divBdr>
        <w:top w:val="none" w:sz="0" w:space="0" w:color="auto"/>
        <w:left w:val="none" w:sz="0" w:space="0" w:color="auto"/>
        <w:bottom w:val="none" w:sz="0" w:space="0" w:color="auto"/>
        <w:right w:val="none" w:sz="0" w:space="0" w:color="auto"/>
      </w:divBdr>
    </w:div>
    <w:div w:id="255407380">
      <w:bodyDiv w:val="1"/>
      <w:marLeft w:val="0"/>
      <w:marRight w:val="0"/>
      <w:marTop w:val="0"/>
      <w:marBottom w:val="0"/>
      <w:divBdr>
        <w:top w:val="none" w:sz="0" w:space="0" w:color="auto"/>
        <w:left w:val="none" w:sz="0" w:space="0" w:color="auto"/>
        <w:bottom w:val="none" w:sz="0" w:space="0" w:color="auto"/>
        <w:right w:val="none" w:sz="0" w:space="0" w:color="auto"/>
      </w:divBdr>
    </w:div>
    <w:div w:id="272595801">
      <w:bodyDiv w:val="1"/>
      <w:marLeft w:val="0"/>
      <w:marRight w:val="0"/>
      <w:marTop w:val="0"/>
      <w:marBottom w:val="0"/>
      <w:divBdr>
        <w:top w:val="none" w:sz="0" w:space="0" w:color="auto"/>
        <w:left w:val="none" w:sz="0" w:space="0" w:color="auto"/>
        <w:bottom w:val="none" w:sz="0" w:space="0" w:color="auto"/>
        <w:right w:val="none" w:sz="0" w:space="0" w:color="auto"/>
      </w:divBdr>
    </w:div>
    <w:div w:id="333069567">
      <w:bodyDiv w:val="1"/>
      <w:marLeft w:val="0"/>
      <w:marRight w:val="0"/>
      <w:marTop w:val="0"/>
      <w:marBottom w:val="0"/>
      <w:divBdr>
        <w:top w:val="none" w:sz="0" w:space="0" w:color="auto"/>
        <w:left w:val="none" w:sz="0" w:space="0" w:color="auto"/>
        <w:bottom w:val="none" w:sz="0" w:space="0" w:color="auto"/>
        <w:right w:val="none" w:sz="0" w:space="0" w:color="auto"/>
      </w:divBdr>
    </w:div>
    <w:div w:id="389765586">
      <w:bodyDiv w:val="1"/>
      <w:marLeft w:val="0"/>
      <w:marRight w:val="0"/>
      <w:marTop w:val="0"/>
      <w:marBottom w:val="0"/>
      <w:divBdr>
        <w:top w:val="none" w:sz="0" w:space="0" w:color="auto"/>
        <w:left w:val="none" w:sz="0" w:space="0" w:color="auto"/>
        <w:bottom w:val="none" w:sz="0" w:space="0" w:color="auto"/>
        <w:right w:val="none" w:sz="0" w:space="0" w:color="auto"/>
      </w:divBdr>
    </w:div>
    <w:div w:id="437995051">
      <w:bodyDiv w:val="1"/>
      <w:marLeft w:val="0"/>
      <w:marRight w:val="0"/>
      <w:marTop w:val="0"/>
      <w:marBottom w:val="0"/>
      <w:divBdr>
        <w:top w:val="none" w:sz="0" w:space="0" w:color="auto"/>
        <w:left w:val="none" w:sz="0" w:space="0" w:color="auto"/>
        <w:bottom w:val="none" w:sz="0" w:space="0" w:color="auto"/>
        <w:right w:val="none" w:sz="0" w:space="0" w:color="auto"/>
      </w:divBdr>
    </w:div>
    <w:div w:id="460657359">
      <w:bodyDiv w:val="1"/>
      <w:marLeft w:val="0"/>
      <w:marRight w:val="0"/>
      <w:marTop w:val="0"/>
      <w:marBottom w:val="0"/>
      <w:divBdr>
        <w:top w:val="none" w:sz="0" w:space="0" w:color="auto"/>
        <w:left w:val="none" w:sz="0" w:space="0" w:color="auto"/>
        <w:bottom w:val="none" w:sz="0" w:space="0" w:color="auto"/>
        <w:right w:val="none" w:sz="0" w:space="0" w:color="auto"/>
      </w:divBdr>
    </w:div>
    <w:div w:id="674696358">
      <w:bodyDiv w:val="1"/>
      <w:marLeft w:val="0"/>
      <w:marRight w:val="0"/>
      <w:marTop w:val="0"/>
      <w:marBottom w:val="0"/>
      <w:divBdr>
        <w:top w:val="none" w:sz="0" w:space="0" w:color="auto"/>
        <w:left w:val="none" w:sz="0" w:space="0" w:color="auto"/>
        <w:bottom w:val="none" w:sz="0" w:space="0" w:color="auto"/>
        <w:right w:val="none" w:sz="0" w:space="0" w:color="auto"/>
      </w:divBdr>
    </w:div>
    <w:div w:id="676735029">
      <w:bodyDiv w:val="1"/>
      <w:marLeft w:val="0"/>
      <w:marRight w:val="0"/>
      <w:marTop w:val="0"/>
      <w:marBottom w:val="0"/>
      <w:divBdr>
        <w:top w:val="none" w:sz="0" w:space="0" w:color="auto"/>
        <w:left w:val="none" w:sz="0" w:space="0" w:color="auto"/>
        <w:bottom w:val="none" w:sz="0" w:space="0" w:color="auto"/>
        <w:right w:val="none" w:sz="0" w:space="0" w:color="auto"/>
      </w:divBdr>
    </w:div>
    <w:div w:id="867915582">
      <w:bodyDiv w:val="1"/>
      <w:marLeft w:val="0"/>
      <w:marRight w:val="0"/>
      <w:marTop w:val="0"/>
      <w:marBottom w:val="0"/>
      <w:divBdr>
        <w:top w:val="none" w:sz="0" w:space="0" w:color="auto"/>
        <w:left w:val="none" w:sz="0" w:space="0" w:color="auto"/>
        <w:bottom w:val="none" w:sz="0" w:space="0" w:color="auto"/>
        <w:right w:val="none" w:sz="0" w:space="0" w:color="auto"/>
      </w:divBdr>
    </w:div>
    <w:div w:id="974218749">
      <w:bodyDiv w:val="1"/>
      <w:marLeft w:val="0"/>
      <w:marRight w:val="0"/>
      <w:marTop w:val="0"/>
      <w:marBottom w:val="0"/>
      <w:divBdr>
        <w:top w:val="none" w:sz="0" w:space="0" w:color="auto"/>
        <w:left w:val="none" w:sz="0" w:space="0" w:color="auto"/>
        <w:bottom w:val="none" w:sz="0" w:space="0" w:color="auto"/>
        <w:right w:val="none" w:sz="0" w:space="0" w:color="auto"/>
      </w:divBdr>
    </w:div>
    <w:div w:id="995452002">
      <w:bodyDiv w:val="1"/>
      <w:marLeft w:val="0"/>
      <w:marRight w:val="0"/>
      <w:marTop w:val="0"/>
      <w:marBottom w:val="0"/>
      <w:divBdr>
        <w:top w:val="none" w:sz="0" w:space="0" w:color="auto"/>
        <w:left w:val="none" w:sz="0" w:space="0" w:color="auto"/>
        <w:bottom w:val="none" w:sz="0" w:space="0" w:color="auto"/>
        <w:right w:val="none" w:sz="0" w:space="0" w:color="auto"/>
      </w:divBdr>
    </w:div>
    <w:div w:id="1144271937">
      <w:bodyDiv w:val="1"/>
      <w:marLeft w:val="0"/>
      <w:marRight w:val="0"/>
      <w:marTop w:val="0"/>
      <w:marBottom w:val="0"/>
      <w:divBdr>
        <w:top w:val="none" w:sz="0" w:space="0" w:color="auto"/>
        <w:left w:val="none" w:sz="0" w:space="0" w:color="auto"/>
        <w:bottom w:val="none" w:sz="0" w:space="0" w:color="auto"/>
        <w:right w:val="none" w:sz="0" w:space="0" w:color="auto"/>
      </w:divBdr>
      <w:divsChild>
        <w:div w:id="1090080692">
          <w:marLeft w:val="480"/>
          <w:marRight w:val="0"/>
          <w:marTop w:val="0"/>
          <w:marBottom w:val="0"/>
          <w:divBdr>
            <w:top w:val="none" w:sz="0" w:space="0" w:color="auto"/>
            <w:left w:val="none" w:sz="0" w:space="0" w:color="auto"/>
            <w:bottom w:val="none" w:sz="0" w:space="0" w:color="auto"/>
            <w:right w:val="none" w:sz="0" w:space="0" w:color="auto"/>
          </w:divBdr>
          <w:divsChild>
            <w:div w:id="60616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79847">
      <w:bodyDiv w:val="1"/>
      <w:marLeft w:val="0"/>
      <w:marRight w:val="0"/>
      <w:marTop w:val="0"/>
      <w:marBottom w:val="0"/>
      <w:divBdr>
        <w:top w:val="none" w:sz="0" w:space="0" w:color="auto"/>
        <w:left w:val="none" w:sz="0" w:space="0" w:color="auto"/>
        <w:bottom w:val="none" w:sz="0" w:space="0" w:color="auto"/>
        <w:right w:val="none" w:sz="0" w:space="0" w:color="auto"/>
      </w:divBdr>
    </w:div>
    <w:div w:id="1193764126">
      <w:bodyDiv w:val="1"/>
      <w:marLeft w:val="0"/>
      <w:marRight w:val="0"/>
      <w:marTop w:val="0"/>
      <w:marBottom w:val="0"/>
      <w:divBdr>
        <w:top w:val="none" w:sz="0" w:space="0" w:color="auto"/>
        <w:left w:val="none" w:sz="0" w:space="0" w:color="auto"/>
        <w:bottom w:val="none" w:sz="0" w:space="0" w:color="auto"/>
        <w:right w:val="none" w:sz="0" w:space="0" w:color="auto"/>
      </w:divBdr>
      <w:divsChild>
        <w:div w:id="229192803">
          <w:marLeft w:val="480"/>
          <w:marRight w:val="0"/>
          <w:marTop w:val="0"/>
          <w:marBottom w:val="0"/>
          <w:divBdr>
            <w:top w:val="none" w:sz="0" w:space="0" w:color="auto"/>
            <w:left w:val="none" w:sz="0" w:space="0" w:color="auto"/>
            <w:bottom w:val="none" w:sz="0" w:space="0" w:color="auto"/>
            <w:right w:val="none" w:sz="0" w:space="0" w:color="auto"/>
          </w:divBdr>
          <w:divsChild>
            <w:div w:id="188235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18288">
      <w:bodyDiv w:val="1"/>
      <w:marLeft w:val="0"/>
      <w:marRight w:val="0"/>
      <w:marTop w:val="0"/>
      <w:marBottom w:val="0"/>
      <w:divBdr>
        <w:top w:val="none" w:sz="0" w:space="0" w:color="auto"/>
        <w:left w:val="none" w:sz="0" w:space="0" w:color="auto"/>
        <w:bottom w:val="none" w:sz="0" w:space="0" w:color="auto"/>
        <w:right w:val="none" w:sz="0" w:space="0" w:color="auto"/>
      </w:divBdr>
      <w:divsChild>
        <w:div w:id="281815038">
          <w:marLeft w:val="480"/>
          <w:marRight w:val="0"/>
          <w:marTop w:val="0"/>
          <w:marBottom w:val="0"/>
          <w:divBdr>
            <w:top w:val="none" w:sz="0" w:space="0" w:color="auto"/>
            <w:left w:val="none" w:sz="0" w:space="0" w:color="auto"/>
            <w:bottom w:val="none" w:sz="0" w:space="0" w:color="auto"/>
            <w:right w:val="none" w:sz="0" w:space="0" w:color="auto"/>
          </w:divBdr>
          <w:divsChild>
            <w:div w:id="447550415">
              <w:marLeft w:val="0"/>
              <w:marRight w:val="0"/>
              <w:marTop w:val="0"/>
              <w:marBottom w:val="0"/>
              <w:divBdr>
                <w:top w:val="none" w:sz="0" w:space="0" w:color="auto"/>
                <w:left w:val="none" w:sz="0" w:space="0" w:color="auto"/>
                <w:bottom w:val="none" w:sz="0" w:space="0" w:color="auto"/>
                <w:right w:val="none" w:sz="0" w:space="0" w:color="auto"/>
              </w:divBdr>
            </w:div>
            <w:div w:id="1760104177">
              <w:marLeft w:val="0"/>
              <w:marRight w:val="0"/>
              <w:marTop w:val="0"/>
              <w:marBottom w:val="0"/>
              <w:divBdr>
                <w:top w:val="none" w:sz="0" w:space="0" w:color="auto"/>
                <w:left w:val="none" w:sz="0" w:space="0" w:color="auto"/>
                <w:bottom w:val="none" w:sz="0" w:space="0" w:color="auto"/>
                <w:right w:val="none" w:sz="0" w:space="0" w:color="auto"/>
              </w:divBdr>
            </w:div>
            <w:div w:id="905536261">
              <w:marLeft w:val="0"/>
              <w:marRight w:val="0"/>
              <w:marTop w:val="0"/>
              <w:marBottom w:val="0"/>
              <w:divBdr>
                <w:top w:val="none" w:sz="0" w:space="0" w:color="auto"/>
                <w:left w:val="none" w:sz="0" w:space="0" w:color="auto"/>
                <w:bottom w:val="none" w:sz="0" w:space="0" w:color="auto"/>
                <w:right w:val="none" w:sz="0" w:space="0" w:color="auto"/>
              </w:divBdr>
            </w:div>
            <w:div w:id="1493057831">
              <w:marLeft w:val="0"/>
              <w:marRight w:val="0"/>
              <w:marTop w:val="0"/>
              <w:marBottom w:val="0"/>
              <w:divBdr>
                <w:top w:val="none" w:sz="0" w:space="0" w:color="auto"/>
                <w:left w:val="none" w:sz="0" w:space="0" w:color="auto"/>
                <w:bottom w:val="none" w:sz="0" w:space="0" w:color="auto"/>
                <w:right w:val="none" w:sz="0" w:space="0" w:color="auto"/>
              </w:divBdr>
            </w:div>
            <w:div w:id="549074002">
              <w:marLeft w:val="0"/>
              <w:marRight w:val="0"/>
              <w:marTop w:val="0"/>
              <w:marBottom w:val="0"/>
              <w:divBdr>
                <w:top w:val="none" w:sz="0" w:space="0" w:color="auto"/>
                <w:left w:val="none" w:sz="0" w:space="0" w:color="auto"/>
                <w:bottom w:val="none" w:sz="0" w:space="0" w:color="auto"/>
                <w:right w:val="none" w:sz="0" w:space="0" w:color="auto"/>
              </w:divBdr>
            </w:div>
            <w:div w:id="916599814">
              <w:marLeft w:val="0"/>
              <w:marRight w:val="0"/>
              <w:marTop w:val="0"/>
              <w:marBottom w:val="0"/>
              <w:divBdr>
                <w:top w:val="none" w:sz="0" w:space="0" w:color="auto"/>
                <w:left w:val="none" w:sz="0" w:space="0" w:color="auto"/>
                <w:bottom w:val="none" w:sz="0" w:space="0" w:color="auto"/>
                <w:right w:val="none" w:sz="0" w:space="0" w:color="auto"/>
              </w:divBdr>
            </w:div>
            <w:div w:id="1702826829">
              <w:marLeft w:val="0"/>
              <w:marRight w:val="0"/>
              <w:marTop w:val="0"/>
              <w:marBottom w:val="0"/>
              <w:divBdr>
                <w:top w:val="none" w:sz="0" w:space="0" w:color="auto"/>
                <w:left w:val="none" w:sz="0" w:space="0" w:color="auto"/>
                <w:bottom w:val="none" w:sz="0" w:space="0" w:color="auto"/>
                <w:right w:val="none" w:sz="0" w:space="0" w:color="auto"/>
              </w:divBdr>
            </w:div>
            <w:div w:id="221448208">
              <w:marLeft w:val="0"/>
              <w:marRight w:val="0"/>
              <w:marTop w:val="0"/>
              <w:marBottom w:val="0"/>
              <w:divBdr>
                <w:top w:val="none" w:sz="0" w:space="0" w:color="auto"/>
                <w:left w:val="none" w:sz="0" w:space="0" w:color="auto"/>
                <w:bottom w:val="none" w:sz="0" w:space="0" w:color="auto"/>
                <w:right w:val="none" w:sz="0" w:space="0" w:color="auto"/>
              </w:divBdr>
            </w:div>
            <w:div w:id="1609048680">
              <w:marLeft w:val="0"/>
              <w:marRight w:val="0"/>
              <w:marTop w:val="0"/>
              <w:marBottom w:val="0"/>
              <w:divBdr>
                <w:top w:val="none" w:sz="0" w:space="0" w:color="auto"/>
                <w:left w:val="none" w:sz="0" w:space="0" w:color="auto"/>
                <w:bottom w:val="none" w:sz="0" w:space="0" w:color="auto"/>
                <w:right w:val="none" w:sz="0" w:space="0" w:color="auto"/>
              </w:divBdr>
            </w:div>
            <w:div w:id="2047557093">
              <w:marLeft w:val="0"/>
              <w:marRight w:val="0"/>
              <w:marTop w:val="0"/>
              <w:marBottom w:val="0"/>
              <w:divBdr>
                <w:top w:val="none" w:sz="0" w:space="0" w:color="auto"/>
                <w:left w:val="none" w:sz="0" w:space="0" w:color="auto"/>
                <w:bottom w:val="none" w:sz="0" w:space="0" w:color="auto"/>
                <w:right w:val="none" w:sz="0" w:space="0" w:color="auto"/>
              </w:divBdr>
            </w:div>
            <w:div w:id="284310764">
              <w:marLeft w:val="0"/>
              <w:marRight w:val="0"/>
              <w:marTop w:val="0"/>
              <w:marBottom w:val="0"/>
              <w:divBdr>
                <w:top w:val="none" w:sz="0" w:space="0" w:color="auto"/>
                <w:left w:val="none" w:sz="0" w:space="0" w:color="auto"/>
                <w:bottom w:val="none" w:sz="0" w:space="0" w:color="auto"/>
                <w:right w:val="none" w:sz="0" w:space="0" w:color="auto"/>
              </w:divBdr>
            </w:div>
            <w:div w:id="1205361731">
              <w:marLeft w:val="0"/>
              <w:marRight w:val="0"/>
              <w:marTop w:val="0"/>
              <w:marBottom w:val="0"/>
              <w:divBdr>
                <w:top w:val="none" w:sz="0" w:space="0" w:color="auto"/>
                <w:left w:val="none" w:sz="0" w:space="0" w:color="auto"/>
                <w:bottom w:val="none" w:sz="0" w:space="0" w:color="auto"/>
                <w:right w:val="none" w:sz="0" w:space="0" w:color="auto"/>
              </w:divBdr>
            </w:div>
            <w:div w:id="510796291">
              <w:marLeft w:val="0"/>
              <w:marRight w:val="0"/>
              <w:marTop w:val="0"/>
              <w:marBottom w:val="0"/>
              <w:divBdr>
                <w:top w:val="none" w:sz="0" w:space="0" w:color="auto"/>
                <w:left w:val="none" w:sz="0" w:space="0" w:color="auto"/>
                <w:bottom w:val="none" w:sz="0" w:space="0" w:color="auto"/>
                <w:right w:val="none" w:sz="0" w:space="0" w:color="auto"/>
              </w:divBdr>
            </w:div>
            <w:div w:id="1629360367">
              <w:marLeft w:val="0"/>
              <w:marRight w:val="0"/>
              <w:marTop w:val="0"/>
              <w:marBottom w:val="0"/>
              <w:divBdr>
                <w:top w:val="none" w:sz="0" w:space="0" w:color="auto"/>
                <w:left w:val="none" w:sz="0" w:space="0" w:color="auto"/>
                <w:bottom w:val="none" w:sz="0" w:space="0" w:color="auto"/>
                <w:right w:val="none" w:sz="0" w:space="0" w:color="auto"/>
              </w:divBdr>
            </w:div>
            <w:div w:id="106479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051893">
      <w:bodyDiv w:val="1"/>
      <w:marLeft w:val="0"/>
      <w:marRight w:val="0"/>
      <w:marTop w:val="0"/>
      <w:marBottom w:val="0"/>
      <w:divBdr>
        <w:top w:val="none" w:sz="0" w:space="0" w:color="auto"/>
        <w:left w:val="none" w:sz="0" w:space="0" w:color="auto"/>
        <w:bottom w:val="none" w:sz="0" w:space="0" w:color="auto"/>
        <w:right w:val="none" w:sz="0" w:space="0" w:color="auto"/>
      </w:divBdr>
    </w:div>
    <w:div w:id="1337883774">
      <w:bodyDiv w:val="1"/>
      <w:marLeft w:val="0"/>
      <w:marRight w:val="0"/>
      <w:marTop w:val="0"/>
      <w:marBottom w:val="0"/>
      <w:divBdr>
        <w:top w:val="none" w:sz="0" w:space="0" w:color="auto"/>
        <w:left w:val="none" w:sz="0" w:space="0" w:color="auto"/>
        <w:bottom w:val="none" w:sz="0" w:space="0" w:color="auto"/>
        <w:right w:val="none" w:sz="0" w:space="0" w:color="auto"/>
      </w:divBdr>
    </w:div>
    <w:div w:id="1347252424">
      <w:bodyDiv w:val="1"/>
      <w:marLeft w:val="0"/>
      <w:marRight w:val="0"/>
      <w:marTop w:val="0"/>
      <w:marBottom w:val="0"/>
      <w:divBdr>
        <w:top w:val="none" w:sz="0" w:space="0" w:color="auto"/>
        <w:left w:val="none" w:sz="0" w:space="0" w:color="auto"/>
        <w:bottom w:val="none" w:sz="0" w:space="0" w:color="auto"/>
        <w:right w:val="none" w:sz="0" w:space="0" w:color="auto"/>
      </w:divBdr>
    </w:div>
    <w:div w:id="1531331888">
      <w:bodyDiv w:val="1"/>
      <w:marLeft w:val="0"/>
      <w:marRight w:val="0"/>
      <w:marTop w:val="0"/>
      <w:marBottom w:val="0"/>
      <w:divBdr>
        <w:top w:val="none" w:sz="0" w:space="0" w:color="auto"/>
        <w:left w:val="none" w:sz="0" w:space="0" w:color="auto"/>
        <w:bottom w:val="none" w:sz="0" w:space="0" w:color="auto"/>
        <w:right w:val="none" w:sz="0" w:space="0" w:color="auto"/>
      </w:divBdr>
      <w:divsChild>
        <w:div w:id="1951352235">
          <w:marLeft w:val="480"/>
          <w:marRight w:val="0"/>
          <w:marTop w:val="0"/>
          <w:marBottom w:val="0"/>
          <w:divBdr>
            <w:top w:val="none" w:sz="0" w:space="0" w:color="auto"/>
            <w:left w:val="none" w:sz="0" w:space="0" w:color="auto"/>
            <w:bottom w:val="none" w:sz="0" w:space="0" w:color="auto"/>
            <w:right w:val="none" w:sz="0" w:space="0" w:color="auto"/>
          </w:divBdr>
          <w:divsChild>
            <w:div w:id="206775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348943">
      <w:bodyDiv w:val="1"/>
      <w:marLeft w:val="0"/>
      <w:marRight w:val="0"/>
      <w:marTop w:val="0"/>
      <w:marBottom w:val="0"/>
      <w:divBdr>
        <w:top w:val="none" w:sz="0" w:space="0" w:color="auto"/>
        <w:left w:val="none" w:sz="0" w:space="0" w:color="auto"/>
        <w:bottom w:val="none" w:sz="0" w:space="0" w:color="auto"/>
        <w:right w:val="none" w:sz="0" w:space="0" w:color="auto"/>
      </w:divBdr>
    </w:div>
    <w:div w:id="1595702849">
      <w:bodyDiv w:val="1"/>
      <w:marLeft w:val="0"/>
      <w:marRight w:val="0"/>
      <w:marTop w:val="0"/>
      <w:marBottom w:val="0"/>
      <w:divBdr>
        <w:top w:val="none" w:sz="0" w:space="0" w:color="auto"/>
        <w:left w:val="none" w:sz="0" w:space="0" w:color="auto"/>
        <w:bottom w:val="none" w:sz="0" w:space="0" w:color="auto"/>
        <w:right w:val="none" w:sz="0" w:space="0" w:color="auto"/>
      </w:divBdr>
    </w:div>
    <w:div w:id="1606762637">
      <w:bodyDiv w:val="1"/>
      <w:marLeft w:val="0"/>
      <w:marRight w:val="0"/>
      <w:marTop w:val="0"/>
      <w:marBottom w:val="0"/>
      <w:divBdr>
        <w:top w:val="none" w:sz="0" w:space="0" w:color="auto"/>
        <w:left w:val="none" w:sz="0" w:space="0" w:color="auto"/>
        <w:bottom w:val="none" w:sz="0" w:space="0" w:color="auto"/>
        <w:right w:val="none" w:sz="0" w:space="0" w:color="auto"/>
      </w:divBdr>
    </w:div>
    <w:div w:id="1623807093">
      <w:bodyDiv w:val="1"/>
      <w:marLeft w:val="0"/>
      <w:marRight w:val="0"/>
      <w:marTop w:val="0"/>
      <w:marBottom w:val="0"/>
      <w:divBdr>
        <w:top w:val="none" w:sz="0" w:space="0" w:color="auto"/>
        <w:left w:val="none" w:sz="0" w:space="0" w:color="auto"/>
        <w:bottom w:val="none" w:sz="0" w:space="0" w:color="auto"/>
        <w:right w:val="none" w:sz="0" w:space="0" w:color="auto"/>
      </w:divBdr>
    </w:div>
    <w:div w:id="1650789843">
      <w:bodyDiv w:val="1"/>
      <w:marLeft w:val="0"/>
      <w:marRight w:val="0"/>
      <w:marTop w:val="0"/>
      <w:marBottom w:val="0"/>
      <w:divBdr>
        <w:top w:val="none" w:sz="0" w:space="0" w:color="auto"/>
        <w:left w:val="none" w:sz="0" w:space="0" w:color="auto"/>
        <w:bottom w:val="none" w:sz="0" w:space="0" w:color="auto"/>
        <w:right w:val="none" w:sz="0" w:space="0" w:color="auto"/>
      </w:divBdr>
    </w:div>
    <w:div w:id="1742950172">
      <w:bodyDiv w:val="1"/>
      <w:marLeft w:val="0"/>
      <w:marRight w:val="0"/>
      <w:marTop w:val="0"/>
      <w:marBottom w:val="0"/>
      <w:divBdr>
        <w:top w:val="none" w:sz="0" w:space="0" w:color="auto"/>
        <w:left w:val="none" w:sz="0" w:space="0" w:color="auto"/>
        <w:bottom w:val="none" w:sz="0" w:space="0" w:color="auto"/>
        <w:right w:val="none" w:sz="0" w:space="0" w:color="auto"/>
      </w:divBdr>
      <w:divsChild>
        <w:div w:id="118645292">
          <w:marLeft w:val="480"/>
          <w:marRight w:val="0"/>
          <w:marTop w:val="0"/>
          <w:marBottom w:val="0"/>
          <w:divBdr>
            <w:top w:val="none" w:sz="0" w:space="0" w:color="auto"/>
            <w:left w:val="none" w:sz="0" w:space="0" w:color="auto"/>
            <w:bottom w:val="none" w:sz="0" w:space="0" w:color="auto"/>
            <w:right w:val="none" w:sz="0" w:space="0" w:color="auto"/>
          </w:divBdr>
          <w:divsChild>
            <w:div w:id="1725638940">
              <w:marLeft w:val="0"/>
              <w:marRight w:val="0"/>
              <w:marTop w:val="0"/>
              <w:marBottom w:val="0"/>
              <w:divBdr>
                <w:top w:val="none" w:sz="0" w:space="0" w:color="auto"/>
                <w:left w:val="none" w:sz="0" w:space="0" w:color="auto"/>
                <w:bottom w:val="none" w:sz="0" w:space="0" w:color="auto"/>
                <w:right w:val="none" w:sz="0" w:space="0" w:color="auto"/>
              </w:divBdr>
            </w:div>
            <w:div w:id="568883223">
              <w:marLeft w:val="0"/>
              <w:marRight w:val="0"/>
              <w:marTop w:val="0"/>
              <w:marBottom w:val="0"/>
              <w:divBdr>
                <w:top w:val="none" w:sz="0" w:space="0" w:color="auto"/>
                <w:left w:val="none" w:sz="0" w:space="0" w:color="auto"/>
                <w:bottom w:val="none" w:sz="0" w:space="0" w:color="auto"/>
                <w:right w:val="none" w:sz="0" w:space="0" w:color="auto"/>
              </w:divBdr>
            </w:div>
            <w:div w:id="1011374322">
              <w:marLeft w:val="0"/>
              <w:marRight w:val="0"/>
              <w:marTop w:val="0"/>
              <w:marBottom w:val="0"/>
              <w:divBdr>
                <w:top w:val="none" w:sz="0" w:space="0" w:color="auto"/>
                <w:left w:val="none" w:sz="0" w:space="0" w:color="auto"/>
                <w:bottom w:val="none" w:sz="0" w:space="0" w:color="auto"/>
                <w:right w:val="none" w:sz="0" w:space="0" w:color="auto"/>
              </w:divBdr>
            </w:div>
            <w:div w:id="1392538022">
              <w:marLeft w:val="0"/>
              <w:marRight w:val="0"/>
              <w:marTop w:val="0"/>
              <w:marBottom w:val="0"/>
              <w:divBdr>
                <w:top w:val="none" w:sz="0" w:space="0" w:color="auto"/>
                <w:left w:val="none" w:sz="0" w:space="0" w:color="auto"/>
                <w:bottom w:val="none" w:sz="0" w:space="0" w:color="auto"/>
                <w:right w:val="none" w:sz="0" w:space="0" w:color="auto"/>
              </w:divBdr>
            </w:div>
            <w:div w:id="1283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71919">
      <w:bodyDiv w:val="1"/>
      <w:marLeft w:val="0"/>
      <w:marRight w:val="0"/>
      <w:marTop w:val="0"/>
      <w:marBottom w:val="0"/>
      <w:divBdr>
        <w:top w:val="none" w:sz="0" w:space="0" w:color="auto"/>
        <w:left w:val="none" w:sz="0" w:space="0" w:color="auto"/>
        <w:bottom w:val="none" w:sz="0" w:space="0" w:color="auto"/>
        <w:right w:val="none" w:sz="0" w:space="0" w:color="auto"/>
      </w:divBdr>
    </w:div>
    <w:div w:id="1849176560">
      <w:bodyDiv w:val="1"/>
      <w:marLeft w:val="0"/>
      <w:marRight w:val="0"/>
      <w:marTop w:val="0"/>
      <w:marBottom w:val="0"/>
      <w:divBdr>
        <w:top w:val="none" w:sz="0" w:space="0" w:color="auto"/>
        <w:left w:val="none" w:sz="0" w:space="0" w:color="auto"/>
        <w:bottom w:val="none" w:sz="0" w:space="0" w:color="auto"/>
        <w:right w:val="none" w:sz="0" w:space="0" w:color="auto"/>
      </w:divBdr>
    </w:div>
    <w:div w:id="1897159435">
      <w:bodyDiv w:val="1"/>
      <w:marLeft w:val="0"/>
      <w:marRight w:val="0"/>
      <w:marTop w:val="0"/>
      <w:marBottom w:val="0"/>
      <w:divBdr>
        <w:top w:val="none" w:sz="0" w:space="0" w:color="auto"/>
        <w:left w:val="none" w:sz="0" w:space="0" w:color="auto"/>
        <w:bottom w:val="none" w:sz="0" w:space="0" w:color="auto"/>
        <w:right w:val="none" w:sz="0" w:space="0" w:color="auto"/>
      </w:divBdr>
    </w:div>
    <w:div w:id="1956985846">
      <w:bodyDiv w:val="1"/>
      <w:marLeft w:val="0"/>
      <w:marRight w:val="0"/>
      <w:marTop w:val="0"/>
      <w:marBottom w:val="0"/>
      <w:divBdr>
        <w:top w:val="none" w:sz="0" w:space="0" w:color="auto"/>
        <w:left w:val="none" w:sz="0" w:space="0" w:color="auto"/>
        <w:bottom w:val="none" w:sz="0" w:space="0" w:color="auto"/>
        <w:right w:val="none" w:sz="0" w:space="0" w:color="auto"/>
      </w:divBdr>
    </w:div>
    <w:div w:id="2038658907">
      <w:bodyDiv w:val="1"/>
      <w:marLeft w:val="0"/>
      <w:marRight w:val="0"/>
      <w:marTop w:val="0"/>
      <w:marBottom w:val="0"/>
      <w:divBdr>
        <w:top w:val="none" w:sz="0" w:space="0" w:color="auto"/>
        <w:left w:val="none" w:sz="0" w:space="0" w:color="auto"/>
        <w:bottom w:val="none" w:sz="0" w:space="0" w:color="auto"/>
        <w:right w:val="none" w:sz="0" w:space="0" w:color="auto"/>
      </w:divBdr>
    </w:div>
    <w:div w:id="205851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s://doi.org/10.1016/j.econmod.2015.02.012" TargetMode="External"/><Relationship Id="rId3" Type="http://schemas.openxmlformats.org/officeDocument/2006/relationships/styles" Target="styles.xml"/><Relationship Id="rId21" Type="http://schemas.openxmlformats.org/officeDocument/2006/relationships/hyperlink" Target="https://doi.org/10.18657/yecbu.89247"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s://doi.org/10.1016/j.bir.2017.11.004" TargetMode="External"/><Relationship Id="rId2" Type="http://schemas.openxmlformats.org/officeDocument/2006/relationships/numbering" Target="numbering.xml"/><Relationship Id="rId16" Type="http://schemas.openxmlformats.org/officeDocument/2006/relationships/hyperlink" Target="https://doi.org/10.18488/journal.aefr.2018.811.1354.1364" TargetMode="External"/><Relationship Id="rId20" Type="http://schemas.openxmlformats.org/officeDocument/2006/relationships/hyperlink" Target="https://doi.org/10.1016/j.gfj.2015.11.0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j.jebo.2016.03.005" TargetMode="External"/><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doi.org/10.1108/IMEFM-07-2014-0063"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doi.org/10.1108/17538391211216811" TargetMode="External"/><Relationship Id="rId22" Type="http://schemas.openxmlformats.org/officeDocument/2006/relationships/hyperlink" Target="https://doi.org/10.24042/febi.v2i1.9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91AED-93F0-48F3-9959-88C6DACD2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5625</Words>
  <Characters>32065</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munnifarzana19@gmail.com</dc:creator>
  <cp:keywords/>
  <dc:description/>
  <cp:lastModifiedBy>munnifarzana19@gmail.com</cp:lastModifiedBy>
  <cp:revision>2</cp:revision>
  <cp:lastPrinted>2022-07-15T14:11:00Z</cp:lastPrinted>
  <dcterms:created xsi:type="dcterms:W3CDTF">2024-08-20T18:24:00Z</dcterms:created>
  <dcterms:modified xsi:type="dcterms:W3CDTF">2024-08-20T18:24:00Z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zotero-version="6.0.10"&gt;&lt;session id="TiZTFkPh"/&gt;&lt;style id="http://www.zotero.org/styles/apa" locale="en-US" hasBibliography="1" bibliographyStyleHasBeenSet="0"/&gt;&lt;prefs&gt;&lt;pref name="fieldType" value="Field"/&gt;&lt;pref name="automaticJourn</vt:lpwstr>
  </property>
  <property fmtid="{D5CDD505-2E9C-101B-9397-08002B2CF9AE}" pid="3" name="ZOTERO_PREF_2">
    <vt:lpwstr>alAbbreviations" value="true"/&gt;&lt;/prefs&gt;&lt;/data&gt;</vt:lpwstr>
  </property>
  <property fmtid="{D5CDD505-2E9C-101B-9397-08002B2CF9AE}" pid="4" name="GrammarlyDocumentId">
    <vt:lpwstr>3274d2c01abe5731bdb7b05bb4c9bfe2ab0f5afe7f34d4c4ba1f59884589ba52</vt:lpwstr>
  </property>
</Properties>
</file>