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5156B" w14:textId="1FBD3340" w:rsidR="00E46F45" w:rsidRDefault="00F07FF0" w:rsidP="00537182">
      <w:pPr>
        <w:spacing w:line="360" w:lineRule="auto"/>
        <w:jc w:val="both"/>
        <w:rPr>
          <w:rFonts w:ascii="Times New Roman" w:hAnsi="Times New Roman" w:cs="Times New Roman"/>
          <w:b/>
          <w:sz w:val="28"/>
          <w:szCs w:val="28"/>
        </w:rPr>
      </w:pPr>
      <w:r w:rsidRPr="00C04EA2">
        <w:rPr>
          <w:rFonts w:ascii="Times New Roman" w:hAnsi="Times New Roman" w:cs="Times New Roman"/>
          <w:b/>
          <w:sz w:val="28"/>
          <w:szCs w:val="28"/>
        </w:rPr>
        <w:t>IMPACT OF THE ISLAMIC BANKS</w:t>
      </w:r>
      <w:r w:rsidR="00E07292" w:rsidRPr="00C04EA2">
        <w:rPr>
          <w:rFonts w:ascii="Times New Roman" w:hAnsi="Times New Roman" w:cs="Times New Roman"/>
          <w:b/>
          <w:sz w:val="28"/>
          <w:szCs w:val="28"/>
        </w:rPr>
        <w:t>’</w:t>
      </w:r>
      <w:r w:rsidRPr="00C04EA2">
        <w:rPr>
          <w:rFonts w:ascii="Times New Roman" w:hAnsi="Times New Roman" w:cs="Times New Roman"/>
          <w:b/>
          <w:sz w:val="28"/>
          <w:szCs w:val="28"/>
        </w:rPr>
        <w:t xml:space="preserve"> PERFORMANCES ON ECONOMIC GROWTH OF BANGLADESH: PANEL DATA</w:t>
      </w:r>
      <w:r w:rsidR="00E07292" w:rsidRPr="00C04EA2">
        <w:rPr>
          <w:rFonts w:ascii="Times New Roman" w:hAnsi="Times New Roman" w:cs="Times New Roman"/>
          <w:b/>
          <w:sz w:val="28"/>
          <w:szCs w:val="28"/>
        </w:rPr>
        <w:t xml:space="preserve"> ANALYSIS</w:t>
      </w:r>
    </w:p>
    <w:p w14:paraId="3863D9F8" w14:textId="77777777" w:rsidR="00537182" w:rsidRPr="00537182" w:rsidRDefault="00537182" w:rsidP="00537182">
      <w:pPr>
        <w:spacing w:line="360" w:lineRule="auto"/>
        <w:jc w:val="both"/>
        <w:rPr>
          <w:rFonts w:ascii="Times New Roman" w:hAnsi="Times New Roman" w:cs="Times New Roman"/>
          <w:b/>
          <w:sz w:val="28"/>
          <w:szCs w:val="28"/>
        </w:rPr>
      </w:pPr>
    </w:p>
    <w:p w14:paraId="39CCF6FF" w14:textId="00CB2E31" w:rsidR="00956FBC" w:rsidRPr="00C04EA2" w:rsidRDefault="00A7788F" w:rsidP="005A30C7">
      <w:pPr>
        <w:spacing w:line="360" w:lineRule="auto"/>
        <w:ind w:left="3600"/>
        <w:rPr>
          <w:rFonts w:ascii="Times New Roman" w:hAnsi="Times New Roman" w:cs="Times New Roman"/>
          <w:b/>
          <w:sz w:val="24"/>
          <w:szCs w:val="24"/>
        </w:rPr>
      </w:pPr>
      <w:r>
        <w:rPr>
          <w:rFonts w:ascii="Times New Roman" w:hAnsi="Times New Roman" w:cs="Times New Roman"/>
          <w:b/>
          <w:sz w:val="24"/>
          <w:szCs w:val="24"/>
        </w:rPr>
        <w:t xml:space="preserve">     </w:t>
      </w:r>
      <w:r w:rsidRPr="00C04EA2">
        <w:rPr>
          <w:rFonts w:ascii="Times New Roman" w:hAnsi="Times New Roman" w:cs="Times New Roman"/>
          <w:b/>
          <w:sz w:val="24"/>
          <w:szCs w:val="24"/>
        </w:rPr>
        <w:t>Abstract</w:t>
      </w:r>
    </w:p>
    <w:p w14:paraId="00B94F75" w14:textId="226B4B99" w:rsidR="00E46F45" w:rsidRPr="00C04EA2" w:rsidRDefault="00F07FF0" w:rsidP="005A30C7">
      <w:pPr>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w:t>
      </w:r>
      <w:r w:rsidR="002F45B0">
        <w:rPr>
          <w:rFonts w:ascii="Times New Roman" w:hAnsi="Times New Roman" w:cs="Times New Roman"/>
          <w:sz w:val="24"/>
          <w:szCs w:val="24"/>
        </w:rPr>
        <w:t>e</w:t>
      </w:r>
      <w:r w:rsidRPr="00C04EA2">
        <w:rPr>
          <w:rFonts w:ascii="Times New Roman" w:hAnsi="Times New Roman" w:cs="Times New Roman"/>
          <w:sz w:val="24"/>
          <w:szCs w:val="24"/>
        </w:rPr>
        <w:t xml:space="preserve"> </w:t>
      </w:r>
      <w:r w:rsidR="00E07292" w:rsidRPr="00C04EA2">
        <w:rPr>
          <w:rFonts w:ascii="Times New Roman" w:hAnsi="Times New Roman" w:cs="Times New Roman"/>
          <w:sz w:val="24"/>
          <w:szCs w:val="24"/>
        </w:rPr>
        <w:t>research</w:t>
      </w:r>
      <w:r w:rsidRPr="00C04EA2">
        <w:rPr>
          <w:rFonts w:ascii="Times New Roman" w:hAnsi="Times New Roman" w:cs="Times New Roman"/>
          <w:sz w:val="24"/>
          <w:szCs w:val="24"/>
        </w:rPr>
        <w:t xml:space="preserve"> aims </w:t>
      </w:r>
      <w:r w:rsidR="00E46F45" w:rsidRPr="00C04EA2">
        <w:rPr>
          <w:rFonts w:ascii="Times New Roman" w:hAnsi="Times New Roman" w:cs="Times New Roman"/>
          <w:sz w:val="24"/>
          <w:szCs w:val="24"/>
        </w:rPr>
        <w:t>to investigate</w:t>
      </w:r>
      <w:r w:rsidRPr="00C04EA2">
        <w:rPr>
          <w:rFonts w:ascii="Times New Roman" w:hAnsi="Times New Roman" w:cs="Times New Roman"/>
          <w:sz w:val="24"/>
          <w:szCs w:val="24"/>
        </w:rPr>
        <w:t xml:space="preserve"> the </w:t>
      </w:r>
      <w:r w:rsidR="003F2088" w:rsidRPr="00C04EA2">
        <w:rPr>
          <w:rFonts w:ascii="Times New Roman" w:hAnsi="Times New Roman" w:cs="Times New Roman"/>
          <w:sz w:val="24"/>
          <w:szCs w:val="24"/>
        </w:rPr>
        <w:t>impact of the Islamic banks</w:t>
      </w:r>
      <w:r w:rsidR="00E07292" w:rsidRPr="00C04EA2">
        <w:rPr>
          <w:rFonts w:ascii="Times New Roman" w:hAnsi="Times New Roman" w:cs="Times New Roman"/>
          <w:sz w:val="24"/>
          <w:szCs w:val="24"/>
        </w:rPr>
        <w:t>’</w:t>
      </w:r>
      <w:r w:rsidR="003F2088" w:rsidRPr="00C04EA2">
        <w:rPr>
          <w:rFonts w:ascii="Times New Roman" w:hAnsi="Times New Roman" w:cs="Times New Roman"/>
          <w:sz w:val="24"/>
          <w:szCs w:val="24"/>
        </w:rPr>
        <w:t xml:space="preserve"> performances on </w:t>
      </w:r>
      <w:r w:rsidR="00E46F45" w:rsidRPr="00C04EA2">
        <w:rPr>
          <w:rFonts w:ascii="Times New Roman" w:hAnsi="Times New Roman" w:cs="Times New Roman"/>
          <w:sz w:val="24"/>
          <w:szCs w:val="24"/>
        </w:rPr>
        <w:t xml:space="preserve">the </w:t>
      </w:r>
      <w:r w:rsidR="003F2088" w:rsidRPr="00C04EA2">
        <w:rPr>
          <w:rFonts w:ascii="Times New Roman" w:hAnsi="Times New Roman" w:cs="Times New Roman"/>
          <w:sz w:val="24"/>
          <w:szCs w:val="24"/>
        </w:rPr>
        <w:t xml:space="preserve">economic growth of Bangladesh. The study </w:t>
      </w:r>
      <w:r w:rsidR="00E07292" w:rsidRPr="00C04EA2">
        <w:rPr>
          <w:rFonts w:ascii="Times New Roman" w:hAnsi="Times New Roman" w:cs="Times New Roman"/>
          <w:sz w:val="24"/>
          <w:szCs w:val="24"/>
        </w:rPr>
        <w:t>analyzed</w:t>
      </w:r>
      <w:r w:rsidR="003F2088" w:rsidRPr="00C04EA2">
        <w:rPr>
          <w:rFonts w:ascii="Times New Roman" w:hAnsi="Times New Roman" w:cs="Times New Roman"/>
          <w:sz w:val="24"/>
          <w:szCs w:val="24"/>
        </w:rPr>
        <w:t xml:space="preserve"> panel data </w:t>
      </w:r>
      <w:r w:rsidR="00E46F45" w:rsidRPr="00C04EA2">
        <w:rPr>
          <w:rFonts w:ascii="Times New Roman" w:hAnsi="Times New Roman" w:cs="Times New Roman"/>
          <w:sz w:val="24"/>
          <w:szCs w:val="24"/>
        </w:rPr>
        <w:t>from</w:t>
      </w:r>
      <w:r w:rsidR="003F2088" w:rsidRPr="00C04EA2">
        <w:rPr>
          <w:rFonts w:ascii="Times New Roman" w:hAnsi="Times New Roman" w:cs="Times New Roman"/>
          <w:sz w:val="24"/>
          <w:szCs w:val="24"/>
        </w:rPr>
        <w:t xml:space="preserve"> </w:t>
      </w:r>
      <w:r w:rsidR="00E07292" w:rsidRPr="00C04EA2">
        <w:rPr>
          <w:rFonts w:ascii="Times New Roman" w:hAnsi="Times New Roman" w:cs="Times New Roman"/>
          <w:sz w:val="24"/>
          <w:szCs w:val="24"/>
        </w:rPr>
        <w:t xml:space="preserve">selected Islamic Banks </w:t>
      </w:r>
      <w:r w:rsidR="00E46F45" w:rsidRPr="00C04EA2">
        <w:rPr>
          <w:rFonts w:ascii="Times New Roman" w:hAnsi="Times New Roman" w:cs="Times New Roman"/>
          <w:sz w:val="24"/>
          <w:szCs w:val="24"/>
        </w:rPr>
        <w:t>in</w:t>
      </w:r>
      <w:r w:rsidR="00E07292" w:rsidRPr="00C04EA2">
        <w:rPr>
          <w:rFonts w:ascii="Times New Roman" w:hAnsi="Times New Roman" w:cs="Times New Roman"/>
          <w:sz w:val="24"/>
          <w:szCs w:val="24"/>
        </w:rPr>
        <w:t xml:space="preserve"> Bangladesh from 20</w:t>
      </w:r>
      <w:r w:rsidR="00CE2140" w:rsidRPr="00C04EA2">
        <w:rPr>
          <w:rFonts w:ascii="Times New Roman" w:hAnsi="Times New Roman" w:cs="Times New Roman"/>
          <w:sz w:val="24"/>
          <w:szCs w:val="24"/>
        </w:rPr>
        <w:t>10</w:t>
      </w:r>
      <w:r w:rsidR="00E07292" w:rsidRPr="00C04EA2">
        <w:rPr>
          <w:rFonts w:ascii="Times New Roman" w:hAnsi="Times New Roman" w:cs="Times New Roman"/>
          <w:sz w:val="24"/>
          <w:szCs w:val="24"/>
        </w:rPr>
        <w:t xml:space="preserve"> to 20</w:t>
      </w:r>
      <w:r w:rsidR="00CE2140" w:rsidRPr="00C04EA2">
        <w:rPr>
          <w:rFonts w:ascii="Times New Roman" w:hAnsi="Times New Roman" w:cs="Times New Roman"/>
          <w:sz w:val="24"/>
          <w:szCs w:val="24"/>
        </w:rPr>
        <w:t>19</w:t>
      </w:r>
      <w:r w:rsidR="003F2088" w:rsidRPr="00C04EA2">
        <w:rPr>
          <w:rFonts w:ascii="Times New Roman" w:hAnsi="Times New Roman" w:cs="Times New Roman"/>
          <w:sz w:val="24"/>
          <w:szCs w:val="24"/>
        </w:rPr>
        <w:t xml:space="preserve">. The quantitative approach to research </w:t>
      </w:r>
      <w:r w:rsidR="00E46F45" w:rsidRPr="00C04EA2">
        <w:rPr>
          <w:rFonts w:ascii="Times New Roman" w:hAnsi="Times New Roman" w:cs="Times New Roman"/>
          <w:sz w:val="24"/>
          <w:szCs w:val="24"/>
        </w:rPr>
        <w:t>uses</w:t>
      </w:r>
      <w:r w:rsidR="003F2088" w:rsidRPr="00C04EA2">
        <w:rPr>
          <w:rFonts w:ascii="Times New Roman" w:hAnsi="Times New Roman" w:cs="Times New Roman"/>
          <w:sz w:val="24"/>
          <w:szCs w:val="24"/>
        </w:rPr>
        <w:t xml:space="preserve"> financial ratio analysis</w:t>
      </w:r>
      <w:r w:rsidR="00127508" w:rsidRPr="00C04EA2">
        <w:rPr>
          <w:rFonts w:ascii="Times New Roman" w:hAnsi="Times New Roman" w:cs="Times New Roman"/>
          <w:sz w:val="24"/>
          <w:szCs w:val="24"/>
        </w:rPr>
        <w:t xml:space="preserve"> </w:t>
      </w:r>
      <w:r w:rsidR="003F2088" w:rsidRPr="00C04EA2">
        <w:rPr>
          <w:rFonts w:ascii="Times New Roman" w:hAnsi="Times New Roman" w:cs="Times New Roman"/>
          <w:sz w:val="24"/>
          <w:szCs w:val="24"/>
        </w:rPr>
        <w:t>(FRA) because the data is secondary</w:t>
      </w:r>
      <w:r w:rsidR="00932F22" w:rsidRPr="00C04EA2">
        <w:rPr>
          <w:rFonts w:ascii="Times New Roman" w:hAnsi="Times New Roman" w:cs="Times New Roman"/>
          <w:sz w:val="24"/>
          <w:szCs w:val="24"/>
        </w:rPr>
        <w:t xml:space="preserve">. </w:t>
      </w:r>
      <w:r w:rsidR="00580DB7">
        <w:rPr>
          <w:rFonts w:ascii="Times New Roman" w:hAnsi="Times New Roman" w:cs="Times New Roman"/>
          <w:sz w:val="24"/>
          <w:szCs w:val="24"/>
        </w:rPr>
        <w:t>To</w:t>
      </w:r>
      <w:r w:rsidR="00932F22" w:rsidRPr="00C04EA2">
        <w:rPr>
          <w:rFonts w:ascii="Times New Roman" w:hAnsi="Times New Roman" w:cs="Times New Roman"/>
          <w:sz w:val="24"/>
          <w:szCs w:val="24"/>
        </w:rPr>
        <w:t xml:space="preserve"> analyze the panel data, the study shows</w:t>
      </w:r>
      <w:r w:rsidR="00127508" w:rsidRPr="00C04EA2">
        <w:rPr>
          <w:rFonts w:ascii="Times New Roman" w:hAnsi="Times New Roman" w:cs="Times New Roman"/>
          <w:sz w:val="24"/>
          <w:szCs w:val="24"/>
        </w:rPr>
        <w:t xml:space="preserve"> </w:t>
      </w:r>
      <w:r w:rsidR="001235A1" w:rsidRPr="00C04EA2">
        <w:rPr>
          <w:rFonts w:ascii="Times New Roman" w:hAnsi="Times New Roman" w:cs="Times New Roman"/>
          <w:sz w:val="24"/>
          <w:szCs w:val="24"/>
        </w:rPr>
        <w:t>‘</w:t>
      </w:r>
      <w:r w:rsidR="006061D5" w:rsidRPr="00C04EA2">
        <w:rPr>
          <w:rFonts w:ascii="Times New Roman" w:hAnsi="Times New Roman" w:cs="Times New Roman"/>
          <w:sz w:val="24"/>
          <w:szCs w:val="24"/>
        </w:rPr>
        <w:t>C</w:t>
      </w:r>
      <w:r w:rsidR="001235A1" w:rsidRPr="00C04EA2">
        <w:rPr>
          <w:rFonts w:ascii="Times New Roman" w:hAnsi="Times New Roman" w:cs="Times New Roman"/>
          <w:sz w:val="24"/>
          <w:szCs w:val="24"/>
        </w:rPr>
        <w:t xml:space="preserve">ovariance </w:t>
      </w:r>
      <w:r w:rsidR="006061D5" w:rsidRPr="00C04EA2">
        <w:rPr>
          <w:rFonts w:ascii="Times New Roman" w:hAnsi="Times New Roman" w:cs="Times New Roman"/>
          <w:sz w:val="24"/>
          <w:szCs w:val="24"/>
        </w:rPr>
        <w:t>A</w:t>
      </w:r>
      <w:r w:rsidR="001235A1" w:rsidRPr="00C04EA2">
        <w:rPr>
          <w:rFonts w:ascii="Times New Roman" w:hAnsi="Times New Roman" w:cs="Times New Roman"/>
          <w:sz w:val="24"/>
          <w:szCs w:val="24"/>
        </w:rPr>
        <w:t xml:space="preserve">nalysis: </w:t>
      </w:r>
      <w:r w:rsidR="006061D5" w:rsidRPr="00C04EA2">
        <w:rPr>
          <w:rFonts w:ascii="Times New Roman" w:hAnsi="Times New Roman" w:cs="Times New Roman"/>
          <w:sz w:val="24"/>
          <w:szCs w:val="24"/>
        </w:rPr>
        <w:t>O</w:t>
      </w:r>
      <w:r w:rsidR="001235A1" w:rsidRPr="00C04EA2">
        <w:rPr>
          <w:rFonts w:ascii="Times New Roman" w:hAnsi="Times New Roman" w:cs="Times New Roman"/>
          <w:sz w:val="24"/>
          <w:szCs w:val="24"/>
        </w:rPr>
        <w:t>rdinary</w:t>
      </w:r>
      <w:r w:rsidR="00CE2140" w:rsidRPr="00C04EA2">
        <w:rPr>
          <w:rFonts w:ascii="Times New Roman" w:hAnsi="Times New Roman" w:cs="Times New Roman"/>
          <w:sz w:val="24"/>
          <w:szCs w:val="24"/>
        </w:rPr>
        <w:t xml:space="preserve">, </w:t>
      </w:r>
      <w:r w:rsidR="006061D5" w:rsidRPr="00C04EA2">
        <w:rPr>
          <w:rFonts w:ascii="Times New Roman" w:hAnsi="Times New Roman" w:cs="Times New Roman"/>
          <w:sz w:val="24"/>
          <w:szCs w:val="24"/>
        </w:rPr>
        <w:t>U</w:t>
      </w:r>
      <w:r w:rsidR="00CE2140" w:rsidRPr="00C04EA2">
        <w:rPr>
          <w:rFonts w:ascii="Times New Roman" w:hAnsi="Times New Roman" w:cs="Times New Roman"/>
          <w:sz w:val="24"/>
          <w:szCs w:val="24"/>
        </w:rPr>
        <w:t xml:space="preserve">nit </w:t>
      </w:r>
      <w:r w:rsidR="006061D5" w:rsidRPr="00C04EA2">
        <w:rPr>
          <w:rFonts w:ascii="Times New Roman" w:hAnsi="Times New Roman" w:cs="Times New Roman"/>
          <w:sz w:val="24"/>
          <w:szCs w:val="24"/>
        </w:rPr>
        <w:t>R</w:t>
      </w:r>
      <w:r w:rsidR="00CE2140" w:rsidRPr="00C04EA2">
        <w:rPr>
          <w:rFonts w:ascii="Times New Roman" w:hAnsi="Times New Roman" w:cs="Times New Roman"/>
          <w:sz w:val="24"/>
          <w:szCs w:val="24"/>
        </w:rPr>
        <w:t xml:space="preserve">oot test, ARDL test and </w:t>
      </w:r>
      <w:r w:rsidR="006061D5" w:rsidRPr="00C04EA2">
        <w:rPr>
          <w:rFonts w:ascii="Times New Roman" w:hAnsi="Times New Roman" w:cs="Times New Roman"/>
          <w:sz w:val="24"/>
          <w:szCs w:val="24"/>
        </w:rPr>
        <w:t>Gran</w:t>
      </w:r>
      <w:r w:rsidR="00677BE3" w:rsidRPr="00C04EA2">
        <w:rPr>
          <w:rFonts w:ascii="Times New Roman" w:hAnsi="Times New Roman" w:cs="Times New Roman"/>
          <w:sz w:val="24"/>
          <w:szCs w:val="24"/>
        </w:rPr>
        <w:t>g</w:t>
      </w:r>
      <w:r w:rsidR="006061D5" w:rsidRPr="00C04EA2">
        <w:rPr>
          <w:rFonts w:ascii="Times New Roman" w:hAnsi="Times New Roman" w:cs="Times New Roman"/>
          <w:sz w:val="24"/>
          <w:szCs w:val="24"/>
        </w:rPr>
        <w:t xml:space="preserve">er Causality </w:t>
      </w:r>
      <w:r w:rsidR="00106D06" w:rsidRPr="00C04EA2">
        <w:rPr>
          <w:rFonts w:ascii="Times New Roman" w:hAnsi="Times New Roman" w:cs="Times New Roman"/>
          <w:sz w:val="24"/>
          <w:szCs w:val="24"/>
        </w:rPr>
        <w:t>Analysis</w:t>
      </w:r>
      <w:r w:rsidR="001235A1" w:rsidRPr="00C04EA2">
        <w:rPr>
          <w:rFonts w:ascii="Times New Roman" w:hAnsi="Times New Roman" w:cs="Times New Roman"/>
          <w:sz w:val="24"/>
          <w:szCs w:val="24"/>
        </w:rPr>
        <w:t>’</w:t>
      </w:r>
      <w:r w:rsidR="00932F22" w:rsidRPr="00C04EA2">
        <w:rPr>
          <w:rFonts w:ascii="Times New Roman" w:hAnsi="Times New Roman" w:cs="Times New Roman"/>
          <w:sz w:val="24"/>
          <w:szCs w:val="24"/>
        </w:rPr>
        <w:t xml:space="preserve"> among variables. </w:t>
      </w:r>
      <w:r w:rsidR="001235A1" w:rsidRPr="00C04EA2">
        <w:rPr>
          <w:rFonts w:ascii="Times New Roman" w:hAnsi="Times New Roman" w:cs="Times New Roman"/>
          <w:sz w:val="24"/>
          <w:szCs w:val="24"/>
        </w:rPr>
        <w:t xml:space="preserve">Five Islamic banks have been </w:t>
      </w:r>
      <w:r w:rsidR="00932F22" w:rsidRPr="00C04EA2">
        <w:rPr>
          <w:rFonts w:ascii="Times New Roman" w:hAnsi="Times New Roman" w:cs="Times New Roman"/>
          <w:sz w:val="24"/>
          <w:szCs w:val="24"/>
        </w:rPr>
        <w:t>selected</w:t>
      </w:r>
      <w:r w:rsidR="001235A1" w:rsidRPr="00C04EA2">
        <w:rPr>
          <w:rFonts w:ascii="Times New Roman" w:hAnsi="Times New Roman" w:cs="Times New Roman"/>
          <w:sz w:val="24"/>
          <w:szCs w:val="24"/>
        </w:rPr>
        <w:t xml:space="preserve"> conveniently as samples</w:t>
      </w:r>
      <w:r w:rsidR="00544AA8" w:rsidRPr="00C04EA2">
        <w:rPr>
          <w:rFonts w:ascii="Times New Roman" w:hAnsi="Times New Roman" w:cs="Times New Roman"/>
          <w:sz w:val="24"/>
          <w:szCs w:val="24"/>
        </w:rPr>
        <w:t xml:space="preserve">. The </w:t>
      </w:r>
      <w:r w:rsidR="001235A1" w:rsidRPr="00C04EA2">
        <w:rPr>
          <w:rFonts w:ascii="Times New Roman" w:hAnsi="Times New Roman" w:cs="Times New Roman"/>
          <w:sz w:val="24"/>
          <w:szCs w:val="24"/>
        </w:rPr>
        <w:t>results indicate</w:t>
      </w:r>
      <w:r w:rsidR="00544AA8" w:rsidRPr="00C04EA2">
        <w:rPr>
          <w:rFonts w:ascii="Times New Roman" w:hAnsi="Times New Roman" w:cs="Times New Roman"/>
          <w:sz w:val="24"/>
          <w:szCs w:val="24"/>
        </w:rPr>
        <w:t xml:space="preserve"> that </w:t>
      </w:r>
      <w:r w:rsidR="00E46F45" w:rsidRPr="00C04EA2">
        <w:rPr>
          <w:rFonts w:ascii="Times New Roman" w:hAnsi="Times New Roman" w:cs="Times New Roman"/>
          <w:sz w:val="24"/>
          <w:szCs w:val="24"/>
        </w:rPr>
        <w:t xml:space="preserve">the </w:t>
      </w:r>
      <w:r w:rsidR="00544AA8" w:rsidRPr="00C04EA2">
        <w:rPr>
          <w:rFonts w:ascii="Times New Roman" w:hAnsi="Times New Roman" w:cs="Times New Roman"/>
          <w:sz w:val="24"/>
          <w:szCs w:val="24"/>
        </w:rPr>
        <w:t xml:space="preserve">effects </w:t>
      </w:r>
      <w:r w:rsidR="00580DB7">
        <w:rPr>
          <w:rFonts w:ascii="Times New Roman" w:hAnsi="Times New Roman" w:cs="Times New Roman"/>
          <w:sz w:val="24"/>
          <w:szCs w:val="24"/>
        </w:rPr>
        <w:t>on economic growth from 2010 to 2019 were positive and significant</w:t>
      </w:r>
      <w:r w:rsidR="00544AA8" w:rsidRPr="00C04EA2">
        <w:rPr>
          <w:rFonts w:ascii="Times New Roman" w:hAnsi="Times New Roman" w:cs="Times New Roman"/>
          <w:sz w:val="24"/>
          <w:szCs w:val="24"/>
        </w:rPr>
        <w:t xml:space="preserve">. </w:t>
      </w:r>
      <w:r w:rsidR="001235A1" w:rsidRPr="00C04EA2">
        <w:rPr>
          <w:rFonts w:ascii="Times New Roman" w:hAnsi="Times New Roman" w:cs="Times New Roman"/>
          <w:sz w:val="24"/>
          <w:szCs w:val="24"/>
        </w:rPr>
        <w:t xml:space="preserve">It </w:t>
      </w:r>
      <w:r w:rsidR="00580DB7">
        <w:rPr>
          <w:rFonts w:ascii="Times New Roman" w:hAnsi="Times New Roman" w:cs="Times New Roman"/>
          <w:sz w:val="24"/>
          <w:szCs w:val="24"/>
        </w:rPr>
        <w:t xml:space="preserve">has also been </w:t>
      </w:r>
      <w:r w:rsidR="001235A1" w:rsidRPr="00C04EA2">
        <w:rPr>
          <w:rFonts w:ascii="Times New Roman" w:hAnsi="Times New Roman" w:cs="Times New Roman"/>
          <w:sz w:val="24"/>
          <w:szCs w:val="24"/>
        </w:rPr>
        <w:t xml:space="preserve">revealed </w:t>
      </w:r>
      <w:r w:rsidR="00544AA8" w:rsidRPr="00C04EA2">
        <w:rPr>
          <w:rFonts w:ascii="Times New Roman" w:hAnsi="Times New Roman" w:cs="Times New Roman"/>
          <w:sz w:val="24"/>
          <w:szCs w:val="24"/>
        </w:rPr>
        <w:t xml:space="preserve">that profitability has increased significantly in the banking sector in the last </w:t>
      </w:r>
      <w:r w:rsidR="006061D5" w:rsidRPr="00C04EA2">
        <w:rPr>
          <w:rFonts w:ascii="Times New Roman" w:hAnsi="Times New Roman" w:cs="Times New Roman"/>
          <w:sz w:val="24"/>
          <w:szCs w:val="24"/>
        </w:rPr>
        <w:t>ten</w:t>
      </w:r>
      <w:r w:rsidR="00544AA8" w:rsidRPr="00C04EA2">
        <w:rPr>
          <w:rFonts w:ascii="Times New Roman" w:hAnsi="Times New Roman" w:cs="Times New Roman"/>
          <w:sz w:val="24"/>
          <w:szCs w:val="24"/>
        </w:rPr>
        <w:t xml:space="preserve"> years.</w:t>
      </w:r>
      <w:r w:rsidR="0053026B" w:rsidRPr="00C04EA2">
        <w:rPr>
          <w:rFonts w:ascii="Times New Roman" w:hAnsi="Times New Roman" w:cs="Times New Roman"/>
          <w:sz w:val="24"/>
          <w:szCs w:val="24"/>
        </w:rPr>
        <w:t xml:space="preserve"> According to research results, financial performance indicators </w:t>
      </w:r>
      <w:r w:rsidR="00580DB7">
        <w:rPr>
          <w:rFonts w:ascii="Times New Roman" w:hAnsi="Times New Roman" w:cs="Times New Roman"/>
          <w:sz w:val="24"/>
          <w:szCs w:val="24"/>
        </w:rPr>
        <w:t>substantially impact</w:t>
      </w:r>
      <w:r w:rsidR="001235A1" w:rsidRPr="00C04EA2">
        <w:rPr>
          <w:rFonts w:ascii="Times New Roman" w:hAnsi="Times New Roman" w:cs="Times New Roman"/>
          <w:sz w:val="24"/>
          <w:szCs w:val="24"/>
        </w:rPr>
        <w:t xml:space="preserve"> economic growth.</w:t>
      </w:r>
      <w:r w:rsidR="0053026B" w:rsidRPr="00C04EA2">
        <w:rPr>
          <w:rFonts w:ascii="Times New Roman" w:hAnsi="Times New Roman" w:cs="Times New Roman"/>
          <w:sz w:val="24"/>
          <w:szCs w:val="24"/>
        </w:rPr>
        <w:t xml:space="preserve"> </w:t>
      </w:r>
      <w:r w:rsidR="001235A1" w:rsidRPr="00C04EA2">
        <w:rPr>
          <w:rFonts w:ascii="Times New Roman" w:hAnsi="Times New Roman" w:cs="Times New Roman"/>
          <w:sz w:val="24"/>
          <w:szCs w:val="24"/>
        </w:rPr>
        <w:t>F</w:t>
      </w:r>
      <w:r w:rsidR="0053026B" w:rsidRPr="00C04EA2">
        <w:rPr>
          <w:rFonts w:ascii="Times New Roman" w:hAnsi="Times New Roman" w:cs="Times New Roman"/>
          <w:sz w:val="24"/>
          <w:szCs w:val="24"/>
        </w:rPr>
        <w:t xml:space="preserve">or this reason, policymakers should be concerned with the variables that influence financial performance and </w:t>
      </w:r>
      <w:r w:rsidR="001235A1" w:rsidRPr="00C04EA2">
        <w:rPr>
          <w:rFonts w:ascii="Times New Roman" w:hAnsi="Times New Roman" w:cs="Times New Roman"/>
          <w:sz w:val="24"/>
          <w:szCs w:val="24"/>
        </w:rPr>
        <w:t xml:space="preserve">they should </w:t>
      </w:r>
      <w:r w:rsidR="0053026B" w:rsidRPr="00C04EA2">
        <w:rPr>
          <w:rFonts w:ascii="Times New Roman" w:hAnsi="Times New Roman" w:cs="Times New Roman"/>
          <w:sz w:val="24"/>
          <w:szCs w:val="24"/>
        </w:rPr>
        <w:t>concentrate on promoting rapid economic growth via risk-recovery strategies.</w:t>
      </w:r>
      <w:r w:rsidR="00E40AE5" w:rsidRPr="00C04EA2">
        <w:rPr>
          <w:rFonts w:ascii="Times New Roman" w:hAnsi="Times New Roman" w:cs="Times New Roman"/>
          <w:sz w:val="24"/>
          <w:szCs w:val="24"/>
        </w:rPr>
        <w:t xml:space="preserve"> The current analysis is a modest attempt to comprehend the current financial p</w:t>
      </w:r>
      <w:r w:rsidR="001235A1" w:rsidRPr="00C04EA2">
        <w:rPr>
          <w:rFonts w:ascii="Times New Roman" w:hAnsi="Times New Roman" w:cs="Times New Roman"/>
          <w:sz w:val="24"/>
          <w:szCs w:val="24"/>
        </w:rPr>
        <w:t>erformance of Islamic banks. This research</w:t>
      </w:r>
      <w:r w:rsidR="00E40AE5" w:rsidRPr="00C04EA2">
        <w:rPr>
          <w:rFonts w:ascii="Times New Roman" w:hAnsi="Times New Roman" w:cs="Times New Roman"/>
          <w:sz w:val="24"/>
          <w:szCs w:val="24"/>
        </w:rPr>
        <w:t xml:space="preserve"> </w:t>
      </w:r>
      <w:r w:rsidR="001235A1" w:rsidRPr="00C04EA2">
        <w:rPr>
          <w:rFonts w:ascii="Times New Roman" w:hAnsi="Times New Roman" w:cs="Times New Roman"/>
          <w:sz w:val="24"/>
          <w:szCs w:val="24"/>
        </w:rPr>
        <w:t>helps</w:t>
      </w:r>
      <w:r w:rsidR="00E40AE5" w:rsidRPr="00C04EA2">
        <w:rPr>
          <w:rFonts w:ascii="Times New Roman" w:hAnsi="Times New Roman" w:cs="Times New Roman"/>
          <w:sz w:val="24"/>
          <w:szCs w:val="24"/>
        </w:rPr>
        <w:t xml:space="preserve"> everyone in</w:t>
      </w:r>
      <w:r w:rsidR="001235A1" w:rsidRPr="00C04EA2">
        <w:rPr>
          <w:rFonts w:ascii="Times New Roman" w:hAnsi="Times New Roman" w:cs="Times New Roman"/>
          <w:sz w:val="24"/>
          <w:szCs w:val="24"/>
        </w:rPr>
        <w:t>volved in the financial system</w:t>
      </w:r>
      <w:r w:rsidR="00E40AE5" w:rsidRPr="00C04EA2">
        <w:rPr>
          <w:rFonts w:ascii="Times New Roman" w:hAnsi="Times New Roman" w:cs="Times New Roman"/>
          <w:sz w:val="24"/>
          <w:szCs w:val="24"/>
        </w:rPr>
        <w:t xml:space="preserve"> </w:t>
      </w:r>
      <w:r w:rsidR="00E46F45" w:rsidRPr="00C04EA2">
        <w:rPr>
          <w:rFonts w:ascii="Times New Roman" w:hAnsi="Times New Roman" w:cs="Times New Roman"/>
          <w:sz w:val="24"/>
          <w:szCs w:val="24"/>
        </w:rPr>
        <w:t>conceive</w:t>
      </w:r>
      <w:r w:rsidR="00E40AE5" w:rsidRPr="00C04EA2">
        <w:rPr>
          <w:rFonts w:ascii="Times New Roman" w:hAnsi="Times New Roman" w:cs="Times New Roman"/>
          <w:sz w:val="24"/>
          <w:szCs w:val="24"/>
        </w:rPr>
        <w:t xml:space="preserve"> </w:t>
      </w:r>
      <w:r w:rsidR="001235A1" w:rsidRPr="00C04EA2">
        <w:rPr>
          <w:rFonts w:ascii="Times New Roman" w:hAnsi="Times New Roman" w:cs="Times New Roman"/>
          <w:sz w:val="24"/>
          <w:szCs w:val="24"/>
        </w:rPr>
        <w:t>the issues of</w:t>
      </w:r>
      <w:r w:rsidR="00E40AE5" w:rsidRPr="00C04EA2">
        <w:rPr>
          <w:rFonts w:ascii="Times New Roman" w:hAnsi="Times New Roman" w:cs="Times New Roman"/>
          <w:sz w:val="24"/>
          <w:szCs w:val="24"/>
        </w:rPr>
        <w:t xml:space="preserve"> profitability and its role</w:t>
      </w:r>
      <w:r w:rsidR="001235A1" w:rsidRPr="00C04EA2">
        <w:rPr>
          <w:rFonts w:ascii="Times New Roman" w:hAnsi="Times New Roman" w:cs="Times New Roman"/>
          <w:sz w:val="24"/>
          <w:szCs w:val="24"/>
        </w:rPr>
        <w:t>s</w:t>
      </w:r>
      <w:r w:rsidR="00E40AE5" w:rsidRPr="00C04EA2">
        <w:rPr>
          <w:rFonts w:ascii="Times New Roman" w:hAnsi="Times New Roman" w:cs="Times New Roman"/>
          <w:sz w:val="24"/>
          <w:szCs w:val="24"/>
        </w:rPr>
        <w:t>.</w:t>
      </w:r>
    </w:p>
    <w:p w14:paraId="1AFD074A" w14:textId="6E3101B2" w:rsidR="006B361E" w:rsidRPr="00C04EA2" w:rsidRDefault="00720000" w:rsidP="005A30C7">
      <w:pPr>
        <w:spacing w:line="360" w:lineRule="auto"/>
        <w:jc w:val="both"/>
        <w:rPr>
          <w:rFonts w:ascii="Times New Roman" w:hAnsi="Times New Roman" w:cs="Times New Roman"/>
          <w:sz w:val="24"/>
          <w:szCs w:val="24"/>
        </w:rPr>
      </w:pPr>
      <w:r w:rsidRPr="00C04EA2">
        <w:rPr>
          <w:rFonts w:ascii="Times New Roman" w:hAnsi="Times New Roman" w:cs="Times New Roman"/>
          <w:b/>
          <w:sz w:val="24"/>
          <w:szCs w:val="24"/>
        </w:rPr>
        <w:t>Keywords:</w:t>
      </w:r>
      <w:r w:rsidRPr="00C04EA2">
        <w:rPr>
          <w:rFonts w:ascii="Times New Roman" w:hAnsi="Times New Roman" w:cs="Times New Roman"/>
          <w:sz w:val="24"/>
          <w:szCs w:val="24"/>
        </w:rPr>
        <w:t xml:space="preserve"> Islamic Banks, </w:t>
      </w:r>
      <w:r w:rsidR="001235A1" w:rsidRPr="00C04EA2">
        <w:rPr>
          <w:rFonts w:ascii="Times New Roman" w:hAnsi="Times New Roman" w:cs="Times New Roman"/>
          <w:sz w:val="24"/>
          <w:szCs w:val="24"/>
        </w:rPr>
        <w:t xml:space="preserve">Bangladesh, </w:t>
      </w:r>
      <w:r w:rsidRPr="00C04EA2">
        <w:rPr>
          <w:rFonts w:ascii="Times New Roman" w:hAnsi="Times New Roman" w:cs="Times New Roman"/>
          <w:sz w:val="24"/>
          <w:szCs w:val="24"/>
        </w:rPr>
        <w:t>Economic Growth, Panel Data</w:t>
      </w:r>
      <w:r w:rsidR="00C04EA2">
        <w:rPr>
          <w:rFonts w:ascii="Times New Roman" w:hAnsi="Times New Roman" w:cs="Times New Roman"/>
          <w:sz w:val="24"/>
          <w:szCs w:val="24"/>
        </w:rPr>
        <w:t>, Financial Ratio Analysis</w:t>
      </w:r>
      <w:r w:rsidRPr="00C04EA2">
        <w:rPr>
          <w:rFonts w:ascii="Times New Roman" w:hAnsi="Times New Roman" w:cs="Times New Roman"/>
          <w:sz w:val="24"/>
          <w:szCs w:val="24"/>
        </w:rPr>
        <w:t>.</w:t>
      </w:r>
    </w:p>
    <w:p w14:paraId="593591B0" w14:textId="6C6BB4BB" w:rsidR="00E46F45" w:rsidRDefault="00C04EA2" w:rsidP="005A30C7">
      <w:pPr>
        <w:spacing w:line="360" w:lineRule="auto"/>
        <w:jc w:val="both"/>
        <w:rPr>
          <w:rFonts w:ascii="Times New Roman" w:hAnsi="Times New Roman" w:cs="Times New Roman"/>
          <w:sz w:val="24"/>
          <w:szCs w:val="24"/>
        </w:rPr>
      </w:pPr>
      <w:r>
        <w:rPr>
          <w:rFonts w:ascii="Times New Roman" w:hAnsi="Times New Roman" w:cs="Times New Roman"/>
          <w:b/>
          <w:sz w:val="24"/>
          <w:szCs w:val="24"/>
        </w:rPr>
        <w:t>Manuscript</w:t>
      </w:r>
      <w:r w:rsidR="00C53E4E" w:rsidRPr="00C04EA2">
        <w:rPr>
          <w:rFonts w:ascii="Times New Roman" w:hAnsi="Times New Roman" w:cs="Times New Roman"/>
          <w:b/>
          <w:sz w:val="24"/>
          <w:szCs w:val="24"/>
        </w:rPr>
        <w:t xml:space="preserve"> </w:t>
      </w:r>
      <w:r w:rsidR="00371A39" w:rsidRPr="00C04EA2">
        <w:rPr>
          <w:rFonts w:ascii="Times New Roman" w:hAnsi="Times New Roman" w:cs="Times New Roman"/>
          <w:b/>
          <w:sz w:val="24"/>
          <w:szCs w:val="24"/>
        </w:rPr>
        <w:t>type</w:t>
      </w:r>
      <w:r w:rsidR="00C53E4E" w:rsidRPr="00C04EA2">
        <w:rPr>
          <w:rFonts w:ascii="Times New Roman" w:hAnsi="Times New Roman" w:cs="Times New Roman"/>
          <w:sz w:val="24"/>
          <w:szCs w:val="24"/>
        </w:rPr>
        <w:t>:</w:t>
      </w:r>
      <w:r>
        <w:rPr>
          <w:rFonts w:ascii="Times New Roman" w:hAnsi="Times New Roman" w:cs="Times New Roman"/>
          <w:sz w:val="24"/>
          <w:szCs w:val="24"/>
        </w:rPr>
        <w:t xml:space="preserve"> Original article</w:t>
      </w:r>
      <w:r w:rsidR="00C53E4E" w:rsidRPr="00C04EA2">
        <w:rPr>
          <w:rFonts w:ascii="Times New Roman" w:hAnsi="Times New Roman" w:cs="Times New Roman"/>
          <w:sz w:val="24"/>
          <w:szCs w:val="24"/>
        </w:rPr>
        <w:t>.</w:t>
      </w:r>
    </w:p>
    <w:p w14:paraId="7B0152C2" w14:textId="77777777" w:rsidR="00C04EA2" w:rsidRPr="00C04EA2" w:rsidRDefault="00C04EA2" w:rsidP="005A30C7">
      <w:pPr>
        <w:spacing w:line="360" w:lineRule="auto"/>
        <w:jc w:val="both"/>
        <w:rPr>
          <w:rFonts w:ascii="Times New Roman" w:hAnsi="Times New Roman" w:cs="Times New Roman"/>
          <w:sz w:val="24"/>
          <w:szCs w:val="24"/>
        </w:rPr>
      </w:pPr>
    </w:p>
    <w:p w14:paraId="41545097" w14:textId="17BD371F" w:rsidR="006B361E" w:rsidRPr="00C04EA2" w:rsidRDefault="00474E2B" w:rsidP="005A30C7">
      <w:pPr>
        <w:tabs>
          <w:tab w:val="left" w:pos="3780"/>
        </w:tabs>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INTRODUCTION</w:t>
      </w:r>
    </w:p>
    <w:p w14:paraId="24E26150" w14:textId="10C890F4" w:rsidR="004B0584" w:rsidRPr="00C04EA2" w:rsidRDefault="00474E2B"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 recent decades, the Islamic banking system has become increasingly popular with consumers, policymakers, and researchers. In any economy, the banking sector helps to improve financial performance and resource efficiency (Ahmed, 2010</w:t>
      </w:r>
      <w:r w:rsidR="00277EFD">
        <w:rPr>
          <w:rFonts w:ascii="Times New Roman" w:hAnsi="Times New Roman" w:cs="Times New Roman"/>
          <w:sz w:val="24"/>
          <w:szCs w:val="24"/>
        </w:rPr>
        <w:t xml:space="preserve">; </w:t>
      </w:r>
      <w:proofErr w:type="spellStart"/>
      <w:r w:rsidR="000A44CA" w:rsidRPr="00C04EA2">
        <w:rPr>
          <w:rFonts w:ascii="Times New Roman" w:hAnsi="Times New Roman" w:cs="Times New Roman"/>
          <w:sz w:val="24"/>
          <w:szCs w:val="24"/>
        </w:rPr>
        <w:t>Rabaa</w:t>
      </w:r>
      <w:proofErr w:type="spellEnd"/>
      <w:r w:rsidR="000A44CA" w:rsidRPr="00C04EA2">
        <w:rPr>
          <w:rFonts w:ascii="Times New Roman" w:hAnsi="Times New Roman" w:cs="Times New Roman"/>
          <w:sz w:val="24"/>
          <w:szCs w:val="24"/>
        </w:rPr>
        <w:t xml:space="preserve"> &amp; Younes, 2016)</w:t>
      </w:r>
      <w:r w:rsidRPr="00C04EA2">
        <w:rPr>
          <w:rFonts w:ascii="Times New Roman" w:hAnsi="Times New Roman" w:cs="Times New Roman"/>
          <w:sz w:val="24"/>
          <w:szCs w:val="24"/>
        </w:rPr>
        <w:t>.</w:t>
      </w:r>
      <w:r w:rsidR="00E46F45" w:rsidRPr="00C04EA2">
        <w:rPr>
          <w:rFonts w:ascii="Times New Roman" w:hAnsi="Times New Roman" w:cs="Times New Roman"/>
          <w:sz w:val="24"/>
          <w:szCs w:val="24"/>
        </w:rPr>
        <w:t xml:space="preserve"> </w:t>
      </w:r>
      <w:r w:rsidRPr="00C04EA2">
        <w:rPr>
          <w:rFonts w:ascii="Times New Roman" w:hAnsi="Times New Roman" w:cs="Times New Roman"/>
          <w:sz w:val="24"/>
          <w:szCs w:val="24"/>
        </w:rPr>
        <w:t xml:space="preserve">Banks that are profitable consistently maintain a healthy level of capital and have easy access to funds. </w:t>
      </w:r>
      <w:r w:rsidR="00580DB7">
        <w:rPr>
          <w:rFonts w:ascii="Times New Roman" w:hAnsi="Times New Roman" w:cs="Times New Roman"/>
          <w:sz w:val="24"/>
          <w:szCs w:val="24"/>
        </w:rPr>
        <w:t>Resource</w:t>
      </w:r>
      <w:r w:rsidRPr="00C04EA2">
        <w:rPr>
          <w:rFonts w:ascii="Times New Roman" w:hAnsi="Times New Roman" w:cs="Times New Roman"/>
          <w:sz w:val="24"/>
          <w:szCs w:val="24"/>
        </w:rPr>
        <w:t xml:space="preserve"> allocation, economic growth, and financial performance are all significantly influenced by a healthy banking system. Better financial performance also encourages investment growth, which </w:t>
      </w:r>
      <w:r w:rsidRPr="00C04EA2">
        <w:rPr>
          <w:rFonts w:ascii="Times New Roman" w:hAnsi="Times New Roman" w:cs="Times New Roman"/>
          <w:sz w:val="24"/>
          <w:szCs w:val="24"/>
        </w:rPr>
        <w:lastRenderedPageBreak/>
        <w:t>is good for shareholders and the economy as a whole (Bourke, 1989</w:t>
      </w:r>
      <w:r w:rsidR="00277EFD">
        <w:rPr>
          <w:rFonts w:ascii="Times New Roman" w:hAnsi="Times New Roman" w:cs="Times New Roman"/>
          <w:sz w:val="24"/>
          <w:szCs w:val="24"/>
        </w:rPr>
        <w:t xml:space="preserve">; </w:t>
      </w:r>
      <w:proofErr w:type="spellStart"/>
      <w:r w:rsidR="000A44CA" w:rsidRPr="00C04EA2">
        <w:rPr>
          <w:rFonts w:ascii="Times New Roman" w:hAnsi="Times New Roman" w:cs="Times New Roman"/>
          <w:sz w:val="24"/>
          <w:szCs w:val="24"/>
        </w:rPr>
        <w:t>Rabaa</w:t>
      </w:r>
      <w:proofErr w:type="spellEnd"/>
      <w:r w:rsidR="000A44CA" w:rsidRPr="00C04EA2">
        <w:rPr>
          <w:rFonts w:ascii="Times New Roman" w:hAnsi="Times New Roman" w:cs="Times New Roman"/>
          <w:sz w:val="24"/>
          <w:szCs w:val="24"/>
        </w:rPr>
        <w:t xml:space="preserve"> &amp; Younes, 2016)</w:t>
      </w:r>
      <w:r w:rsidRPr="00C04EA2">
        <w:rPr>
          <w:rFonts w:ascii="Times New Roman" w:hAnsi="Times New Roman" w:cs="Times New Roman"/>
          <w:sz w:val="24"/>
          <w:szCs w:val="24"/>
        </w:rPr>
        <w:t>.</w:t>
      </w:r>
      <w:r w:rsidR="00E46F45" w:rsidRPr="00C04EA2">
        <w:rPr>
          <w:rFonts w:ascii="Times New Roman" w:hAnsi="Times New Roman" w:cs="Times New Roman"/>
          <w:sz w:val="24"/>
          <w:szCs w:val="24"/>
        </w:rPr>
        <w:t xml:space="preserve"> </w:t>
      </w:r>
      <w:r w:rsidRPr="00C04EA2">
        <w:rPr>
          <w:rFonts w:ascii="Times New Roman" w:hAnsi="Times New Roman" w:cs="Times New Roman"/>
          <w:sz w:val="24"/>
          <w:szCs w:val="24"/>
        </w:rPr>
        <w:t>Islamic banks provide financial services and products that are in line with Islamic law, making it possible for Muslim people and businesses to access financing or transition from an unofficial to a formal financial system. In other words, Islamic banks can reduce financial exclusion and make financial services available to a larger population. Additionally, this may encourage more effective approaches to reduc</w:t>
      </w:r>
      <w:r w:rsidR="00580DB7">
        <w:rPr>
          <w:rFonts w:ascii="Times New Roman" w:hAnsi="Times New Roman" w:cs="Times New Roman"/>
          <w:sz w:val="24"/>
          <w:szCs w:val="24"/>
        </w:rPr>
        <w:t>e</w:t>
      </w:r>
      <w:r w:rsidRPr="00C04EA2">
        <w:rPr>
          <w:rFonts w:ascii="Times New Roman" w:hAnsi="Times New Roman" w:cs="Times New Roman"/>
          <w:sz w:val="24"/>
          <w:szCs w:val="24"/>
        </w:rPr>
        <w:t xml:space="preserve"> poverty (</w:t>
      </w:r>
      <w:proofErr w:type="spellStart"/>
      <w:r w:rsidRPr="00C04EA2">
        <w:rPr>
          <w:rFonts w:ascii="Times New Roman" w:hAnsi="Times New Roman" w:cs="Times New Roman"/>
          <w:sz w:val="24"/>
          <w:szCs w:val="24"/>
        </w:rPr>
        <w:t>Rajan</w:t>
      </w:r>
      <w:proofErr w:type="spellEnd"/>
      <w:r w:rsidRPr="00C04EA2">
        <w:rPr>
          <w:rFonts w:ascii="Times New Roman" w:hAnsi="Times New Roman" w:cs="Times New Roman"/>
          <w:sz w:val="24"/>
          <w:szCs w:val="24"/>
        </w:rPr>
        <w:t>, 2006)</w:t>
      </w:r>
      <w:r w:rsidR="00277EFD">
        <w:rPr>
          <w:rFonts w:ascii="Times New Roman" w:hAnsi="Times New Roman" w:cs="Times New Roman"/>
          <w:sz w:val="24"/>
          <w:szCs w:val="24"/>
        </w:rPr>
        <w:t xml:space="preserve">. </w:t>
      </w:r>
      <w:r w:rsidR="00EA360E" w:rsidRPr="00C04EA2">
        <w:rPr>
          <w:rFonts w:ascii="Times New Roman" w:hAnsi="Times New Roman" w:cs="Times New Roman"/>
          <w:sz w:val="24"/>
          <w:szCs w:val="24"/>
        </w:rPr>
        <w:t>Particularly in recent years, Islamic banking has grown significantly in popularity. The main distinction between the Islamic banking system and the conventional banking system is that the former lacks interest. In other words, when people deposit money with traditional banks, they are guaranteed to receive the predetermined amount of interest when it is due. However, when depositing money into Islamic banks, people do not feel secure in this regard. Depending on how profitable these banks are, they receive a certain amount in profit sharing (Hassan</w:t>
      </w:r>
      <w:r w:rsidR="000A44CA" w:rsidRPr="00C04EA2">
        <w:rPr>
          <w:rFonts w:ascii="Times New Roman" w:hAnsi="Times New Roman" w:cs="Times New Roman"/>
          <w:sz w:val="24"/>
          <w:szCs w:val="24"/>
        </w:rPr>
        <w:t xml:space="preserve"> &amp;</w:t>
      </w:r>
      <w:r w:rsidR="00EA360E" w:rsidRPr="00C04EA2">
        <w:rPr>
          <w:rFonts w:ascii="Times New Roman" w:hAnsi="Times New Roman" w:cs="Times New Roman"/>
          <w:sz w:val="24"/>
          <w:szCs w:val="24"/>
        </w:rPr>
        <w:t xml:space="preserve"> Bashir, 2003</w:t>
      </w:r>
      <w:r w:rsidR="00277EFD">
        <w:rPr>
          <w:rFonts w:ascii="Times New Roman" w:hAnsi="Times New Roman" w:cs="Times New Roman"/>
          <w:sz w:val="24"/>
          <w:szCs w:val="24"/>
        </w:rPr>
        <w:t>;</w:t>
      </w:r>
      <w:r w:rsidR="000A44CA" w:rsidRPr="00C04EA2">
        <w:rPr>
          <w:rFonts w:ascii="Times New Roman" w:hAnsi="Times New Roman" w:cs="Times New Roman"/>
          <w:sz w:val="24"/>
          <w:szCs w:val="24"/>
        </w:rPr>
        <w:t xml:space="preserve"> </w:t>
      </w:r>
      <w:proofErr w:type="spellStart"/>
      <w:r w:rsidR="000A44CA" w:rsidRPr="00C04EA2">
        <w:rPr>
          <w:rFonts w:ascii="Times New Roman" w:hAnsi="Times New Roman" w:cs="Times New Roman"/>
          <w:sz w:val="24"/>
          <w:szCs w:val="24"/>
        </w:rPr>
        <w:t>Yüksel</w:t>
      </w:r>
      <w:proofErr w:type="spellEnd"/>
      <w:r w:rsidR="000A44CA" w:rsidRPr="00C04EA2">
        <w:rPr>
          <w:rFonts w:ascii="Times New Roman" w:hAnsi="Times New Roman" w:cs="Times New Roman"/>
          <w:sz w:val="24"/>
          <w:szCs w:val="24"/>
        </w:rPr>
        <w:t xml:space="preserve"> &amp; </w:t>
      </w:r>
      <w:proofErr w:type="spellStart"/>
      <w:r w:rsidR="000A44CA" w:rsidRPr="00C04EA2">
        <w:rPr>
          <w:rFonts w:ascii="Times New Roman" w:hAnsi="Times New Roman" w:cs="Times New Roman"/>
          <w:sz w:val="24"/>
          <w:szCs w:val="24"/>
        </w:rPr>
        <w:t>Canöz</w:t>
      </w:r>
      <w:proofErr w:type="spellEnd"/>
      <w:r w:rsidR="000A44CA" w:rsidRPr="00C04EA2">
        <w:rPr>
          <w:rFonts w:ascii="Times New Roman" w:hAnsi="Times New Roman" w:cs="Times New Roman"/>
          <w:sz w:val="24"/>
          <w:szCs w:val="24"/>
        </w:rPr>
        <w:t>, 2017)</w:t>
      </w:r>
      <w:r w:rsidR="00EA360E" w:rsidRPr="00C04EA2">
        <w:rPr>
          <w:rFonts w:ascii="Times New Roman" w:hAnsi="Times New Roman" w:cs="Times New Roman"/>
          <w:sz w:val="24"/>
          <w:szCs w:val="24"/>
        </w:rPr>
        <w:t>.</w:t>
      </w:r>
    </w:p>
    <w:p w14:paraId="12585447" w14:textId="3B6CB08D" w:rsidR="00EA360E" w:rsidRPr="00C04EA2" w:rsidRDefault="00F33F8A"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Empirical evidence largely supports the association between financial development and economic growth, but it is intriguing to consider how Islamic finance practices may contribute to economic growth. Islamic financial practices, particularly in nations with a vast majority Muslim population, can make it possible for people who do not want to use interest-related financial instruments to transfer money to the financial system. Financial diversification and the growth of Islamic finance could have a positive impact on economic growth by deepening the financial system. Furthermore, it is possible that the deepening of the financial system will help maintain financial stability, which will have a positive indirect impact on economic growth. Contrarily, in nations with a dual banking system, the Islamic banking system may support conventional banking and prevent a potential slowdown in economic growth, particularly when the conventional banking system is unstable or unable to adequately promote economic growth (</w:t>
      </w:r>
      <w:proofErr w:type="spellStart"/>
      <w:r w:rsidRPr="00C04EA2">
        <w:rPr>
          <w:rFonts w:ascii="Times New Roman" w:hAnsi="Times New Roman" w:cs="Times New Roman"/>
          <w:sz w:val="24"/>
          <w:szCs w:val="24"/>
        </w:rPr>
        <w:t>Sekmen</w:t>
      </w:r>
      <w:proofErr w:type="spellEnd"/>
      <w:r w:rsidRPr="00C04EA2">
        <w:rPr>
          <w:rFonts w:ascii="Times New Roman" w:hAnsi="Times New Roman" w:cs="Times New Roman"/>
          <w:sz w:val="24"/>
          <w:szCs w:val="24"/>
        </w:rPr>
        <w:t>, 2021).</w:t>
      </w:r>
      <w:r w:rsidR="00E46F45" w:rsidRPr="00C04EA2">
        <w:rPr>
          <w:rFonts w:ascii="Times New Roman" w:hAnsi="Times New Roman" w:cs="Times New Roman"/>
          <w:sz w:val="24"/>
          <w:szCs w:val="24"/>
        </w:rPr>
        <w:t xml:space="preserve"> </w:t>
      </w:r>
      <w:r w:rsidR="00EA360E" w:rsidRPr="00C04EA2">
        <w:rPr>
          <w:rFonts w:ascii="Times New Roman" w:hAnsi="Times New Roman" w:cs="Times New Roman"/>
          <w:sz w:val="24"/>
          <w:szCs w:val="24"/>
        </w:rPr>
        <w:t>Regarding the emergence of the Islamic banking system, there are a few factors. The first and most important factor in this situation is religious motivations. Muslims require a banking system without interest because it is strictly forbidden in Islam. In addition to religious motivations, social factors were a major factor in the development of the Islamic banking system. Interest is thought to be the root of income disparity. A new banking system without interest is therefore required to solve this issue (</w:t>
      </w:r>
      <w:proofErr w:type="spellStart"/>
      <w:r w:rsidR="00EA360E" w:rsidRPr="00C04EA2">
        <w:rPr>
          <w:rFonts w:ascii="Times New Roman" w:hAnsi="Times New Roman" w:cs="Times New Roman"/>
          <w:sz w:val="24"/>
          <w:szCs w:val="24"/>
        </w:rPr>
        <w:t>Yüksel</w:t>
      </w:r>
      <w:proofErr w:type="spellEnd"/>
      <w:r w:rsidR="00EA360E" w:rsidRPr="00C04EA2">
        <w:rPr>
          <w:rFonts w:ascii="Times New Roman" w:hAnsi="Times New Roman" w:cs="Times New Roman"/>
          <w:sz w:val="24"/>
          <w:szCs w:val="24"/>
        </w:rPr>
        <w:t xml:space="preserve"> &amp; </w:t>
      </w:r>
      <w:proofErr w:type="spellStart"/>
      <w:r w:rsidR="00EA360E" w:rsidRPr="00C04EA2">
        <w:rPr>
          <w:rFonts w:ascii="Times New Roman" w:hAnsi="Times New Roman" w:cs="Times New Roman"/>
          <w:sz w:val="24"/>
          <w:szCs w:val="24"/>
        </w:rPr>
        <w:t>Canöz</w:t>
      </w:r>
      <w:proofErr w:type="spellEnd"/>
      <w:r w:rsidR="00EA360E" w:rsidRPr="00C04EA2">
        <w:rPr>
          <w:rFonts w:ascii="Times New Roman" w:hAnsi="Times New Roman" w:cs="Times New Roman"/>
          <w:sz w:val="24"/>
          <w:szCs w:val="24"/>
        </w:rPr>
        <w:t xml:space="preserve">, 2017). The Islamic banking system is thought to be superior to the conventional banking system in many ways. Because Muslims deposit money in banks, it firstly increases market liquidity. Additionally, because these banks hire new employees, it has a significant impact on lowering the </w:t>
      </w:r>
      <w:r w:rsidR="00EA360E" w:rsidRPr="00C04EA2">
        <w:rPr>
          <w:rFonts w:ascii="Times New Roman" w:hAnsi="Times New Roman" w:cs="Times New Roman"/>
          <w:sz w:val="24"/>
          <w:szCs w:val="24"/>
        </w:rPr>
        <w:lastRenderedPageBreak/>
        <w:t>nation's unemployment rate. In addition to these elements, lending money to businesses also contributes to a rise in national production. Given this circumstance, it can be said that the Islamic banking system helps that nation's economy</w:t>
      </w:r>
      <w:r w:rsidR="00580DB7">
        <w:rPr>
          <w:rFonts w:ascii="Times New Roman" w:hAnsi="Times New Roman" w:cs="Times New Roman"/>
          <w:sz w:val="24"/>
          <w:szCs w:val="24"/>
        </w:rPr>
        <w:t xml:space="preserve"> to</w:t>
      </w:r>
      <w:r w:rsidR="00EA360E" w:rsidRPr="00C04EA2">
        <w:rPr>
          <w:rFonts w:ascii="Times New Roman" w:hAnsi="Times New Roman" w:cs="Times New Roman"/>
          <w:sz w:val="24"/>
          <w:szCs w:val="24"/>
        </w:rPr>
        <w:t xml:space="preserve"> grow (</w:t>
      </w:r>
      <w:proofErr w:type="spellStart"/>
      <w:r w:rsidR="00EA360E" w:rsidRPr="00C04EA2">
        <w:rPr>
          <w:rFonts w:ascii="Times New Roman" w:hAnsi="Times New Roman" w:cs="Times New Roman"/>
          <w:sz w:val="24"/>
          <w:szCs w:val="24"/>
        </w:rPr>
        <w:t>Furqani</w:t>
      </w:r>
      <w:proofErr w:type="spellEnd"/>
      <w:r w:rsidR="00EA360E" w:rsidRPr="00C04EA2">
        <w:rPr>
          <w:rFonts w:ascii="Times New Roman" w:hAnsi="Times New Roman" w:cs="Times New Roman"/>
          <w:sz w:val="24"/>
          <w:szCs w:val="24"/>
        </w:rPr>
        <w:t xml:space="preserve"> </w:t>
      </w:r>
      <w:r w:rsidR="000A44CA" w:rsidRPr="00C04EA2">
        <w:rPr>
          <w:rFonts w:ascii="Times New Roman" w:hAnsi="Times New Roman" w:cs="Times New Roman"/>
          <w:sz w:val="24"/>
          <w:szCs w:val="24"/>
        </w:rPr>
        <w:t>&amp;</w:t>
      </w:r>
      <w:r w:rsidR="00EA360E" w:rsidRPr="00C04EA2">
        <w:rPr>
          <w:rFonts w:ascii="Times New Roman" w:hAnsi="Times New Roman" w:cs="Times New Roman"/>
          <w:sz w:val="24"/>
          <w:szCs w:val="24"/>
        </w:rPr>
        <w:t xml:space="preserve"> </w:t>
      </w:r>
      <w:proofErr w:type="spellStart"/>
      <w:r w:rsidR="00EA360E" w:rsidRPr="00C04EA2">
        <w:rPr>
          <w:rFonts w:ascii="Times New Roman" w:hAnsi="Times New Roman" w:cs="Times New Roman"/>
          <w:sz w:val="24"/>
          <w:szCs w:val="24"/>
        </w:rPr>
        <w:t>Mulyany</w:t>
      </w:r>
      <w:proofErr w:type="spellEnd"/>
      <w:r w:rsidR="00EA360E" w:rsidRPr="00C04EA2">
        <w:rPr>
          <w:rFonts w:ascii="Times New Roman" w:hAnsi="Times New Roman" w:cs="Times New Roman"/>
          <w:sz w:val="24"/>
          <w:szCs w:val="24"/>
        </w:rPr>
        <w:t>, 2009</w:t>
      </w:r>
      <w:r w:rsidR="00277EFD">
        <w:rPr>
          <w:rFonts w:ascii="Times New Roman" w:hAnsi="Times New Roman" w:cs="Times New Roman"/>
          <w:sz w:val="24"/>
          <w:szCs w:val="24"/>
        </w:rPr>
        <w:t xml:space="preserve">; </w:t>
      </w:r>
      <w:proofErr w:type="spellStart"/>
      <w:r w:rsidR="000A44CA" w:rsidRPr="00C04EA2">
        <w:rPr>
          <w:rFonts w:ascii="Times New Roman" w:hAnsi="Times New Roman" w:cs="Times New Roman"/>
          <w:sz w:val="24"/>
          <w:szCs w:val="24"/>
        </w:rPr>
        <w:t>Yüksel</w:t>
      </w:r>
      <w:proofErr w:type="spellEnd"/>
      <w:r w:rsidR="000A44CA" w:rsidRPr="00C04EA2">
        <w:rPr>
          <w:rFonts w:ascii="Times New Roman" w:hAnsi="Times New Roman" w:cs="Times New Roman"/>
          <w:sz w:val="24"/>
          <w:szCs w:val="24"/>
        </w:rPr>
        <w:t xml:space="preserve"> &amp; </w:t>
      </w:r>
      <w:proofErr w:type="spellStart"/>
      <w:r w:rsidR="000A44CA" w:rsidRPr="00C04EA2">
        <w:rPr>
          <w:rFonts w:ascii="Times New Roman" w:hAnsi="Times New Roman" w:cs="Times New Roman"/>
          <w:sz w:val="24"/>
          <w:szCs w:val="24"/>
        </w:rPr>
        <w:t>Canöz</w:t>
      </w:r>
      <w:proofErr w:type="spellEnd"/>
      <w:r w:rsidR="000A44CA" w:rsidRPr="00C04EA2">
        <w:rPr>
          <w:rFonts w:ascii="Times New Roman" w:hAnsi="Times New Roman" w:cs="Times New Roman"/>
          <w:sz w:val="24"/>
          <w:szCs w:val="24"/>
        </w:rPr>
        <w:t>, 2017).</w:t>
      </w:r>
    </w:p>
    <w:p w14:paraId="1EC14315" w14:textId="68862D1E" w:rsidR="00EA360E" w:rsidRPr="00C04EA2" w:rsidRDefault="004B0584"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 the context of Bangladesh, the study's objective is to investigate</w:t>
      </w:r>
      <w:r w:rsidR="00F31C27" w:rsidRPr="00C04EA2">
        <w:rPr>
          <w:rFonts w:ascii="Times New Roman" w:hAnsi="Times New Roman" w:cs="Times New Roman"/>
          <w:sz w:val="24"/>
          <w:szCs w:val="24"/>
        </w:rPr>
        <w:t>,</w:t>
      </w:r>
      <w:r w:rsidRPr="00C04EA2">
        <w:rPr>
          <w:rFonts w:ascii="Times New Roman" w:hAnsi="Times New Roman" w:cs="Times New Roman"/>
          <w:sz w:val="24"/>
          <w:szCs w:val="24"/>
        </w:rPr>
        <w:t xml:space="preserve"> </w:t>
      </w:r>
      <w:r w:rsidR="00F31C27" w:rsidRPr="00C04EA2">
        <w:rPr>
          <w:rFonts w:ascii="Times New Roman" w:hAnsi="Times New Roman" w:cs="Times New Roman"/>
          <w:sz w:val="24"/>
          <w:szCs w:val="24"/>
        </w:rPr>
        <w:t>impact of</w:t>
      </w:r>
      <w:r w:rsidRPr="00C04EA2">
        <w:rPr>
          <w:rFonts w:ascii="Times New Roman" w:hAnsi="Times New Roman" w:cs="Times New Roman"/>
          <w:sz w:val="24"/>
          <w:szCs w:val="24"/>
        </w:rPr>
        <w:t xml:space="preserve"> the Islamic banks</w:t>
      </w:r>
      <w:r w:rsidR="00F31C27" w:rsidRPr="00C04EA2">
        <w:rPr>
          <w:rFonts w:ascii="Times New Roman" w:hAnsi="Times New Roman" w:cs="Times New Roman"/>
          <w:sz w:val="24"/>
          <w:szCs w:val="24"/>
        </w:rPr>
        <w:t>’ performances</w:t>
      </w:r>
      <w:r w:rsidRPr="00C04EA2">
        <w:rPr>
          <w:rFonts w:ascii="Times New Roman" w:hAnsi="Times New Roman" w:cs="Times New Roman"/>
          <w:sz w:val="24"/>
          <w:szCs w:val="24"/>
        </w:rPr>
        <w:t xml:space="preserve"> </w:t>
      </w:r>
      <w:r w:rsidR="00F31C27" w:rsidRPr="00C04EA2">
        <w:rPr>
          <w:rFonts w:ascii="Times New Roman" w:hAnsi="Times New Roman" w:cs="Times New Roman"/>
          <w:sz w:val="24"/>
          <w:szCs w:val="24"/>
        </w:rPr>
        <w:t>on</w:t>
      </w:r>
      <w:r w:rsidRPr="00C04EA2">
        <w:rPr>
          <w:rFonts w:ascii="Times New Roman" w:hAnsi="Times New Roman" w:cs="Times New Roman"/>
          <w:sz w:val="24"/>
          <w:szCs w:val="24"/>
        </w:rPr>
        <w:t xml:space="preserve"> economic growth. Following is an outline for this article.</w:t>
      </w:r>
      <w:r w:rsidR="004C1101" w:rsidRPr="00C04EA2">
        <w:rPr>
          <w:rFonts w:ascii="Times New Roman" w:hAnsi="Times New Roman" w:cs="Times New Roman"/>
          <w:sz w:val="24"/>
          <w:szCs w:val="24"/>
        </w:rPr>
        <w:t xml:space="preserve"> First section, discusses the introduction.</w:t>
      </w:r>
      <w:r w:rsidR="00EC1774" w:rsidRPr="00C04EA2">
        <w:rPr>
          <w:rFonts w:ascii="Times New Roman" w:hAnsi="Times New Roman" w:cs="Times New Roman"/>
          <w:sz w:val="24"/>
          <w:szCs w:val="24"/>
        </w:rPr>
        <w:t xml:space="preserve"> The goal of the </w:t>
      </w:r>
      <w:r w:rsidR="004C1101" w:rsidRPr="00C04EA2">
        <w:rPr>
          <w:rFonts w:ascii="Times New Roman" w:hAnsi="Times New Roman" w:cs="Times New Roman"/>
          <w:sz w:val="24"/>
          <w:szCs w:val="24"/>
        </w:rPr>
        <w:t xml:space="preserve">second </w:t>
      </w:r>
      <w:r w:rsidR="00EC1774" w:rsidRPr="00C04EA2">
        <w:rPr>
          <w:rFonts w:ascii="Times New Roman" w:hAnsi="Times New Roman" w:cs="Times New Roman"/>
          <w:sz w:val="24"/>
          <w:szCs w:val="24"/>
        </w:rPr>
        <w:t xml:space="preserve">section is to draw attention to the significant studies that Islamic banking and finance have conducted as they have progressed from being merely theoretical to a rapidly evolving different time period. The </w:t>
      </w:r>
      <w:r w:rsidR="004C1101" w:rsidRPr="00C04EA2">
        <w:rPr>
          <w:rFonts w:ascii="Times New Roman" w:hAnsi="Times New Roman" w:cs="Times New Roman"/>
          <w:sz w:val="24"/>
          <w:szCs w:val="24"/>
        </w:rPr>
        <w:t>third</w:t>
      </w:r>
      <w:r w:rsidR="00EC1774" w:rsidRPr="00C04EA2">
        <w:rPr>
          <w:rFonts w:ascii="Times New Roman" w:hAnsi="Times New Roman" w:cs="Times New Roman"/>
          <w:sz w:val="24"/>
          <w:szCs w:val="24"/>
        </w:rPr>
        <w:t xml:space="preserve"> section discusses various empirical studies and provides a summary of the contributions that Islamic finance has made to economic growth. The </w:t>
      </w:r>
      <w:r w:rsidR="004C1101" w:rsidRPr="00C04EA2">
        <w:rPr>
          <w:rFonts w:ascii="Times New Roman" w:hAnsi="Times New Roman" w:cs="Times New Roman"/>
          <w:sz w:val="24"/>
          <w:szCs w:val="24"/>
        </w:rPr>
        <w:t>fourth</w:t>
      </w:r>
      <w:r w:rsidR="00EC1774" w:rsidRPr="00C04EA2">
        <w:rPr>
          <w:rFonts w:ascii="Times New Roman" w:hAnsi="Times New Roman" w:cs="Times New Roman"/>
          <w:sz w:val="24"/>
          <w:szCs w:val="24"/>
        </w:rPr>
        <w:t xml:space="preserve"> section </w:t>
      </w:r>
      <w:r w:rsidR="00580DB7">
        <w:rPr>
          <w:rFonts w:ascii="Times New Roman" w:hAnsi="Times New Roman" w:cs="Times New Roman"/>
          <w:sz w:val="24"/>
          <w:szCs w:val="24"/>
        </w:rPr>
        <w:t>incl</w:t>
      </w:r>
      <w:r w:rsidR="00AB0204">
        <w:rPr>
          <w:rFonts w:ascii="Times New Roman" w:hAnsi="Times New Roman" w:cs="Times New Roman"/>
          <w:sz w:val="24"/>
          <w:szCs w:val="24"/>
        </w:rPr>
        <w:t xml:space="preserve">udes results, </w:t>
      </w:r>
      <w:r w:rsidR="002F45B0">
        <w:rPr>
          <w:rFonts w:ascii="Times New Roman" w:hAnsi="Times New Roman" w:cs="Times New Roman"/>
          <w:sz w:val="24"/>
          <w:szCs w:val="24"/>
        </w:rPr>
        <w:t xml:space="preserve">and </w:t>
      </w:r>
      <w:r w:rsidR="00AB0204">
        <w:rPr>
          <w:rFonts w:ascii="Times New Roman" w:hAnsi="Times New Roman" w:cs="Times New Roman"/>
          <w:sz w:val="24"/>
          <w:szCs w:val="24"/>
        </w:rPr>
        <w:t>findings</w:t>
      </w:r>
      <w:r w:rsidR="002F45B0">
        <w:rPr>
          <w:rFonts w:ascii="Times New Roman" w:hAnsi="Times New Roman" w:cs="Times New Roman"/>
          <w:sz w:val="24"/>
          <w:szCs w:val="24"/>
        </w:rPr>
        <w:t>; where fifth section covers the</w:t>
      </w:r>
      <w:r w:rsidR="00AB0204">
        <w:rPr>
          <w:rFonts w:ascii="Times New Roman" w:hAnsi="Times New Roman" w:cs="Times New Roman"/>
          <w:sz w:val="24"/>
          <w:szCs w:val="24"/>
        </w:rPr>
        <w:t xml:space="preserve"> discussion of the study.</w:t>
      </w:r>
      <w:r w:rsidR="00EC1774" w:rsidRPr="00C04EA2">
        <w:rPr>
          <w:rFonts w:ascii="Times New Roman" w:hAnsi="Times New Roman" w:cs="Times New Roman"/>
          <w:sz w:val="24"/>
          <w:szCs w:val="24"/>
        </w:rPr>
        <w:t xml:space="preserve"> At the end,</w:t>
      </w:r>
      <w:r w:rsidR="004C1101" w:rsidRPr="00C04EA2">
        <w:rPr>
          <w:rFonts w:ascii="Times New Roman" w:hAnsi="Times New Roman" w:cs="Times New Roman"/>
          <w:sz w:val="24"/>
          <w:szCs w:val="24"/>
        </w:rPr>
        <w:t xml:space="preserve"> </w:t>
      </w:r>
      <w:r w:rsidR="002F45B0">
        <w:rPr>
          <w:rFonts w:ascii="Times New Roman" w:hAnsi="Times New Roman" w:cs="Times New Roman"/>
          <w:sz w:val="24"/>
          <w:szCs w:val="24"/>
        </w:rPr>
        <w:t>six</w:t>
      </w:r>
      <w:r w:rsidR="004C1101" w:rsidRPr="00C04EA2">
        <w:rPr>
          <w:rFonts w:ascii="Times New Roman" w:hAnsi="Times New Roman" w:cs="Times New Roman"/>
          <w:sz w:val="24"/>
          <w:szCs w:val="24"/>
        </w:rPr>
        <w:t>th section</w:t>
      </w:r>
      <w:r w:rsidR="00EC1774" w:rsidRPr="00C04EA2">
        <w:rPr>
          <w:rFonts w:ascii="Times New Roman" w:hAnsi="Times New Roman" w:cs="Times New Roman"/>
          <w:sz w:val="24"/>
          <w:szCs w:val="24"/>
        </w:rPr>
        <w:t xml:space="preserve"> draws a conclusion</w:t>
      </w:r>
      <w:r w:rsidR="004C1101" w:rsidRPr="00C04EA2">
        <w:rPr>
          <w:rFonts w:ascii="Times New Roman" w:hAnsi="Times New Roman" w:cs="Times New Roman"/>
          <w:sz w:val="24"/>
          <w:szCs w:val="24"/>
        </w:rPr>
        <w:t>, and covers any suggestions for future research</w:t>
      </w:r>
      <w:r w:rsidR="00EC1774" w:rsidRPr="00C04EA2">
        <w:rPr>
          <w:rFonts w:ascii="Times New Roman" w:hAnsi="Times New Roman" w:cs="Times New Roman"/>
          <w:sz w:val="24"/>
          <w:szCs w:val="24"/>
        </w:rPr>
        <w:t>.</w:t>
      </w:r>
    </w:p>
    <w:p w14:paraId="59823CC4" w14:textId="77777777" w:rsidR="00C53E4E" w:rsidRPr="00C04EA2" w:rsidRDefault="00C53E4E" w:rsidP="005A30C7">
      <w:pPr>
        <w:tabs>
          <w:tab w:val="left" w:pos="3780"/>
        </w:tabs>
        <w:spacing w:line="360" w:lineRule="auto"/>
        <w:rPr>
          <w:rFonts w:ascii="Times New Roman" w:hAnsi="Times New Roman" w:cs="Times New Roman"/>
          <w:sz w:val="24"/>
          <w:szCs w:val="24"/>
        </w:rPr>
      </w:pPr>
    </w:p>
    <w:p w14:paraId="2F7241C0" w14:textId="74620111" w:rsidR="00F14DB3" w:rsidRPr="00C04EA2" w:rsidRDefault="00C0445D" w:rsidP="005A30C7">
      <w:pPr>
        <w:tabs>
          <w:tab w:val="left" w:pos="3780"/>
        </w:tabs>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LITERATURE REVIEW</w:t>
      </w:r>
    </w:p>
    <w:p w14:paraId="467B2016" w14:textId="741FFD2E" w:rsidR="0009680B" w:rsidRPr="00C04EA2" w:rsidRDefault="00356B93" w:rsidP="005A30C7">
      <w:pPr>
        <w:tabs>
          <w:tab w:val="left" w:pos="3780"/>
        </w:tabs>
        <w:spacing w:before="240" w:line="360" w:lineRule="auto"/>
        <w:jc w:val="both"/>
        <w:rPr>
          <w:rFonts w:ascii="Times New Roman" w:hAnsi="Times New Roman" w:cs="Times New Roman"/>
          <w:sz w:val="24"/>
          <w:szCs w:val="24"/>
        </w:rPr>
      </w:pPr>
      <w:r w:rsidRPr="00C04EA2">
        <w:rPr>
          <w:rFonts w:ascii="Times New Roman" w:hAnsi="Times New Roman" w:cs="Times New Roman"/>
          <w:sz w:val="24"/>
          <w:szCs w:val="24"/>
        </w:rPr>
        <w:t>Islamic banks become a matter of concern that has attracted the interest of many researchers</w:t>
      </w:r>
      <w:r w:rsidR="00A35617" w:rsidRPr="00C04EA2">
        <w:rPr>
          <w:rFonts w:ascii="Times New Roman" w:hAnsi="Times New Roman" w:cs="Times New Roman"/>
          <w:sz w:val="24"/>
          <w:szCs w:val="24"/>
        </w:rPr>
        <w:t xml:space="preserve"> (</w:t>
      </w:r>
      <w:proofErr w:type="spellStart"/>
      <w:r w:rsidR="00A35617" w:rsidRPr="00C04EA2">
        <w:rPr>
          <w:rFonts w:ascii="Times New Roman" w:hAnsi="Times New Roman" w:cs="Times New Roman"/>
          <w:sz w:val="24"/>
          <w:szCs w:val="24"/>
        </w:rPr>
        <w:t>Yüksel</w:t>
      </w:r>
      <w:proofErr w:type="spellEnd"/>
      <w:r w:rsidR="00A35617" w:rsidRPr="00C04EA2">
        <w:rPr>
          <w:rFonts w:ascii="Times New Roman" w:hAnsi="Times New Roman" w:cs="Times New Roman"/>
          <w:sz w:val="24"/>
          <w:szCs w:val="24"/>
        </w:rPr>
        <w:t xml:space="preserve"> </w:t>
      </w:r>
      <w:r w:rsidR="00277EFD">
        <w:rPr>
          <w:rFonts w:ascii="Times New Roman" w:hAnsi="Times New Roman" w:cs="Times New Roman"/>
          <w:sz w:val="24"/>
          <w:szCs w:val="24"/>
        </w:rPr>
        <w:t>&amp;</w:t>
      </w:r>
      <w:r w:rsidR="00A35617" w:rsidRPr="00C04EA2">
        <w:rPr>
          <w:rFonts w:ascii="Times New Roman" w:hAnsi="Times New Roman" w:cs="Times New Roman"/>
          <w:sz w:val="24"/>
          <w:szCs w:val="24"/>
        </w:rPr>
        <w:t xml:space="preserve"> </w:t>
      </w:r>
      <w:proofErr w:type="spellStart"/>
      <w:r w:rsidR="00A35617" w:rsidRPr="00C04EA2">
        <w:rPr>
          <w:rFonts w:ascii="Times New Roman" w:hAnsi="Times New Roman" w:cs="Times New Roman"/>
          <w:sz w:val="24"/>
          <w:szCs w:val="24"/>
        </w:rPr>
        <w:t>Canöz</w:t>
      </w:r>
      <w:proofErr w:type="spellEnd"/>
      <w:r w:rsidR="00A35617" w:rsidRPr="00C04EA2">
        <w:rPr>
          <w:rFonts w:ascii="Times New Roman" w:hAnsi="Times New Roman" w:cs="Times New Roman"/>
          <w:sz w:val="24"/>
          <w:szCs w:val="24"/>
        </w:rPr>
        <w:t>, 2017)</w:t>
      </w:r>
      <w:r w:rsidRPr="00C04EA2">
        <w:rPr>
          <w:rFonts w:ascii="Times New Roman" w:hAnsi="Times New Roman" w:cs="Times New Roman"/>
          <w:sz w:val="24"/>
          <w:szCs w:val="24"/>
        </w:rPr>
        <w:t>.</w:t>
      </w:r>
      <w:r w:rsidR="00EE3326" w:rsidRPr="00C04EA2">
        <w:rPr>
          <w:rFonts w:ascii="Times New Roman" w:hAnsi="Times New Roman" w:cs="Times New Roman"/>
          <w:sz w:val="24"/>
          <w:szCs w:val="24"/>
        </w:rPr>
        <w:t xml:space="preserve"> Numerous empirical studies have been conducted, and in these studies, researchers have used various statistical methodologies to assess the performance of the banking </w:t>
      </w:r>
      <w:r w:rsidR="0009680B" w:rsidRPr="00C04EA2">
        <w:rPr>
          <w:rFonts w:ascii="Times New Roman" w:hAnsi="Times New Roman" w:cs="Times New Roman"/>
          <w:sz w:val="24"/>
          <w:szCs w:val="24"/>
        </w:rPr>
        <w:t xml:space="preserve">sector, such as, Johansen Cointegration Analysis, Granger Causality Analysis, ARDL, Regression, Survey, </w:t>
      </w:r>
      <w:proofErr w:type="spellStart"/>
      <w:r w:rsidR="0009680B" w:rsidRPr="00C04EA2">
        <w:rPr>
          <w:rFonts w:ascii="Times New Roman" w:hAnsi="Times New Roman" w:cs="Times New Roman"/>
          <w:sz w:val="24"/>
          <w:szCs w:val="24"/>
        </w:rPr>
        <w:t>Pedroni</w:t>
      </w:r>
      <w:proofErr w:type="spellEnd"/>
      <w:r w:rsidR="0009680B" w:rsidRPr="00C04EA2">
        <w:rPr>
          <w:rFonts w:ascii="Times New Roman" w:hAnsi="Times New Roman" w:cs="Times New Roman"/>
          <w:sz w:val="24"/>
          <w:szCs w:val="24"/>
        </w:rPr>
        <w:t xml:space="preserve"> Cointegration Test, Stochastic Frontier Approach, Descriptive Statistics, </w:t>
      </w:r>
      <w:proofErr w:type="spellStart"/>
      <w:r w:rsidR="0009680B" w:rsidRPr="00C04EA2">
        <w:rPr>
          <w:rFonts w:ascii="Times New Roman" w:hAnsi="Times New Roman" w:cs="Times New Roman"/>
          <w:sz w:val="24"/>
          <w:szCs w:val="24"/>
        </w:rPr>
        <w:t>Dumitrescu</w:t>
      </w:r>
      <w:proofErr w:type="spellEnd"/>
      <w:r w:rsidR="0009680B" w:rsidRPr="00C04EA2">
        <w:rPr>
          <w:rFonts w:ascii="Times New Roman" w:hAnsi="Times New Roman" w:cs="Times New Roman"/>
          <w:sz w:val="24"/>
          <w:szCs w:val="24"/>
        </w:rPr>
        <w:t xml:space="preserve"> and </w:t>
      </w:r>
      <w:proofErr w:type="spellStart"/>
      <w:r w:rsidR="0009680B" w:rsidRPr="00C04EA2">
        <w:rPr>
          <w:rFonts w:ascii="Times New Roman" w:hAnsi="Times New Roman" w:cs="Times New Roman"/>
          <w:sz w:val="24"/>
          <w:szCs w:val="24"/>
        </w:rPr>
        <w:t>Hurlin</w:t>
      </w:r>
      <w:proofErr w:type="spellEnd"/>
      <w:r w:rsidR="0009680B" w:rsidRPr="00C04EA2">
        <w:rPr>
          <w:rFonts w:ascii="Times New Roman" w:hAnsi="Times New Roman" w:cs="Times New Roman"/>
          <w:sz w:val="24"/>
          <w:szCs w:val="24"/>
        </w:rPr>
        <w:t xml:space="preserve"> Causality Test, Engle Granger Cointegration Analysis, VAR Granger Causality Analysis, </w:t>
      </w:r>
      <w:proofErr w:type="spellStart"/>
      <w:r w:rsidR="0009680B" w:rsidRPr="00C04EA2">
        <w:rPr>
          <w:rFonts w:ascii="Times New Roman" w:hAnsi="Times New Roman" w:cs="Times New Roman"/>
          <w:sz w:val="24"/>
          <w:szCs w:val="24"/>
        </w:rPr>
        <w:t>Westerlund</w:t>
      </w:r>
      <w:proofErr w:type="spellEnd"/>
      <w:r w:rsidR="0009680B" w:rsidRPr="00C04EA2">
        <w:rPr>
          <w:rFonts w:ascii="Times New Roman" w:hAnsi="Times New Roman" w:cs="Times New Roman"/>
          <w:sz w:val="24"/>
          <w:szCs w:val="24"/>
        </w:rPr>
        <w:t xml:space="preserve"> Panel Cointegration Test, Mediation of Profitability, Qualitative Research Paradigm, Structural Equation Model. The empirical factors that influence bank performance around the world have also been the subject of various studies</w:t>
      </w:r>
      <w:r w:rsidR="00B51579" w:rsidRPr="00C04EA2">
        <w:rPr>
          <w:rFonts w:ascii="Times New Roman" w:hAnsi="Times New Roman" w:cs="Times New Roman"/>
          <w:sz w:val="24"/>
          <w:szCs w:val="24"/>
        </w:rPr>
        <w:t>, as well as in terms of a set of countries or a particular country. This section summarizes the literature on the financial, macroeconomic, and industry-specific factors that affect banks' financial performance. The gaps pertinent to this study have been found after a review of the literature. Additionally, the shortcomings of the available empirical investigations have been emphasized</w:t>
      </w:r>
      <w:r w:rsidR="00A35617" w:rsidRPr="00C04EA2">
        <w:rPr>
          <w:rFonts w:ascii="Times New Roman" w:hAnsi="Times New Roman" w:cs="Times New Roman"/>
          <w:sz w:val="24"/>
          <w:szCs w:val="24"/>
        </w:rPr>
        <w:t xml:space="preserve"> (</w:t>
      </w:r>
      <w:proofErr w:type="spellStart"/>
      <w:r w:rsidR="00A35617" w:rsidRPr="00C04EA2">
        <w:rPr>
          <w:rFonts w:ascii="Times New Roman" w:hAnsi="Times New Roman" w:cs="Times New Roman"/>
          <w:sz w:val="24"/>
          <w:szCs w:val="24"/>
        </w:rPr>
        <w:t>Rabaa</w:t>
      </w:r>
      <w:proofErr w:type="spellEnd"/>
      <w:r w:rsidR="00A35617" w:rsidRPr="00C04EA2">
        <w:rPr>
          <w:rFonts w:ascii="Times New Roman" w:hAnsi="Times New Roman" w:cs="Times New Roman"/>
          <w:sz w:val="24"/>
          <w:szCs w:val="24"/>
        </w:rPr>
        <w:t xml:space="preserve"> </w:t>
      </w:r>
      <w:r w:rsidR="00277EFD">
        <w:rPr>
          <w:rFonts w:ascii="Times New Roman" w:hAnsi="Times New Roman" w:cs="Times New Roman"/>
          <w:sz w:val="24"/>
          <w:szCs w:val="24"/>
        </w:rPr>
        <w:t>&amp;</w:t>
      </w:r>
      <w:r w:rsidR="00A35617" w:rsidRPr="00C04EA2">
        <w:rPr>
          <w:rFonts w:ascii="Times New Roman" w:hAnsi="Times New Roman" w:cs="Times New Roman"/>
          <w:sz w:val="24"/>
          <w:szCs w:val="24"/>
        </w:rPr>
        <w:t xml:space="preserve"> Younes, 2016).</w:t>
      </w:r>
    </w:p>
    <w:p w14:paraId="22CEE2F4" w14:textId="1F4BFDED" w:rsidR="00371016" w:rsidRPr="00C04EA2" w:rsidRDefault="00B51579" w:rsidP="005A30C7">
      <w:pPr>
        <w:tabs>
          <w:tab w:val="left" w:pos="2088"/>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6836BC">
        <w:rPr>
          <w:rFonts w:ascii="Times New Roman" w:hAnsi="Times New Roman" w:cs="Times New Roman"/>
          <w:sz w:val="24"/>
          <w:szCs w:val="24"/>
        </w:rPr>
        <w:t>0</w:t>
      </w:r>
      <w:r w:rsidRPr="00C04EA2">
        <w:rPr>
          <w:rFonts w:ascii="Times New Roman" w:hAnsi="Times New Roman" w:cs="Times New Roman"/>
          <w:sz w:val="24"/>
          <w:szCs w:val="24"/>
        </w:rPr>
        <w:t xml:space="preserve">1: </w:t>
      </w:r>
      <w:r w:rsidR="005A30C7">
        <w:rPr>
          <w:rFonts w:ascii="Times New Roman" w:hAnsi="Times New Roman" w:cs="Times New Roman"/>
          <w:sz w:val="24"/>
          <w:szCs w:val="24"/>
        </w:rPr>
        <w:t>Review of the literature</w:t>
      </w:r>
    </w:p>
    <w:tbl>
      <w:tblPr>
        <w:tblStyle w:val="TableGridLight"/>
        <w:tblW w:w="9355" w:type="dxa"/>
        <w:tblLayout w:type="fixed"/>
        <w:tblLook w:val="04A0" w:firstRow="1" w:lastRow="0" w:firstColumn="1" w:lastColumn="0" w:noHBand="0" w:noVBand="1"/>
      </w:tblPr>
      <w:tblGrid>
        <w:gridCol w:w="1869"/>
        <w:gridCol w:w="16"/>
        <w:gridCol w:w="1350"/>
        <w:gridCol w:w="1620"/>
        <w:gridCol w:w="4500"/>
      </w:tblGrid>
      <w:tr w:rsidR="00D3340F" w:rsidRPr="00C04EA2" w14:paraId="60EE0C27" w14:textId="77777777" w:rsidTr="00371016">
        <w:trPr>
          <w:trHeight w:val="449"/>
        </w:trPr>
        <w:tc>
          <w:tcPr>
            <w:tcW w:w="1885" w:type="dxa"/>
            <w:gridSpan w:val="2"/>
          </w:tcPr>
          <w:p w14:paraId="2FD1501C" w14:textId="1537246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lastRenderedPageBreak/>
              <w:t>Authors</w:t>
            </w:r>
          </w:p>
        </w:tc>
        <w:tc>
          <w:tcPr>
            <w:tcW w:w="1350" w:type="dxa"/>
          </w:tcPr>
          <w:p w14:paraId="0BFB0F6D" w14:textId="786F7A6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Field</w:t>
            </w:r>
          </w:p>
        </w:tc>
        <w:tc>
          <w:tcPr>
            <w:tcW w:w="1620" w:type="dxa"/>
          </w:tcPr>
          <w:p w14:paraId="398B867D" w14:textId="4AA05E17"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Method</w:t>
            </w:r>
          </w:p>
        </w:tc>
        <w:tc>
          <w:tcPr>
            <w:tcW w:w="4500" w:type="dxa"/>
          </w:tcPr>
          <w:p w14:paraId="38B34499" w14:textId="7F1F31C6" w:rsidR="00D3340F" w:rsidRPr="00C04EA2" w:rsidRDefault="007D79F5"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Results</w:t>
            </w:r>
            <w:r w:rsidR="00321453" w:rsidRPr="00C04EA2">
              <w:rPr>
                <w:rFonts w:ascii="Times New Roman" w:hAnsi="Times New Roman" w:cs="Times New Roman"/>
                <w:b/>
                <w:sz w:val="24"/>
                <w:szCs w:val="24"/>
              </w:rPr>
              <w:t xml:space="preserve">/ Findings </w:t>
            </w:r>
          </w:p>
        </w:tc>
      </w:tr>
      <w:tr w:rsidR="00D3340F" w:rsidRPr="00C04EA2" w14:paraId="5E0FC6FE" w14:textId="77777777" w:rsidTr="00371016">
        <w:trPr>
          <w:trHeight w:val="350"/>
        </w:trPr>
        <w:tc>
          <w:tcPr>
            <w:tcW w:w="1869" w:type="dxa"/>
          </w:tcPr>
          <w:p w14:paraId="4255BA16" w14:textId="123F64C5"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Furqani</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Mulyayn</w:t>
            </w:r>
            <w:proofErr w:type="spellEnd"/>
            <w:r w:rsidRPr="00C04EA2">
              <w:rPr>
                <w:rFonts w:ascii="Times New Roman" w:hAnsi="Times New Roman" w:cs="Times New Roman"/>
                <w:sz w:val="24"/>
                <w:szCs w:val="24"/>
              </w:rPr>
              <w:t xml:space="preserve"> (2009)</w:t>
            </w:r>
            <w:r w:rsidR="00833107" w:rsidRPr="00C04EA2">
              <w:rPr>
                <w:rFonts w:ascii="Times New Roman" w:hAnsi="Times New Roman" w:cs="Times New Roman"/>
                <w:sz w:val="24"/>
                <w:szCs w:val="24"/>
              </w:rPr>
              <w:t xml:space="preserve"> </w:t>
            </w:r>
          </w:p>
        </w:tc>
        <w:tc>
          <w:tcPr>
            <w:tcW w:w="1366" w:type="dxa"/>
            <w:gridSpan w:val="2"/>
          </w:tcPr>
          <w:p w14:paraId="6DD0C76A" w14:textId="26A4415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Malaysia</w:t>
            </w:r>
          </w:p>
        </w:tc>
        <w:tc>
          <w:tcPr>
            <w:tcW w:w="1620" w:type="dxa"/>
          </w:tcPr>
          <w:p w14:paraId="7D7F1D26" w14:textId="79A084F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108E2D86" w14:textId="74B0B73A"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 xml:space="preserve"> </w:t>
            </w:r>
            <w:r w:rsidR="008F3F69" w:rsidRPr="00C04EA2">
              <w:rPr>
                <w:rFonts w:ascii="Times New Roman" w:hAnsi="Times New Roman" w:cs="Times New Roman"/>
                <w:sz w:val="24"/>
                <w:szCs w:val="24"/>
              </w:rPr>
              <w:t xml:space="preserve">They analyzed </w:t>
            </w:r>
            <w:r w:rsidR="000A4A4F" w:rsidRPr="00C04EA2">
              <w:rPr>
                <w:rFonts w:ascii="Times New Roman" w:hAnsi="Times New Roman" w:cs="Times New Roman"/>
                <w:sz w:val="24"/>
                <w:szCs w:val="24"/>
              </w:rPr>
              <w:t xml:space="preserve">that </w:t>
            </w:r>
            <w:r w:rsidR="00F6229E" w:rsidRPr="00C04EA2">
              <w:rPr>
                <w:rFonts w:ascii="Times New Roman" w:hAnsi="Times New Roman" w:cs="Times New Roman"/>
                <w:sz w:val="24"/>
                <w:szCs w:val="24"/>
              </w:rPr>
              <w:t>Islamic banking and economic growth are related.</w:t>
            </w:r>
          </w:p>
        </w:tc>
      </w:tr>
      <w:tr w:rsidR="00D3340F" w:rsidRPr="00C04EA2" w14:paraId="4F77A789" w14:textId="77777777" w:rsidTr="00371016">
        <w:trPr>
          <w:trHeight w:val="998"/>
        </w:trPr>
        <w:tc>
          <w:tcPr>
            <w:tcW w:w="1869" w:type="dxa"/>
          </w:tcPr>
          <w:p w14:paraId="444DB193" w14:textId="29DB7D0A"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Pr="00C04EA2">
              <w:rPr>
                <w:rFonts w:ascii="Times New Roman" w:hAnsi="Times New Roman" w:cs="Times New Roman"/>
                <w:sz w:val="24"/>
                <w:szCs w:val="24"/>
              </w:rPr>
              <w:t xml:space="preserve"> Chowdhury (2012)</w:t>
            </w:r>
            <w:r w:rsidR="00833107" w:rsidRPr="00C04EA2">
              <w:rPr>
                <w:rFonts w:ascii="Times New Roman" w:hAnsi="Times New Roman" w:cs="Times New Roman"/>
                <w:sz w:val="24"/>
                <w:szCs w:val="24"/>
              </w:rPr>
              <w:t xml:space="preserve"> </w:t>
            </w:r>
          </w:p>
        </w:tc>
        <w:tc>
          <w:tcPr>
            <w:tcW w:w="1366" w:type="dxa"/>
            <w:gridSpan w:val="2"/>
          </w:tcPr>
          <w:p w14:paraId="73A22253" w14:textId="205D37E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Bangladesh</w:t>
            </w:r>
          </w:p>
        </w:tc>
        <w:tc>
          <w:tcPr>
            <w:tcW w:w="1620" w:type="dxa"/>
          </w:tcPr>
          <w:p w14:paraId="2E0BC6C2" w14:textId="5557953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14D4DD04" w14:textId="5A40C13B" w:rsidR="00D3340F" w:rsidRPr="00C04EA2" w:rsidRDefault="00F6229E"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found that the Islamic finance system and economic growth have a significant and favorable association.</w:t>
            </w:r>
          </w:p>
        </w:tc>
      </w:tr>
      <w:tr w:rsidR="00D3340F" w:rsidRPr="00C04EA2" w14:paraId="26A9C65D" w14:textId="77777777" w:rsidTr="00371016">
        <w:trPr>
          <w:trHeight w:val="989"/>
        </w:trPr>
        <w:tc>
          <w:tcPr>
            <w:tcW w:w="1869" w:type="dxa"/>
          </w:tcPr>
          <w:p w14:paraId="03A49767" w14:textId="04B3165E"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00277EFD" w:rsidRPr="00C04EA2">
              <w:rPr>
                <w:rFonts w:ascii="Times New Roman" w:hAnsi="Times New Roman" w:cs="Times New Roman"/>
                <w:sz w:val="24"/>
                <w:szCs w:val="24"/>
              </w:rPr>
              <w:t xml:space="preserve"> </w:t>
            </w:r>
            <w:r w:rsidRPr="00C04EA2">
              <w:rPr>
                <w:rFonts w:ascii="Times New Roman" w:hAnsi="Times New Roman" w:cs="Times New Roman"/>
                <w:sz w:val="24"/>
                <w:szCs w:val="24"/>
              </w:rPr>
              <w:t>Omar (2012)</w:t>
            </w:r>
            <w:r w:rsidR="00833107" w:rsidRPr="00C04EA2">
              <w:rPr>
                <w:rFonts w:ascii="Times New Roman" w:hAnsi="Times New Roman" w:cs="Times New Roman"/>
                <w:sz w:val="24"/>
                <w:szCs w:val="24"/>
              </w:rPr>
              <w:t xml:space="preserve"> </w:t>
            </w:r>
          </w:p>
        </w:tc>
        <w:tc>
          <w:tcPr>
            <w:tcW w:w="1366" w:type="dxa"/>
            <w:gridSpan w:val="2"/>
          </w:tcPr>
          <w:p w14:paraId="5C5107C8" w14:textId="3F4FC81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Indonesia</w:t>
            </w:r>
          </w:p>
        </w:tc>
        <w:tc>
          <w:tcPr>
            <w:tcW w:w="1620" w:type="dxa"/>
          </w:tcPr>
          <w:p w14:paraId="2BA47ACB" w14:textId="6758553A"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075AF255" w14:textId="416D6539" w:rsidR="00D3340F" w:rsidRPr="00C04EA2" w:rsidRDefault="00F6229E"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stressed the close connection between the development of Islamic finance and economic growth.</w:t>
            </w:r>
          </w:p>
        </w:tc>
      </w:tr>
      <w:tr w:rsidR="00D3340F" w:rsidRPr="00C04EA2" w14:paraId="529A9831" w14:textId="77777777" w:rsidTr="00371016">
        <w:trPr>
          <w:trHeight w:val="350"/>
        </w:trPr>
        <w:tc>
          <w:tcPr>
            <w:tcW w:w="1869" w:type="dxa"/>
          </w:tcPr>
          <w:p w14:paraId="51851F09" w14:textId="5AC6DDDF"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Yazdan</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00277EFD" w:rsidRPr="00C04EA2">
              <w:rPr>
                <w:rFonts w:ascii="Times New Roman" w:hAnsi="Times New Roman" w:cs="Times New Roman"/>
                <w:sz w:val="24"/>
                <w:szCs w:val="24"/>
              </w:rPr>
              <w:t xml:space="preserve"> </w:t>
            </w:r>
            <w:r w:rsidRPr="00C04EA2">
              <w:rPr>
                <w:rFonts w:ascii="Times New Roman" w:hAnsi="Times New Roman" w:cs="Times New Roman"/>
                <w:sz w:val="24"/>
                <w:szCs w:val="24"/>
              </w:rPr>
              <w:t>Sadr (2012)</w:t>
            </w:r>
            <w:r w:rsidR="00833107" w:rsidRPr="00C04EA2">
              <w:rPr>
                <w:rFonts w:ascii="Times New Roman" w:hAnsi="Times New Roman" w:cs="Times New Roman"/>
                <w:sz w:val="24"/>
                <w:szCs w:val="24"/>
              </w:rPr>
              <w:t xml:space="preserve"> </w:t>
            </w:r>
          </w:p>
        </w:tc>
        <w:tc>
          <w:tcPr>
            <w:tcW w:w="1366" w:type="dxa"/>
            <w:gridSpan w:val="2"/>
          </w:tcPr>
          <w:p w14:paraId="7B048730" w14:textId="77DD75F6"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Iran and Indonesia</w:t>
            </w:r>
          </w:p>
        </w:tc>
        <w:tc>
          <w:tcPr>
            <w:tcW w:w="1620" w:type="dxa"/>
          </w:tcPr>
          <w:p w14:paraId="77C3445B" w14:textId="32003F4D"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ARDL</w:t>
            </w:r>
          </w:p>
        </w:tc>
        <w:tc>
          <w:tcPr>
            <w:tcW w:w="4500" w:type="dxa"/>
          </w:tcPr>
          <w:p w14:paraId="201D3CA9" w14:textId="77777777" w:rsidR="008F3F69" w:rsidRPr="00C04EA2" w:rsidRDefault="008F3F69"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According to analysis, there is a significant link between Islamic financing and economic growth.</w:t>
            </w:r>
          </w:p>
          <w:p w14:paraId="19224415" w14:textId="61FF744B" w:rsidR="008F3F69" w:rsidRPr="00C04EA2" w:rsidRDefault="008F3F69" w:rsidP="005A30C7">
            <w:pPr>
              <w:tabs>
                <w:tab w:val="left" w:pos="3780"/>
              </w:tabs>
              <w:spacing w:line="360" w:lineRule="auto"/>
              <w:jc w:val="both"/>
              <w:rPr>
                <w:rFonts w:ascii="Times New Roman" w:hAnsi="Times New Roman" w:cs="Times New Roman"/>
                <w:sz w:val="24"/>
                <w:szCs w:val="24"/>
              </w:rPr>
            </w:pPr>
          </w:p>
        </w:tc>
      </w:tr>
      <w:tr w:rsidR="00D3340F" w:rsidRPr="00C04EA2" w14:paraId="581EE31C" w14:textId="77777777" w:rsidTr="00371016">
        <w:trPr>
          <w:trHeight w:val="350"/>
        </w:trPr>
        <w:tc>
          <w:tcPr>
            <w:tcW w:w="1869" w:type="dxa"/>
          </w:tcPr>
          <w:p w14:paraId="74891927" w14:textId="18EE3E57"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Johnson (2013)</w:t>
            </w:r>
            <w:r w:rsidR="00833107" w:rsidRPr="00C04EA2">
              <w:rPr>
                <w:rFonts w:ascii="Times New Roman" w:hAnsi="Times New Roman" w:cs="Times New Roman"/>
                <w:sz w:val="24"/>
                <w:szCs w:val="24"/>
              </w:rPr>
              <w:t xml:space="preserve"> </w:t>
            </w:r>
          </w:p>
        </w:tc>
        <w:tc>
          <w:tcPr>
            <w:tcW w:w="1366" w:type="dxa"/>
            <w:gridSpan w:val="2"/>
          </w:tcPr>
          <w:p w14:paraId="4A96D6BE" w14:textId="4D343ED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345 Islamic banks</w:t>
            </w:r>
          </w:p>
        </w:tc>
        <w:tc>
          <w:tcPr>
            <w:tcW w:w="1620" w:type="dxa"/>
          </w:tcPr>
          <w:p w14:paraId="17B90E51" w14:textId="309DD005"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Regression</w:t>
            </w:r>
          </w:p>
        </w:tc>
        <w:tc>
          <w:tcPr>
            <w:tcW w:w="4500" w:type="dxa"/>
          </w:tcPr>
          <w:p w14:paraId="7E8C5703" w14:textId="77777777" w:rsidR="00D3340F" w:rsidRPr="00C04EA2" w:rsidRDefault="008F3F69"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was found that there is no connection between the development of the economy and the Islamic banking system.</w:t>
            </w:r>
          </w:p>
          <w:p w14:paraId="3167045B" w14:textId="3ADAFF99" w:rsidR="008F3F69" w:rsidRPr="00C04EA2" w:rsidRDefault="008F3F69" w:rsidP="005A30C7">
            <w:pPr>
              <w:tabs>
                <w:tab w:val="left" w:pos="3780"/>
              </w:tabs>
              <w:spacing w:line="360" w:lineRule="auto"/>
              <w:jc w:val="both"/>
              <w:rPr>
                <w:rFonts w:ascii="Times New Roman" w:hAnsi="Times New Roman" w:cs="Times New Roman"/>
                <w:sz w:val="24"/>
                <w:szCs w:val="24"/>
              </w:rPr>
            </w:pPr>
          </w:p>
        </w:tc>
      </w:tr>
      <w:tr w:rsidR="00D3340F" w:rsidRPr="00C04EA2" w14:paraId="0AA98D95" w14:textId="77777777" w:rsidTr="00371016">
        <w:trPr>
          <w:trHeight w:val="350"/>
        </w:trPr>
        <w:tc>
          <w:tcPr>
            <w:tcW w:w="1869" w:type="dxa"/>
          </w:tcPr>
          <w:p w14:paraId="43BDCB26" w14:textId="06DA42EF"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Sarwer</w:t>
            </w:r>
            <w:proofErr w:type="spellEnd"/>
            <w:r w:rsidRPr="00C04EA2">
              <w:rPr>
                <w:rFonts w:ascii="Times New Roman" w:hAnsi="Times New Roman" w:cs="Times New Roman"/>
                <w:sz w:val="24"/>
                <w:szCs w:val="24"/>
              </w:rPr>
              <w:t xml:space="preserve"> et. al. (2013)</w:t>
            </w:r>
            <w:r w:rsidR="00833107" w:rsidRPr="00C04EA2">
              <w:rPr>
                <w:rFonts w:ascii="Times New Roman" w:hAnsi="Times New Roman" w:cs="Times New Roman"/>
                <w:sz w:val="24"/>
                <w:szCs w:val="24"/>
              </w:rPr>
              <w:t xml:space="preserve"> </w:t>
            </w:r>
          </w:p>
        </w:tc>
        <w:tc>
          <w:tcPr>
            <w:tcW w:w="1366" w:type="dxa"/>
            <w:gridSpan w:val="2"/>
          </w:tcPr>
          <w:p w14:paraId="63275249" w14:textId="194E190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Pakistan</w:t>
            </w:r>
          </w:p>
        </w:tc>
        <w:tc>
          <w:tcPr>
            <w:tcW w:w="1620" w:type="dxa"/>
          </w:tcPr>
          <w:p w14:paraId="768CA06B" w14:textId="1C949458"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Survey</w:t>
            </w:r>
          </w:p>
        </w:tc>
        <w:tc>
          <w:tcPr>
            <w:tcW w:w="4500" w:type="dxa"/>
          </w:tcPr>
          <w:p w14:paraId="05B544DC" w14:textId="5560E98A" w:rsidR="00D3340F" w:rsidRPr="00C04EA2" w:rsidRDefault="008F3F69"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draw the conclusion that Islamic banking is strongly and favorably and positively related to economic growth.</w:t>
            </w:r>
          </w:p>
          <w:p w14:paraId="0BF32A47" w14:textId="1000B1E5" w:rsidR="008F3F69" w:rsidRPr="00C04EA2" w:rsidRDefault="008F3F69" w:rsidP="005A30C7">
            <w:pPr>
              <w:tabs>
                <w:tab w:val="left" w:pos="3780"/>
              </w:tabs>
              <w:spacing w:line="360" w:lineRule="auto"/>
              <w:jc w:val="both"/>
              <w:rPr>
                <w:rFonts w:ascii="Times New Roman" w:hAnsi="Times New Roman" w:cs="Times New Roman"/>
                <w:sz w:val="24"/>
                <w:szCs w:val="24"/>
              </w:rPr>
            </w:pPr>
          </w:p>
        </w:tc>
      </w:tr>
      <w:tr w:rsidR="00D3340F" w:rsidRPr="00C04EA2" w14:paraId="22B58935" w14:textId="77777777" w:rsidTr="00371016">
        <w:trPr>
          <w:trHeight w:val="350"/>
        </w:trPr>
        <w:tc>
          <w:tcPr>
            <w:tcW w:w="1869" w:type="dxa"/>
          </w:tcPr>
          <w:p w14:paraId="5C82C07A" w14:textId="7E468E8E"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Tajgardoon</w:t>
            </w:r>
            <w:proofErr w:type="spellEnd"/>
            <w:r w:rsidRPr="00C04EA2">
              <w:rPr>
                <w:rFonts w:ascii="Times New Roman" w:hAnsi="Times New Roman" w:cs="Times New Roman"/>
                <w:sz w:val="24"/>
                <w:szCs w:val="24"/>
              </w:rPr>
              <w:t xml:space="preserve"> et. al. (2013)</w:t>
            </w:r>
            <w:r w:rsidR="00833107" w:rsidRPr="00C04EA2">
              <w:rPr>
                <w:rFonts w:ascii="Times New Roman" w:hAnsi="Times New Roman" w:cs="Times New Roman"/>
                <w:sz w:val="24"/>
                <w:szCs w:val="24"/>
              </w:rPr>
              <w:t xml:space="preserve"> </w:t>
            </w:r>
          </w:p>
        </w:tc>
        <w:tc>
          <w:tcPr>
            <w:tcW w:w="1366" w:type="dxa"/>
            <w:gridSpan w:val="2"/>
          </w:tcPr>
          <w:p w14:paraId="1F1EF7E4" w14:textId="1CF4C70C"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12 Asian countries</w:t>
            </w:r>
          </w:p>
        </w:tc>
        <w:tc>
          <w:tcPr>
            <w:tcW w:w="1620" w:type="dxa"/>
          </w:tcPr>
          <w:p w14:paraId="0218AB11" w14:textId="51DD4941"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4B092FD5" w14:textId="77777777" w:rsidR="00D3340F" w:rsidRPr="00C04EA2" w:rsidRDefault="008F3F69"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 the short term, it was found that there is a considerable association between economic growth and the Islamic banking system, however this relationship is not applicable over the long term.</w:t>
            </w:r>
          </w:p>
          <w:p w14:paraId="0767585C" w14:textId="161F54E9" w:rsidR="008F3F69" w:rsidRPr="00C04EA2" w:rsidRDefault="008F3F69" w:rsidP="005A30C7">
            <w:pPr>
              <w:tabs>
                <w:tab w:val="left" w:pos="3780"/>
              </w:tabs>
              <w:spacing w:line="360" w:lineRule="auto"/>
              <w:jc w:val="both"/>
              <w:rPr>
                <w:rFonts w:ascii="Times New Roman" w:hAnsi="Times New Roman" w:cs="Times New Roman"/>
                <w:sz w:val="24"/>
                <w:szCs w:val="24"/>
              </w:rPr>
            </w:pPr>
          </w:p>
        </w:tc>
      </w:tr>
      <w:tr w:rsidR="00D3340F" w:rsidRPr="00C04EA2" w14:paraId="7B2A78D1" w14:textId="77777777" w:rsidTr="00371016">
        <w:trPr>
          <w:trHeight w:val="350"/>
        </w:trPr>
        <w:tc>
          <w:tcPr>
            <w:tcW w:w="1869" w:type="dxa"/>
          </w:tcPr>
          <w:p w14:paraId="223EB5F9" w14:textId="55240190"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lastRenderedPageBreak/>
              <w:t>Yazdan</w:t>
            </w:r>
            <w:proofErr w:type="spellEnd"/>
            <w:r w:rsidRPr="00C04EA2">
              <w:rPr>
                <w:rFonts w:ascii="Times New Roman" w:hAnsi="Times New Roman" w:cs="Times New Roman"/>
                <w:sz w:val="24"/>
                <w:szCs w:val="24"/>
              </w:rPr>
              <w:t xml:space="preserve"> </w:t>
            </w:r>
            <w:r w:rsidR="00277EFD">
              <w:rPr>
                <w:rFonts w:ascii="Times New Roman" w:hAnsi="Times New Roman" w:cs="Times New Roman"/>
                <w:sz w:val="24"/>
                <w:szCs w:val="24"/>
              </w:rPr>
              <w:t>and</w:t>
            </w:r>
            <w:r w:rsidRPr="00C04EA2">
              <w:rPr>
                <w:rFonts w:ascii="Times New Roman" w:hAnsi="Times New Roman" w:cs="Times New Roman"/>
                <w:sz w:val="24"/>
                <w:szCs w:val="24"/>
              </w:rPr>
              <w:t xml:space="preserve"> Dastan (2013)</w:t>
            </w:r>
            <w:r w:rsidR="00833107" w:rsidRPr="00C04EA2">
              <w:rPr>
                <w:rFonts w:ascii="Times New Roman" w:hAnsi="Times New Roman" w:cs="Times New Roman"/>
                <w:sz w:val="24"/>
                <w:szCs w:val="24"/>
              </w:rPr>
              <w:t xml:space="preserve"> </w:t>
            </w:r>
          </w:p>
        </w:tc>
        <w:tc>
          <w:tcPr>
            <w:tcW w:w="1366" w:type="dxa"/>
            <w:gridSpan w:val="2"/>
          </w:tcPr>
          <w:p w14:paraId="5AD7C3A8" w14:textId="787D8ABC"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9 Islamic countries</w:t>
            </w:r>
          </w:p>
        </w:tc>
        <w:tc>
          <w:tcPr>
            <w:tcW w:w="1620" w:type="dxa"/>
          </w:tcPr>
          <w:p w14:paraId="2279F8B2" w14:textId="50A660BD"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3C469763" w14:textId="67EC6805" w:rsidR="00D3340F" w:rsidRPr="00C04EA2" w:rsidRDefault="00493478"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They defined that Islamic banking stimulates economic growth.</w:t>
            </w:r>
          </w:p>
        </w:tc>
      </w:tr>
      <w:tr w:rsidR="00D3340F" w:rsidRPr="00C04EA2" w14:paraId="2F1050B4" w14:textId="77777777" w:rsidTr="00371016">
        <w:trPr>
          <w:trHeight w:val="350"/>
        </w:trPr>
        <w:tc>
          <w:tcPr>
            <w:tcW w:w="1869" w:type="dxa"/>
          </w:tcPr>
          <w:p w14:paraId="6E6BA4A6" w14:textId="1C0E985A"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 xml:space="preserve">Yusof </w:t>
            </w:r>
            <w:r w:rsidR="004A1513">
              <w:rPr>
                <w:rFonts w:ascii="Times New Roman" w:hAnsi="Times New Roman" w:cs="Times New Roman"/>
                <w:sz w:val="24"/>
                <w:szCs w:val="24"/>
              </w:rPr>
              <w:t>and</w:t>
            </w:r>
            <w:r w:rsidR="004A1513"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Bahlous</w:t>
            </w:r>
            <w:proofErr w:type="spellEnd"/>
            <w:r w:rsidRPr="00C04EA2">
              <w:rPr>
                <w:rFonts w:ascii="Times New Roman" w:hAnsi="Times New Roman" w:cs="Times New Roman"/>
                <w:sz w:val="24"/>
                <w:szCs w:val="24"/>
              </w:rPr>
              <w:t xml:space="preserve"> (2013)</w:t>
            </w:r>
            <w:r w:rsidR="00833107" w:rsidRPr="00C04EA2">
              <w:rPr>
                <w:rFonts w:ascii="Times New Roman" w:hAnsi="Times New Roman" w:cs="Times New Roman"/>
                <w:sz w:val="24"/>
                <w:szCs w:val="24"/>
              </w:rPr>
              <w:t xml:space="preserve"> </w:t>
            </w:r>
          </w:p>
        </w:tc>
        <w:tc>
          <w:tcPr>
            <w:tcW w:w="1366" w:type="dxa"/>
            <w:gridSpan w:val="2"/>
          </w:tcPr>
          <w:p w14:paraId="32985FE8" w14:textId="74157947"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Malaysia, Indonesia and GCC countries</w:t>
            </w:r>
          </w:p>
        </w:tc>
        <w:tc>
          <w:tcPr>
            <w:tcW w:w="1620" w:type="dxa"/>
          </w:tcPr>
          <w:p w14:paraId="1AA40B8B" w14:textId="2B77781F"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Pedroni</w:t>
            </w:r>
            <w:proofErr w:type="spellEnd"/>
            <w:r w:rsidRPr="00C04EA2">
              <w:rPr>
                <w:rFonts w:ascii="Times New Roman" w:hAnsi="Times New Roman" w:cs="Times New Roman"/>
                <w:sz w:val="24"/>
                <w:szCs w:val="24"/>
              </w:rPr>
              <w:t xml:space="preserve"> Cointegration Test</w:t>
            </w:r>
          </w:p>
        </w:tc>
        <w:tc>
          <w:tcPr>
            <w:tcW w:w="4500" w:type="dxa"/>
          </w:tcPr>
          <w:p w14:paraId="225B992E" w14:textId="5B3C23A4"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They </w:t>
            </w:r>
            <w:r w:rsidR="00250850" w:rsidRPr="00C04EA2">
              <w:rPr>
                <w:rFonts w:ascii="Times New Roman" w:hAnsi="Times New Roman" w:cs="Times New Roman"/>
                <w:sz w:val="24"/>
                <w:szCs w:val="24"/>
              </w:rPr>
              <w:t>have</w:t>
            </w:r>
            <w:r w:rsidRPr="00C04EA2">
              <w:rPr>
                <w:rFonts w:ascii="Times New Roman" w:hAnsi="Times New Roman" w:cs="Times New Roman"/>
                <w:sz w:val="24"/>
                <w:szCs w:val="24"/>
              </w:rPr>
              <w:t xml:space="preserve"> shown that long-term and short-term economic growth are both facilitated by the Islamic banking sector.</w:t>
            </w:r>
          </w:p>
        </w:tc>
      </w:tr>
      <w:tr w:rsidR="00D3340F" w:rsidRPr="00C04EA2" w14:paraId="348255D4" w14:textId="77777777" w:rsidTr="00371016">
        <w:trPr>
          <w:trHeight w:val="350"/>
        </w:trPr>
        <w:tc>
          <w:tcPr>
            <w:tcW w:w="1869" w:type="dxa"/>
          </w:tcPr>
          <w:p w14:paraId="447CEC2C" w14:textId="0C83D03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(2014a)</w:t>
            </w:r>
            <w:r w:rsidR="00833107" w:rsidRPr="00C04EA2">
              <w:rPr>
                <w:rFonts w:ascii="Times New Roman" w:hAnsi="Times New Roman" w:cs="Times New Roman"/>
                <w:sz w:val="24"/>
                <w:szCs w:val="24"/>
              </w:rPr>
              <w:t xml:space="preserve"> </w:t>
            </w:r>
          </w:p>
        </w:tc>
        <w:tc>
          <w:tcPr>
            <w:tcW w:w="1366" w:type="dxa"/>
            <w:gridSpan w:val="2"/>
          </w:tcPr>
          <w:p w14:paraId="077D1B05" w14:textId="5791F43E"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Qatar</w:t>
            </w:r>
          </w:p>
        </w:tc>
        <w:tc>
          <w:tcPr>
            <w:tcW w:w="1620" w:type="dxa"/>
          </w:tcPr>
          <w:p w14:paraId="658249C8" w14:textId="5448A6D4"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52557BFC" w14:textId="6E9D0641"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Economic growth and Islamic banking were found to be strongly correlated.</w:t>
            </w:r>
          </w:p>
        </w:tc>
      </w:tr>
      <w:tr w:rsidR="00D3340F" w:rsidRPr="00C04EA2" w14:paraId="039492BC" w14:textId="77777777" w:rsidTr="00371016">
        <w:trPr>
          <w:trHeight w:val="350"/>
        </w:trPr>
        <w:tc>
          <w:tcPr>
            <w:tcW w:w="1869" w:type="dxa"/>
          </w:tcPr>
          <w:p w14:paraId="5ABA0E9C" w14:textId="02F2F691"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(2014b)</w:t>
            </w:r>
            <w:r w:rsidR="00833107" w:rsidRPr="00C04EA2">
              <w:rPr>
                <w:rFonts w:ascii="Times New Roman" w:hAnsi="Times New Roman" w:cs="Times New Roman"/>
                <w:sz w:val="24"/>
                <w:szCs w:val="24"/>
              </w:rPr>
              <w:t xml:space="preserve"> </w:t>
            </w:r>
          </w:p>
        </w:tc>
        <w:tc>
          <w:tcPr>
            <w:tcW w:w="1366" w:type="dxa"/>
            <w:gridSpan w:val="2"/>
          </w:tcPr>
          <w:p w14:paraId="2ECF5528" w14:textId="2F0D99F8"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Qatar, Bahrain, UAE</w:t>
            </w:r>
          </w:p>
        </w:tc>
        <w:tc>
          <w:tcPr>
            <w:tcW w:w="1620" w:type="dxa"/>
          </w:tcPr>
          <w:p w14:paraId="6302BB3E" w14:textId="1FDA7940"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Granger Causality Analysis</w:t>
            </w:r>
          </w:p>
        </w:tc>
        <w:tc>
          <w:tcPr>
            <w:tcW w:w="4500" w:type="dxa"/>
          </w:tcPr>
          <w:p w14:paraId="7AD61FF2" w14:textId="41E16788"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was discovered that Islamic finance and economic growth have a significant association.</w:t>
            </w:r>
          </w:p>
        </w:tc>
      </w:tr>
      <w:tr w:rsidR="00D3340F" w:rsidRPr="00C04EA2" w14:paraId="0A1A64EA" w14:textId="77777777" w:rsidTr="00371016">
        <w:trPr>
          <w:trHeight w:val="350"/>
        </w:trPr>
        <w:tc>
          <w:tcPr>
            <w:tcW w:w="1869" w:type="dxa"/>
          </w:tcPr>
          <w:p w14:paraId="4CFC52BA" w14:textId="4E01249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4A1513"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(2014c)</w:t>
            </w:r>
            <w:r w:rsidR="00833107" w:rsidRPr="00C04EA2">
              <w:rPr>
                <w:rFonts w:ascii="Times New Roman" w:hAnsi="Times New Roman" w:cs="Times New Roman"/>
                <w:sz w:val="24"/>
                <w:szCs w:val="24"/>
              </w:rPr>
              <w:t xml:space="preserve"> </w:t>
            </w:r>
          </w:p>
        </w:tc>
        <w:tc>
          <w:tcPr>
            <w:tcW w:w="1366" w:type="dxa"/>
            <w:gridSpan w:val="2"/>
          </w:tcPr>
          <w:p w14:paraId="06FE7D92" w14:textId="02A7B962"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UAE</w:t>
            </w:r>
          </w:p>
        </w:tc>
        <w:tc>
          <w:tcPr>
            <w:tcW w:w="1620" w:type="dxa"/>
          </w:tcPr>
          <w:p w14:paraId="6C23EEE7" w14:textId="44613ADB"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Johansen Cointegration Analysis</w:t>
            </w:r>
          </w:p>
        </w:tc>
        <w:tc>
          <w:tcPr>
            <w:tcW w:w="4500" w:type="dxa"/>
          </w:tcPr>
          <w:p w14:paraId="3990FBD8" w14:textId="6E927282"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established a causal link between economic growth and the Islamic banking system.</w:t>
            </w:r>
          </w:p>
        </w:tc>
      </w:tr>
      <w:tr w:rsidR="00D3340F" w:rsidRPr="00C04EA2" w14:paraId="176083E5" w14:textId="77777777" w:rsidTr="00371016">
        <w:trPr>
          <w:trHeight w:val="368"/>
        </w:trPr>
        <w:tc>
          <w:tcPr>
            <w:tcW w:w="1869" w:type="dxa"/>
          </w:tcPr>
          <w:p w14:paraId="6B25BF78" w14:textId="50580476"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Gheeraert</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Weill (2015)</w:t>
            </w:r>
            <w:r w:rsidR="00833107" w:rsidRPr="00C04EA2">
              <w:rPr>
                <w:rFonts w:ascii="Times New Roman" w:hAnsi="Times New Roman" w:cs="Times New Roman"/>
                <w:sz w:val="24"/>
                <w:szCs w:val="24"/>
              </w:rPr>
              <w:t xml:space="preserve"> </w:t>
            </w:r>
          </w:p>
        </w:tc>
        <w:tc>
          <w:tcPr>
            <w:tcW w:w="1366" w:type="dxa"/>
            <w:gridSpan w:val="2"/>
          </w:tcPr>
          <w:p w14:paraId="222F4685" w14:textId="0009C4EE"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70 countries</w:t>
            </w:r>
          </w:p>
        </w:tc>
        <w:tc>
          <w:tcPr>
            <w:tcW w:w="1620" w:type="dxa"/>
          </w:tcPr>
          <w:p w14:paraId="0AB133C3" w14:textId="7B8F519F"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Stochastic Frontier Approach</w:t>
            </w:r>
          </w:p>
        </w:tc>
        <w:tc>
          <w:tcPr>
            <w:tcW w:w="4500" w:type="dxa"/>
          </w:tcPr>
          <w:p w14:paraId="4B1B7257" w14:textId="21690486"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 correlation between Islamic finance and economic growth was found.</w:t>
            </w:r>
          </w:p>
        </w:tc>
      </w:tr>
      <w:tr w:rsidR="00D3340F" w:rsidRPr="00C04EA2" w14:paraId="4568E6AB" w14:textId="77777777" w:rsidTr="00371016">
        <w:trPr>
          <w:trHeight w:val="350"/>
        </w:trPr>
        <w:tc>
          <w:tcPr>
            <w:tcW w:w="1869" w:type="dxa"/>
          </w:tcPr>
          <w:p w14:paraId="0D0A9AB6" w14:textId="0892C809"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Hachicha</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Amar (2015)</w:t>
            </w:r>
            <w:r w:rsidR="00833107" w:rsidRPr="00C04EA2">
              <w:rPr>
                <w:rFonts w:ascii="Times New Roman" w:hAnsi="Times New Roman" w:cs="Times New Roman"/>
                <w:sz w:val="24"/>
                <w:szCs w:val="24"/>
              </w:rPr>
              <w:t xml:space="preserve"> </w:t>
            </w:r>
          </w:p>
        </w:tc>
        <w:tc>
          <w:tcPr>
            <w:tcW w:w="1366" w:type="dxa"/>
            <w:gridSpan w:val="2"/>
          </w:tcPr>
          <w:p w14:paraId="6ADDF076" w14:textId="786AF29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534AA22F" w14:textId="7D10BA4B"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Johansen Cointegration Analysis</w:t>
            </w:r>
          </w:p>
        </w:tc>
        <w:tc>
          <w:tcPr>
            <w:tcW w:w="4500" w:type="dxa"/>
          </w:tcPr>
          <w:p w14:paraId="713CD29E" w14:textId="02C2F7BA" w:rsidR="00D3340F" w:rsidRPr="00C04EA2" w:rsidRDefault="00493478"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deter</w:t>
            </w:r>
            <w:r w:rsidR="003734E3" w:rsidRPr="00C04EA2">
              <w:rPr>
                <w:rFonts w:ascii="Times New Roman" w:hAnsi="Times New Roman" w:cs="Times New Roman"/>
                <w:sz w:val="24"/>
                <w:szCs w:val="24"/>
              </w:rPr>
              <w:t xml:space="preserve">mined </w:t>
            </w:r>
            <w:r w:rsidRPr="00C04EA2">
              <w:rPr>
                <w:rFonts w:ascii="Times New Roman" w:hAnsi="Times New Roman" w:cs="Times New Roman"/>
                <w:sz w:val="24"/>
                <w:szCs w:val="24"/>
              </w:rPr>
              <w:t>that Islamic financing has no impact on economic</w:t>
            </w:r>
            <w:r w:rsidR="003734E3" w:rsidRPr="00C04EA2">
              <w:rPr>
                <w:rFonts w:ascii="Times New Roman" w:hAnsi="Times New Roman" w:cs="Times New Roman"/>
                <w:sz w:val="24"/>
                <w:szCs w:val="24"/>
              </w:rPr>
              <w:t xml:space="preserve"> growth</w:t>
            </w:r>
            <w:r w:rsidRPr="00C04EA2">
              <w:rPr>
                <w:rFonts w:ascii="Times New Roman" w:hAnsi="Times New Roman" w:cs="Times New Roman"/>
                <w:sz w:val="24"/>
                <w:szCs w:val="24"/>
              </w:rPr>
              <w:t>.</w:t>
            </w:r>
          </w:p>
        </w:tc>
      </w:tr>
      <w:tr w:rsidR="00D3340F" w:rsidRPr="00C04EA2" w14:paraId="107A23EE" w14:textId="77777777" w:rsidTr="00371016">
        <w:trPr>
          <w:trHeight w:val="350"/>
        </w:trPr>
        <w:tc>
          <w:tcPr>
            <w:tcW w:w="1869" w:type="dxa"/>
          </w:tcPr>
          <w:p w14:paraId="6BA11E53" w14:textId="34ED99A2"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Abedifar</w:t>
            </w:r>
            <w:proofErr w:type="spellEnd"/>
            <w:r w:rsidRPr="00C04EA2">
              <w:rPr>
                <w:rFonts w:ascii="Times New Roman" w:hAnsi="Times New Roman" w:cs="Times New Roman"/>
                <w:sz w:val="24"/>
                <w:szCs w:val="24"/>
              </w:rPr>
              <w:t xml:space="preserve"> et. al. (2016)</w:t>
            </w:r>
            <w:r w:rsidR="00833107" w:rsidRPr="00C04EA2">
              <w:rPr>
                <w:rFonts w:ascii="Times New Roman" w:hAnsi="Times New Roman" w:cs="Times New Roman"/>
                <w:sz w:val="24"/>
                <w:szCs w:val="24"/>
              </w:rPr>
              <w:t xml:space="preserve"> </w:t>
            </w:r>
          </w:p>
        </w:tc>
        <w:tc>
          <w:tcPr>
            <w:tcW w:w="1366" w:type="dxa"/>
            <w:gridSpan w:val="2"/>
          </w:tcPr>
          <w:p w14:paraId="1F154E4D" w14:textId="739B16D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22 Islamic countries</w:t>
            </w:r>
          </w:p>
        </w:tc>
        <w:tc>
          <w:tcPr>
            <w:tcW w:w="1620" w:type="dxa"/>
          </w:tcPr>
          <w:p w14:paraId="64AB8203" w14:textId="2203E104"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Descriptive Statistics</w:t>
            </w:r>
          </w:p>
        </w:tc>
        <w:tc>
          <w:tcPr>
            <w:tcW w:w="4500" w:type="dxa"/>
          </w:tcPr>
          <w:p w14:paraId="2940B9B2" w14:textId="77777777"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Market share of Islamic banks and economic growth were found to be related.</w:t>
            </w:r>
          </w:p>
          <w:p w14:paraId="22A78A87" w14:textId="0E352E5F" w:rsidR="003734E3" w:rsidRPr="00C04EA2" w:rsidRDefault="003734E3" w:rsidP="005A30C7">
            <w:pPr>
              <w:tabs>
                <w:tab w:val="left" w:pos="3780"/>
              </w:tabs>
              <w:spacing w:line="360" w:lineRule="auto"/>
              <w:jc w:val="both"/>
              <w:rPr>
                <w:rFonts w:ascii="Times New Roman" w:hAnsi="Times New Roman" w:cs="Times New Roman"/>
                <w:sz w:val="24"/>
                <w:szCs w:val="24"/>
              </w:rPr>
            </w:pPr>
          </w:p>
        </w:tc>
      </w:tr>
      <w:tr w:rsidR="00D3340F" w:rsidRPr="00C04EA2" w14:paraId="4113ACED" w14:textId="77777777" w:rsidTr="00371016">
        <w:trPr>
          <w:trHeight w:val="350"/>
        </w:trPr>
        <w:tc>
          <w:tcPr>
            <w:tcW w:w="1869" w:type="dxa"/>
          </w:tcPr>
          <w:p w14:paraId="0C421D3E" w14:textId="1A2BAE6D"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Kassim</w:t>
            </w:r>
            <w:proofErr w:type="spellEnd"/>
            <w:r w:rsidRPr="00C04EA2">
              <w:rPr>
                <w:rFonts w:ascii="Times New Roman" w:hAnsi="Times New Roman" w:cs="Times New Roman"/>
                <w:sz w:val="24"/>
                <w:szCs w:val="24"/>
              </w:rPr>
              <w:t xml:space="preserve"> (2016)</w:t>
            </w:r>
            <w:r w:rsidR="00833107" w:rsidRPr="00C04EA2">
              <w:rPr>
                <w:rFonts w:ascii="Times New Roman" w:hAnsi="Times New Roman" w:cs="Times New Roman"/>
                <w:sz w:val="24"/>
                <w:szCs w:val="24"/>
              </w:rPr>
              <w:t xml:space="preserve"> </w:t>
            </w:r>
          </w:p>
        </w:tc>
        <w:tc>
          <w:tcPr>
            <w:tcW w:w="1366" w:type="dxa"/>
            <w:gridSpan w:val="2"/>
          </w:tcPr>
          <w:p w14:paraId="5F688666" w14:textId="5627D29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331778DC" w14:textId="392736EA"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4B25B55E" w14:textId="77777777"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has been determined that the Islamic banking system supports economic activity by funding investment initiatives.</w:t>
            </w:r>
          </w:p>
          <w:p w14:paraId="26846B43" w14:textId="501184EF" w:rsidR="003734E3" w:rsidRPr="00C04EA2" w:rsidRDefault="003734E3" w:rsidP="005A30C7">
            <w:pPr>
              <w:tabs>
                <w:tab w:val="left" w:pos="3780"/>
              </w:tabs>
              <w:spacing w:line="360" w:lineRule="auto"/>
              <w:jc w:val="both"/>
              <w:rPr>
                <w:rFonts w:ascii="Times New Roman" w:hAnsi="Times New Roman" w:cs="Times New Roman"/>
                <w:sz w:val="24"/>
                <w:szCs w:val="24"/>
              </w:rPr>
            </w:pPr>
          </w:p>
        </w:tc>
      </w:tr>
      <w:tr w:rsidR="00D3340F" w:rsidRPr="00C04EA2" w14:paraId="6F8DFBC5" w14:textId="77777777" w:rsidTr="00371016">
        <w:trPr>
          <w:trHeight w:val="350"/>
        </w:trPr>
        <w:tc>
          <w:tcPr>
            <w:tcW w:w="1869" w:type="dxa"/>
          </w:tcPr>
          <w:p w14:paraId="592989DD" w14:textId="54C7E282"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lastRenderedPageBreak/>
              <w:t>Lebdaoui</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Wild (2016)</w:t>
            </w:r>
            <w:r w:rsidR="00833107" w:rsidRPr="00C04EA2">
              <w:rPr>
                <w:rFonts w:ascii="Times New Roman" w:hAnsi="Times New Roman" w:cs="Times New Roman"/>
                <w:sz w:val="24"/>
                <w:szCs w:val="24"/>
              </w:rPr>
              <w:t xml:space="preserve"> </w:t>
            </w:r>
          </w:p>
        </w:tc>
        <w:tc>
          <w:tcPr>
            <w:tcW w:w="1366" w:type="dxa"/>
            <w:gridSpan w:val="2"/>
          </w:tcPr>
          <w:p w14:paraId="299AC405" w14:textId="0F320F4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Southeast Asian countries</w:t>
            </w:r>
          </w:p>
        </w:tc>
        <w:tc>
          <w:tcPr>
            <w:tcW w:w="1620" w:type="dxa"/>
          </w:tcPr>
          <w:p w14:paraId="1A21B8F1" w14:textId="663DF908"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Regression</w:t>
            </w:r>
          </w:p>
        </w:tc>
        <w:tc>
          <w:tcPr>
            <w:tcW w:w="4500" w:type="dxa"/>
          </w:tcPr>
          <w:p w14:paraId="16C4BE7F" w14:textId="56D49C00"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was discovered that there is a considerable long-term association between economic growth and Islamic banking, although that relationship is not applicable in the short-term</w:t>
            </w:r>
            <w:r w:rsidR="00D3340F" w:rsidRPr="00C04EA2">
              <w:rPr>
                <w:rFonts w:ascii="Times New Roman" w:hAnsi="Times New Roman" w:cs="Times New Roman"/>
                <w:sz w:val="24"/>
                <w:szCs w:val="24"/>
              </w:rPr>
              <w:t>.</w:t>
            </w:r>
          </w:p>
          <w:p w14:paraId="1AC0BFE2" w14:textId="79C1B189" w:rsidR="003734E3" w:rsidRPr="00C04EA2" w:rsidRDefault="003734E3" w:rsidP="005A30C7">
            <w:pPr>
              <w:tabs>
                <w:tab w:val="left" w:pos="3780"/>
              </w:tabs>
              <w:spacing w:line="360" w:lineRule="auto"/>
              <w:jc w:val="both"/>
              <w:rPr>
                <w:rFonts w:ascii="Times New Roman" w:hAnsi="Times New Roman" w:cs="Times New Roman"/>
                <w:sz w:val="24"/>
                <w:szCs w:val="24"/>
              </w:rPr>
            </w:pPr>
          </w:p>
        </w:tc>
      </w:tr>
      <w:tr w:rsidR="00D3340F" w:rsidRPr="00C04EA2" w14:paraId="00B819D1" w14:textId="77777777" w:rsidTr="00371016">
        <w:trPr>
          <w:trHeight w:val="350"/>
        </w:trPr>
        <w:tc>
          <w:tcPr>
            <w:tcW w:w="1869" w:type="dxa"/>
          </w:tcPr>
          <w:p w14:paraId="79E2BC0B" w14:textId="62AAC273"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Tunay</w:t>
            </w:r>
            <w:proofErr w:type="spellEnd"/>
            <w:r w:rsidRPr="00C04EA2">
              <w:rPr>
                <w:rFonts w:ascii="Times New Roman" w:hAnsi="Times New Roman" w:cs="Times New Roman"/>
                <w:sz w:val="24"/>
                <w:szCs w:val="24"/>
              </w:rPr>
              <w:t xml:space="preserve"> (2016)</w:t>
            </w:r>
            <w:r w:rsidR="00833107" w:rsidRPr="00C04EA2">
              <w:rPr>
                <w:rFonts w:ascii="Times New Roman" w:hAnsi="Times New Roman" w:cs="Times New Roman"/>
                <w:sz w:val="24"/>
                <w:szCs w:val="24"/>
              </w:rPr>
              <w:t xml:space="preserve"> </w:t>
            </w:r>
          </w:p>
        </w:tc>
        <w:tc>
          <w:tcPr>
            <w:tcW w:w="1366" w:type="dxa"/>
            <w:gridSpan w:val="2"/>
          </w:tcPr>
          <w:p w14:paraId="0A54E863" w14:textId="42CE6492"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 Islamic countries</w:t>
            </w:r>
          </w:p>
        </w:tc>
        <w:tc>
          <w:tcPr>
            <w:tcW w:w="1620" w:type="dxa"/>
          </w:tcPr>
          <w:p w14:paraId="6E5B2E3D" w14:textId="0D9389EB" w:rsidR="00D3340F" w:rsidRPr="00C04EA2" w:rsidRDefault="00D3340F"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Dumitrescu</w:t>
            </w:r>
            <w:proofErr w:type="spellEnd"/>
            <w:r w:rsidRPr="00C04EA2">
              <w:rPr>
                <w:rFonts w:ascii="Times New Roman" w:hAnsi="Times New Roman" w:cs="Times New Roman"/>
                <w:sz w:val="24"/>
                <w:szCs w:val="24"/>
              </w:rPr>
              <w:t xml:space="preserve"> and </w:t>
            </w:r>
            <w:proofErr w:type="spellStart"/>
            <w:r w:rsidRPr="00C04EA2">
              <w:rPr>
                <w:rFonts w:ascii="Times New Roman" w:hAnsi="Times New Roman" w:cs="Times New Roman"/>
                <w:sz w:val="24"/>
                <w:szCs w:val="24"/>
              </w:rPr>
              <w:t>Hurlin</w:t>
            </w:r>
            <w:proofErr w:type="spellEnd"/>
            <w:r w:rsidRPr="00C04EA2">
              <w:rPr>
                <w:rFonts w:ascii="Times New Roman" w:hAnsi="Times New Roman" w:cs="Times New Roman"/>
                <w:sz w:val="24"/>
                <w:szCs w:val="24"/>
              </w:rPr>
              <w:t xml:space="preserve"> Causality Test</w:t>
            </w:r>
          </w:p>
        </w:tc>
        <w:tc>
          <w:tcPr>
            <w:tcW w:w="4500" w:type="dxa"/>
          </w:tcPr>
          <w:p w14:paraId="3B09C42F" w14:textId="4D5BCD0D"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Islamic banks play very important role for economic growth.</w:t>
            </w:r>
          </w:p>
        </w:tc>
      </w:tr>
      <w:tr w:rsidR="00D3340F" w:rsidRPr="00C04EA2" w14:paraId="04B62507" w14:textId="77777777" w:rsidTr="00371016">
        <w:trPr>
          <w:trHeight w:val="350"/>
        </w:trPr>
        <w:tc>
          <w:tcPr>
            <w:tcW w:w="1869" w:type="dxa"/>
          </w:tcPr>
          <w:p w14:paraId="3ADA2003" w14:textId="4F69A9FC" w:rsidR="00D3340F" w:rsidRPr="00C04EA2" w:rsidRDefault="00D3340F"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Wahab et. al. (2016)</w:t>
            </w:r>
            <w:r w:rsidR="00833107" w:rsidRPr="00C04EA2">
              <w:rPr>
                <w:rFonts w:ascii="Times New Roman" w:hAnsi="Times New Roman" w:cs="Times New Roman"/>
                <w:sz w:val="24"/>
                <w:szCs w:val="24"/>
              </w:rPr>
              <w:t xml:space="preserve"> </w:t>
            </w:r>
          </w:p>
        </w:tc>
        <w:tc>
          <w:tcPr>
            <w:tcW w:w="1366" w:type="dxa"/>
            <w:gridSpan w:val="2"/>
          </w:tcPr>
          <w:p w14:paraId="5D0AE1C3" w14:textId="1A141483"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 and Pakistan</w:t>
            </w:r>
          </w:p>
        </w:tc>
        <w:tc>
          <w:tcPr>
            <w:tcW w:w="1620" w:type="dxa"/>
          </w:tcPr>
          <w:p w14:paraId="30EAA809" w14:textId="47DF20E9"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Engle Granger Cointegration Analysis</w:t>
            </w:r>
          </w:p>
        </w:tc>
        <w:tc>
          <w:tcPr>
            <w:tcW w:w="4500" w:type="dxa"/>
          </w:tcPr>
          <w:p w14:paraId="092C0D51" w14:textId="77777777"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 Malaysia, but not in Pakistan, there is a considerable correlation between Islamic financing and economic growth.</w:t>
            </w:r>
          </w:p>
          <w:p w14:paraId="353D1E0A" w14:textId="6F14B9E2" w:rsidR="003734E3" w:rsidRPr="00C04EA2" w:rsidRDefault="003734E3" w:rsidP="005A30C7">
            <w:pPr>
              <w:tabs>
                <w:tab w:val="left" w:pos="3780"/>
              </w:tabs>
              <w:spacing w:line="360" w:lineRule="auto"/>
              <w:jc w:val="both"/>
              <w:rPr>
                <w:rFonts w:ascii="Times New Roman" w:hAnsi="Times New Roman" w:cs="Times New Roman"/>
                <w:sz w:val="24"/>
                <w:szCs w:val="24"/>
              </w:rPr>
            </w:pPr>
          </w:p>
        </w:tc>
      </w:tr>
      <w:tr w:rsidR="002908C2" w:rsidRPr="00C04EA2" w14:paraId="38D7CDD6" w14:textId="77777777" w:rsidTr="00371016">
        <w:trPr>
          <w:trHeight w:val="350"/>
        </w:trPr>
        <w:tc>
          <w:tcPr>
            <w:tcW w:w="1869" w:type="dxa"/>
          </w:tcPr>
          <w:p w14:paraId="3C9DC97A" w14:textId="04227D40"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Yüksel</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Canöz</w:t>
            </w:r>
            <w:proofErr w:type="spellEnd"/>
            <w:r w:rsidRPr="00C04EA2">
              <w:rPr>
                <w:rFonts w:ascii="Times New Roman" w:hAnsi="Times New Roman" w:cs="Times New Roman"/>
                <w:sz w:val="24"/>
                <w:szCs w:val="24"/>
              </w:rPr>
              <w:t xml:space="preserve"> (2017)</w:t>
            </w:r>
          </w:p>
        </w:tc>
        <w:tc>
          <w:tcPr>
            <w:tcW w:w="1366" w:type="dxa"/>
            <w:gridSpan w:val="2"/>
          </w:tcPr>
          <w:p w14:paraId="0C4717CD" w14:textId="1E7C63E2"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1E68DC15" w14:textId="0A75FE75"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VAR Granger Causality Analysis</w:t>
            </w:r>
          </w:p>
        </w:tc>
        <w:tc>
          <w:tcPr>
            <w:tcW w:w="4500" w:type="dxa"/>
          </w:tcPr>
          <w:p w14:paraId="768D6FF8"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 study found that the growth of the economy and industry was not significantly impacted by loans from Islamic banks.</w:t>
            </w:r>
          </w:p>
          <w:p w14:paraId="37CFC57B"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p>
        </w:tc>
      </w:tr>
      <w:tr w:rsidR="00D3340F" w:rsidRPr="00C04EA2" w14:paraId="733A79E9" w14:textId="77777777" w:rsidTr="00371016">
        <w:trPr>
          <w:trHeight w:val="350"/>
        </w:trPr>
        <w:tc>
          <w:tcPr>
            <w:tcW w:w="1869" w:type="dxa"/>
          </w:tcPr>
          <w:p w14:paraId="3756F649" w14:textId="39475BFE" w:rsidR="00D3340F" w:rsidRPr="00C04EA2" w:rsidRDefault="00D3340F"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Boukhatem</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Ben Moussa (2018)</w:t>
            </w:r>
          </w:p>
        </w:tc>
        <w:tc>
          <w:tcPr>
            <w:tcW w:w="1366" w:type="dxa"/>
            <w:gridSpan w:val="2"/>
          </w:tcPr>
          <w:p w14:paraId="1E331A93" w14:textId="77DE56BC" w:rsidR="00D3340F" w:rsidRPr="00C04EA2" w:rsidRDefault="00D3340F"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13 countries in the MENA region</w:t>
            </w:r>
          </w:p>
        </w:tc>
        <w:tc>
          <w:tcPr>
            <w:tcW w:w="1620" w:type="dxa"/>
          </w:tcPr>
          <w:p w14:paraId="76D30D39" w14:textId="07DFE216" w:rsidR="00D3340F" w:rsidRPr="00C04EA2" w:rsidRDefault="00D3340F"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Pedroni</w:t>
            </w:r>
            <w:proofErr w:type="spellEnd"/>
            <w:r w:rsidRPr="00C04EA2">
              <w:rPr>
                <w:rFonts w:ascii="Times New Roman" w:hAnsi="Times New Roman" w:cs="Times New Roman"/>
                <w:sz w:val="24"/>
                <w:szCs w:val="24"/>
              </w:rPr>
              <w:t xml:space="preserve"> and </w:t>
            </w:r>
            <w:proofErr w:type="spellStart"/>
            <w:r w:rsidRPr="00C04EA2">
              <w:rPr>
                <w:rFonts w:ascii="Times New Roman" w:hAnsi="Times New Roman" w:cs="Times New Roman"/>
                <w:sz w:val="24"/>
                <w:szCs w:val="24"/>
              </w:rPr>
              <w:t>Westerlund</w:t>
            </w:r>
            <w:proofErr w:type="spellEnd"/>
            <w:r w:rsidRPr="00C04EA2">
              <w:rPr>
                <w:rFonts w:ascii="Times New Roman" w:hAnsi="Times New Roman" w:cs="Times New Roman"/>
                <w:sz w:val="24"/>
                <w:szCs w:val="24"/>
              </w:rPr>
              <w:t xml:space="preserve"> </w:t>
            </w:r>
            <w:r w:rsidR="000A4A4F" w:rsidRPr="00C04EA2">
              <w:rPr>
                <w:rFonts w:ascii="Times New Roman" w:hAnsi="Times New Roman" w:cs="Times New Roman"/>
                <w:sz w:val="24"/>
                <w:szCs w:val="24"/>
              </w:rPr>
              <w:t>P</w:t>
            </w:r>
            <w:r w:rsidRPr="00C04EA2">
              <w:rPr>
                <w:rFonts w:ascii="Times New Roman" w:hAnsi="Times New Roman" w:cs="Times New Roman"/>
                <w:sz w:val="24"/>
                <w:szCs w:val="24"/>
              </w:rPr>
              <w:t xml:space="preserve">anel </w:t>
            </w:r>
            <w:r w:rsidR="000A4A4F" w:rsidRPr="00C04EA2">
              <w:rPr>
                <w:rFonts w:ascii="Times New Roman" w:hAnsi="Times New Roman" w:cs="Times New Roman"/>
                <w:sz w:val="24"/>
                <w:szCs w:val="24"/>
              </w:rPr>
              <w:t>C</w:t>
            </w:r>
            <w:r w:rsidRPr="00C04EA2">
              <w:rPr>
                <w:rFonts w:ascii="Times New Roman" w:hAnsi="Times New Roman" w:cs="Times New Roman"/>
                <w:sz w:val="24"/>
                <w:szCs w:val="24"/>
              </w:rPr>
              <w:t xml:space="preserve">ointegration </w:t>
            </w:r>
            <w:r w:rsidR="000A4A4F" w:rsidRPr="00C04EA2">
              <w:rPr>
                <w:rFonts w:ascii="Times New Roman" w:hAnsi="Times New Roman" w:cs="Times New Roman"/>
                <w:sz w:val="24"/>
                <w:szCs w:val="24"/>
              </w:rPr>
              <w:t>T</w:t>
            </w:r>
            <w:r w:rsidRPr="00C04EA2">
              <w:rPr>
                <w:rFonts w:ascii="Times New Roman" w:hAnsi="Times New Roman" w:cs="Times New Roman"/>
                <w:sz w:val="24"/>
                <w:szCs w:val="24"/>
              </w:rPr>
              <w:t>est</w:t>
            </w:r>
          </w:p>
        </w:tc>
        <w:tc>
          <w:tcPr>
            <w:tcW w:w="4500" w:type="dxa"/>
          </w:tcPr>
          <w:p w14:paraId="19AF4017" w14:textId="053A7960" w:rsidR="00D3340F" w:rsidRPr="00C04EA2" w:rsidRDefault="003734E3"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 expansion of the banking system encouraged economic growth in the MENA countries that were chosen, </w:t>
            </w:r>
            <w:r w:rsidR="000F398E" w:rsidRPr="00C04EA2">
              <w:rPr>
                <w:rFonts w:ascii="Times New Roman" w:hAnsi="Times New Roman" w:cs="Times New Roman"/>
                <w:sz w:val="24"/>
                <w:szCs w:val="24"/>
              </w:rPr>
              <w:t>and</w:t>
            </w:r>
            <w:r w:rsidRPr="00C04EA2">
              <w:rPr>
                <w:rFonts w:ascii="Times New Roman" w:hAnsi="Times New Roman" w:cs="Times New Roman"/>
                <w:sz w:val="24"/>
                <w:szCs w:val="24"/>
              </w:rPr>
              <w:t xml:space="preserve"> </w:t>
            </w:r>
            <w:r w:rsidR="000F398E" w:rsidRPr="00C04EA2">
              <w:rPr>
                <w:rFonts w:ascii="Times New Roman" w:hAnsi="Times New Roman" w:cs="Times New Roman"/>
                <w:sz w:val="24"/>
                <w:szCs w:val="24"/>
              </w:rPr>
              <w:t>impact positively</w:t>
            </w:r>
            <w:r w:rsidRPr="00C04EA2">
              <w:rPr>
                <w:rFonts w:ascii="Times New Roman" w:hAnsi="Times New Roman" w:cs="Times New Roman"/>
                <w:sz w:val="24"/>
                <w:szCs w:val="24"/>
              </w:rPr>
              <w:t>.</w:t>
            </w:r>
          </w:p>
        </w:tc>
      </w:tr>
      <w:tr w:rsidR="002908C2" w:rsidRPr="00C04EA2" w14:paraId="370E54BC" w14:textId="77777777" w:rsidTr="00371016">
        <w:trPr>
          <w:trHeight w:val="350"/>
        </w:trPr>
        <w:tc>
          <w:tcPr>
            <w:tcW w:w="1869" w:type="dxa"/>
          </w:tcPr>
          <w:p w14:paraId="72C30F35" w14:textId="0BCF58B5"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Atici</w:t>
            </w:r>
            <w:proofErr w:type="spellEnd"/>
            <w:r w:rsidRPr="00C04EA2">
              <w:rPr>
                <w:rFonts w:ascii="Times New Roman" w:hAnsi="Times New Roman" w:cs="Times New Roman"/>
                <w:sz w:val="24"/>
                <w:szCs w:val="24"/>
              </w:rPr>
              <w:t xml:space="preserve"> (2018)</w:t>
            </w:r>
          </w:p>
        </w:tc>
        <w:tc>
          <w:tcPr>
            <w:tcW w:w="1366" w:type="dxa"/>
            <w:gridSpan w:val="2"/>
          </w:tcPr>
          <w:p w14:paraId="402B5313" w14:textId="23C473B6"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591ECC41" w14:textId="57C1D51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Granger Causality test</w:t>
            </w:r>
          </w:p>
        </w:tc>
        <w:tc>
          <w:tcPr>
            <w:tcW w:w="4500" w:type="dxa"/>
          </w:tcPr>
          <w:p w14:paraId="0D4FE425"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identified considerable long-term unidirectional connection between Islamic (participation) banking and economic growth</w:t>
            </w:r>
          </w:p>
          <w:p w14:paraId="0D8EB6FA"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p>
        </w:tc>
      </w:tr>
      <w:tr w:rsidR="002908C2" w:rsidRPr="00C04EA2" w14:paraId="0CBAD0BB" w14:textId="77777777" w:rsidTr="00371016">
        <w:trPr>
          <w:trHeight w:val="350"/>
        </w:trPr>
        <w:tc>
          <w:tcPr>
            <w:tcW w:w="1869" w:type="dxa"/>
          </w:tcPr>
          <w:p w14:paraId="62F370C7" w14:textId="1819F85B" w:rsidR="002908C2" w:rsidRPr="00C04EA2" w:rsidRDefault="002908C2"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Jawad</w:t>
            </w:r>
            <w:r w:rsidR="00F14DB3"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Christian (2019)</w:t>
            </w:r>
          </w:p>
        </w:tc>
        <w:tc>
          <w:tcPr>
            <w:tcW w:w="1366" w:type="dxa"/>
            <w:gridSpan w:val="2"/>
          </w:tcPr>
          <w:p w14:paraId="303A7FB9" w14:textId="2222A2C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 24 countries</w:t>
            </w:r>
          </w:p>
        </w:tc>
        <w:tc>
          <w:tcPr>
            <w:tcW w:w="1620" w:type="dxa"/>
          </w:tcPr>
          <w:p w14:paraId="4DB077A2" w14:textId="4E55CBD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Panel Co-Integration Test and </w:t>
            </w:r>
            <w:r w:rsidRPr="00C04EA2">
              <w:rPr>
                <w:rFonts w:ascii="Times New Roman" w:hAnsi="Times New Roman" w:cs="Times New Roman"/>
                <w:sz w:val="24"/>
                <w:szCs w:val="24"/>
              </w:rPr>
              <w:lastRenderedPageBreak/>
              <w:t>Granger Causality Test</w:t>
            </w:r>
          </w:p>
        </w:tc>
        <w:tc>
          <w:tcPr>
            <w:tcW w:w="4500" w:type="dxa"/>
          </w:tcPr>
          <w:p w14:paraId="05EA6895" w14:textId="13DC3A3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They recognized that Islamic Banking Development (IBD) affect economic growth positively and was a long run relationship between IBD and economic growth.</w:t>
            </w:r>
          </w:p>
        </w:tc>
      </w:tr>
      <w:tr w:rsidR="002908C2" w:rsidRPr="00C04EA2" w14:paraId="7330B4D6" w14:textId="77777777" w:rsidTr="00371016">
        <w:trPr>
          <w:trHeight w:val="350"/>
        </w:trPr>
        <w:tc>
          <w:tcPr>
            <w:tcW w:w="1869" w:type="dxa"/>
          </w:tcPr>
          <w:p w14:paraId="6F1F2DD1" w14:textId="7EA46769"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Afandi</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Amin (2019)</w:t>
            </w:r>
          </w:p>
        </w:tc>
        <w:tc>
          <w:tcPr>
            <w:tcW w:w="1366" w:type="dxa"/>
            <w:gridSpan w:val="2"/>
          </w:tcPr>
          <w:p w14:paraId="1A2D8D76" w14:textId="58B88C58" w:rsidR="002908C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609895F2" w14:textId="54BCC281" w:rsidR="002908C2" w:rsidRPr="00C04EA2" w:rsidRDefault="00D01152"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Regression</w:t>
            </w:r>
          </w:p>
        </w:tc>
        <w:tc>
          <w:tcPr>
            <w:tcW w:w="4500" w:type="dxa"/>
          </w:tcPr>
          <w:p w14:paraId="79086D24" w14:textId="77777777" w:rsidR="00D0115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 findings indicate that Islamic bank financing has no bearing on economic growth.</w:t>
            </w:r>
          </w:p>
          <w:p w14:paraId="58BD59F3"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p>
        </w:tc>
      </w:tr>
      <w:tr w:rsidR="002908C2" w:rsidRPr="00C04EA2" w14:paraId="7774D6EB" w14:textId="77777777" w:rsidTr="00371016">
        <w:trPr>
          <w:trHeight w:val="350"/>
        </w:trPr>
        <w:tc>
          <w:tcPr>
            <w:tcW w:w="1869" w:type="dxa"/>
          </w:tcPr>
          <w:p w14:paraId="76D6C8AD" w14:textId="76A1F11D" w:rsidR="002908C2" w:rsidRPr="00C04EA2" w:rsidRDefault="002908C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Nasution</w:t>
            </w:r>
            <w:proofErr w:type="spellEnd"/>
            <w:r w:rsidRPr="00C04EA2">
              <w:rPr>
                <w:rFonts w:ascii="Times New Roman" w:hAnsi="Times New Roman" w:cs="Times New Roman"/>
                <w:sz w:val="24"/>
                <w:szCs w:val="24"/>
              </w:rPr>
              <w:t xml:space="preserve"> et al. (2019)</w:t>
            </w:r>
          </w:p>
        </w:tc>
        <w:tc>
          <w:tcPr>
            <w:tcW w:w="1366" w:type="dxa"/>
            <w:gridSpan w:val="2"/>
          </w:tcPr>
          <w:p w14:paraId="28DD9760" w14:textId="6135662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58050189" w14:textId="5786F924"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Mediation of Profitability</w:t>
            </w:r>
          </w:p>
        </w:tc>
        <w:tc>
          <w:tcPr>
            <w:tcW w:w="4500" w:type="dxa"/>
          </w:tcPr>
          <w:p w14:paraId="1C91791A"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discovered that CAR, NPF, FDR, and BOPO have a marginally negative direct impact on ROA. However, ROA has a positive and substantial direct impact on economic growth.</w:t>
            </w:r>
          </w:p>
          <w:p w14:paraId="5318BF6F"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p>
        </w:tc>
      </w:tr>
      <w:tr w:rsidR="002908C2" w:rsidRPr="00C04EA2" w14:paraId="4C0166C1" w14:textId="77777777" w:rsidTr="00371016">
        <w:trPr>
          <w:trHeight w:val="350"/>
        </w:trPr>
        <w:tc>
          <w:tcPr>
            <w:tcW w:w="1869" w:type="dxa"/>
          </w:tcPr>
          <w:p w14:paraId="0B18DB6C" w14:textId="3F46172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Faculty of Entrepreneurship and Business, </w:t>
            </w:r>
            <w:proofErr w:type="spellStart"/>
            <w:r w:rsidRPr="00C04EA2">
              <w:rPr>
                <w:rFonts w:ascii="Times New Roman" w:hAnsi="Times New Roman" w:cs="Times New Roman"/>
                <w:sz w:val="24"/>
                <w:szCs w:val="24"/>
              </w:rPr>
              <w:t>Universiti</w:t>
            </w:r>
            <w:proofErr w:type="spellEnd"/>
            <w:r w:rsidRPr="00C04EA2">
              <w:rPr>
                <w:rFonts w:ascii="Times New Roman" w:hAnsi="Times New Roman" w:cs="Times New Roman"/>
                <w:sz w:val="24"/>
                <w:szCs w:val="24"/>
              </w:rPr>
              <w:t xml:space="preserve"> Malaysia Kelantan (2020)</w:t>
            </w:r>
          </w:p>
        </w:tc>
        <w:tc>
          <w:tcPr>
            <w:tcW w:w="1366" w:type="dxa"/>
            <w:gridSpan w:val="2"/>
          </w:tcPr>
          <w:p w14:paraId="53A6784E" w14:textId="4D27F3C8"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Malaysia</w:t>
            </w:r>
          </w:p>
        </w:tc>
        <w:tc>
          <w:tcPr>
            <w:tcW w:w="1620" w:type="dxa"/>
          </w:tcPr>
          <w:p w14:paraId="32759927" w14:textId="0578E886"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648135FF" w14:textId="5B7FF01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demonstrated a connection between economic growth and Islamic finance.</w:t>
            </w:r>
          </w:p>
        </w:tc>
      </w:tr>
      <w:tr w:rsidR="002908C2" w:rsidRPr="00C04EA2" w14:paraId="13AE0963" w14:textId="77777777" w:rsidTr="00371016">
        <w:trPr>
          <w:trHeight w:val="350"/>
        </w:trPr>
        <w:tc>
          <w:tcPr>
            <w:tcW w:w="1869" w:type="dxa"/>
          </w:tcPr>
          <w:p w14:paraId="487D80B3" w14:textId="3F7EAF9B" w:rsidR="002908C2" w:rsidRPr="00C04EA2" w:rsidRDefault="002908C2"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M. Anwar et. al. (2020)</w:t>
            </w:r>
          </w:p>
        </w:tc>
        <w:tc>
          <w:tcPr>
            <w:tcW w:w="1366" w:type="dxa"/>
            <w:gridSpan w:val="2"/>
          </w:tcPr>
          <w:p w14:paraId="11BF2BF8" w14:textId="1427FB5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Indonesia</w:t>
            </w:r>
          </w:p>
        </w:tc>
        <w:tc>
          <w:tcPr>
            <w:tcW w:w="1620" w:type="dxa"/>
          </w:tcPr>
          <w:p w14:paraId="0D63B67E" w14:textId="156B0AD4"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ARDL </w:t>
            </w:r>
          </w:p>
        </w:tc>
        <w:tc>
          <w:tcPr>
            <w:tcW w:w="4500" w:type="dxa"/>
          </w:tcPr>
          <w:p w14:paraId="7E3E5E44"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There is a strong correlation between IIB offices and deposits and economic growth in both the short- and long-term. There is proof that the Islamic bank and economic growth are mutually reinforcing.</w:t>
            </w:r>
          </w:p>
          <w:p w14:paraId="455CC994" w14:textId="3C35FD2C" w:rsidR="002908C2" w:rsidRPr="00C04EA2" w:rsidRDefault="002908C2" w:rsidP="005A30C7">
            <w:pPr>
              <w:tabs>
                <w:tab w:val="left" w:pos="3780"/>
              </w:tabs>
              <w:spacing w:line="360" w:lineRule="auto"/>
              <w:jc w:val="both"/>
              <w:rPr>
                <w:rFonts w:ascii="Times New Roman" w:hAnsi="Times New Roman" w:cs="Times New Roman"/>
                <w:sz w:val="24"/>
                <w:szCs w:val="24"/>
              </w:rPr>
            </w:pPr>
          </w:p>
        </w:tc>
      </w:tr>
      <w:tr w:rsidR="002908C2" w:rsidRPr="00C04EA2" w14:paraId="370C0797" w14:textId="77777777" w:rsidTr="00371016">
        <w:trPr>
          <w:trHeight w:val="350"/>
        </w:trPr>
        <w:tc>
          <w:tcPr>
            <w:tcW w:w="1869" w:type="dxa"/>
          </w:tcPr>
          <w:p w14:paraId="273713E8" w14:textId="2AFE669D" w:rsidR="002908C2" w:rsidRPr="00C04EA2" w:rsidRDefault="002908C2"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Osmanovica</w:t>
            </w:r>
            <w:proofErr w:type="spellEnd"/>
            <w:r w:rsidRPr="00C04EA2">
              <w:rPr>
                <w:rFonts w:ascii="Times New Roman" w:hAnsi="Times New Roman" w:cs="Times New Roman"/>
                <w:sz w:val="24"/>
                <w:szCs w:val="24"/>
              </w:rPr>
              <w:t xml:space="preserve"> et. al. (2020)</w:t>
            </w:r>
          </w:p>
        </w:tc>
        <w:tc>
          <w:tcPr>
            <w:tcW w:w="1366" w:type="dxa"/>
            <w:gridSpan w:val="2"/>
          </w:tcPr>
          <w:p w14:paraId="070377A3" w14:textId="0AC76F23"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UAE</w:t>
            </w:r>
          </w:p>
        </w:tc>
        <w:tc>
          <w:tcPr>
            <w:tcW w:w="1620" w:type="dxa"/>
          </w:tcPr>
          <w:p w14:paraId="547E80E5" w14:textId="57234AC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 Qualitative Research Paradigm</w:t>
            </w:r>
          </w:p>
        </w:tc>
        <w:tc>
          <w:tcPr>
            <w:tcW w:w="4500" w:type="dxa"/>
          </w:tcPr>
          <w:p w14:paraId="1423A8B6" w14:textId="70F035D2"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Around 8.3% of the GDP in 2018 was contributed by Islamic financial institutions.</w:t>
            </w:r>
          </w:p>
        </w:tc>
      </w:tr>
      <w:tr w:rsidR="002908C2" w:rsidRPr="00C04EA2" w14:paraId="29915577" w14:textId="77777777" w:rsidTr="00371016">
        <w:trPr>
          <w:trHeight w:val="350"/>
        </w:trPr>
        <w:tc>
          <w:tcPr>
            <w:tcW w:w="1869" w:type="dxa"/>
          </w:tcPr>
          <w:p w14:paraId="77EF2606" w14:textId="3C7F2D59" w:rsidR="002908C2" w:rsidRPr="00C04EA2" w:rsidRDefault="002908C2" w:rsidP="005A30C7">
            <w:pPr>
              <w:tabs>
                <w:tab w:val="left" w:pos="3780"/>
              </w:tabs>
              <w:spacing w:line="360" w:lineRule="auto"/>
              <w:jc w:val="both"/>
              <w:rPr>
                <w:rFonts w:ascii="Times New Roman" w:hAnsi="Times New Roman" w:cs="Times New Roman"/>
                <w:b/>
                <w:sz w:val="24"/>
                <w:szCs w:val="24"/>
              </w:rPr>
            </w:pPr>
            <w:proofErr w:type="spellStart"/>
            <w:r w:rsidRPr="00C04EA2">
              <w:rPr>
                <w:rFonts w:ascii="Times New Roman" w:hAnsi="Times New Roman" w:cs="Times New Roman"/>
                <w:sz w:val="24"/>
                <w:szCs w:val="24"/>
              </w:rPr>
              <w:t>Bendriouch</w:t>
            </w:r>
            <w:proofErr w:type="spellEnd"/>
            <w:r w:rsidRPr="00C04EA2">
              <w:rPr>
                <w:rFonts w:ascii="Times New Roman" w:hAnsi="Times New Roman" w:cs="Times New Roman"/>
                <w:sz w:val="24"/>
                <w:szCs w:val="24"/>
              </w:rPr>
              <w:t xml:space="preserve"> et al. (2020)</w:t>
            </w:r>
          </w:p>
        </w:tc>
        <w:tc>
          <w:tcPr>
            <w:tcW w:w="1366" w:type="dxa"/>
            <w:gridSpan w:val="2"/>
          </w:tcPr>
          <w:p w14:paraId="2C92A95E" w14:textId="6E69D03C"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GCC countries</w:t>
            </w:r>
          </w:p>
        </w:tc>
        <w:tc>
          <w:tcPr>
            <w:tcW w:w="1620" w:type="dxa"/>
          </w:tcPr>
          <w:p w14:paraId="50DFB9E4" w14:textId="290759EA"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Structural Equation Model</w:t>
            </w:r>
          </w:p>
        </w:tc>
        <w:tc>
          <w:tcPr>
            <w:tcW w:w="4500" w:type="dxa"/>
          </w:tcPr>
          <w:p w14:paraId="0B104BB0" w14:textId="77777777" w:rsidR="002908C2" w:rsidRPr="00C04EA2" w:rsidRDefault="002908C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 significant correlation between economic growth and Islamic banks, notably in the years following the global financial crisis</w:t>
            </w:r>
            <w:r w:rsidR="00B51579" w:rsidRPr="00C04EA2">
              <w:rPr>
                <w:rFonts w:ascii="Times New Roman" w:hAnsi="Times New Roman" w:cs="Times New Roman"/>
                <w:sz w:val="24"/>
                <w:szCs w:val="24"/>
              </w:rPr>
              <w:t>.</w:t>
            </w:r>
          </w:p>
          <w:p w14:paraId="31EB43B5" w14:textId="1D2E0F5E" w:rsidR="00B51579" w:rsidRPr="00C04EA2" w:rsidRDefault="00B51579" w:rsidP="005A30C7">
            <w:pPr>
              <w:tabs>
                <w:tab w:val="left" w:pos="3780"/>
              </w:tabs>
              <w:spacing w:line="360" w:lineRule="auto"/>
              <w:jc w:val="both"/>
              <w:rPr>
                <w:rFonts w:ascii="Times New Roman" w:hAnsi="Times New Roman" w:cs="Times New Roman"/>
                <w:sz w:val="24"/>
                <w:szCs w:val="24"/>
              </w:rPr>
            </w:pPr>
          </w:p>
        </w:tc>
      </w:tr>
      <w:tr w:rsidR="00D01152" w:rsidRPr="00C04EA2" w14:paraId="3DDC0F6E" w14:textId="77777777" w:rsidTr="00371016">
        <w:trPr>
          <w:trHeight w:val="350"/>
        </w:trPr>
        <w:tc>
          <w:tcPr>
            <w:tcW w:w="1869" w:type="dxa"/>
          </w:tcPr>
          <w:p w14:paraId="1CCE2ECF" w14:textId="6481B532" w:rsidR="00D01152" w:rsidRPr="00C04EA2" w:rsidRDefault="00D01152" w:rsidP="005A30C7">
            <w:pPr>
              <w:tabs>
                <w:tab w:val="left" w:pos="3780"/>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lastRenderedPageBreak/>
              <w:t>Sekmen</w:t>
            </w:r>
            <w:proofErr w:type="spellEnd"/>
            <w:r w:rsidRPr="00C04EA2">
              <w:rPr>
                <w:rFonts w:ascii="Times New Roman" w:hAnsi="Times New Roman" w:cs="Times New Roman"/>
                <w:sz w:val="24"/>
                <w:szCs w:val="24"/>
              </w:rPr>
              <w:t xml:space="preserve"> (2021)</w:t>
            </w:r>
          </w:p>
        </w:tc>
        <w:tc>
          <w:tcPr>
            <w:tcW w:w="1366" w:type="dxa"/>
            <w:gridSpan w:val="2"/>
          </w:tcPr>
          <w:p w14:paraId="2CE6757F" w14:textId="2104F6A6" w:rsidR="00D0115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Turkey</w:t>
            </w:r>
          </w:p>
        </w:tc>
        <w:tc>
          <w:tcPr>
            <w:tcW w:w="1620" w:type="dxa"/>
          </w:tcPr>
          <w:p w14:paraId="203648C1" w14:textId="4063C072" w:rsidR="00D0115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ARDL</w:t>
            </w:r>
          </w:p>
        </w:tc>
        <w:tc>
          <w:tcPr>
            <w:tcW w:w="4500" w:type="dxa"/>
          </w:tcPr>
          <w:p w14:paraId="72FF6A85" w14:textId="77777777" w:rsidR="00D01152" w:rsidRPr="00C04EA2" w:rsidRDefault="00D01152"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They determined the financial sector still only includes a very modest amount of Islamic banking.</w:t>
            </w:r>
          </w:p>
          <w:p w14:paraId="5D91CFC1" w14:textId="0B345DCE" w:rsidR="00B51579" w:rsidRPr="00C04EA2" w:rsidRDefault="00B51579" w:rsidP="005A30C7">
            <w:pPr>
              <w:tabs>
                <w:tab w:val="left" w:pos="3780"/>
              </w:tabs>
              <w:spacing w:line="360" w:lineRule="auto"/>
              <w:jc w:val="both"/>
              <w:rPr>
                <w:rFonts w:ascii="Times New Roman" w:hAnsi="Times New Roman" w:cs="Times New Roman"/>
                <w:sz w:val="24"/>
                <w:szCs w:val="24"/>
              </w:rPr>
            </w:pPr>
          </w:p>
        </w:tc>
      </w:tr>
    </w:tbl>
    <w:p w14:paraId="6491BC79" w14:textId="3CE4437D" w:rsidR="005A3758" w:rsidRPr="00C04EA2" w:rsidRDefault="005A3758" w:rsidP="005A30C7">
      <w:pPr>
        <w:tabs>
          <w:tab w:val="left" w:pos="3780"/>
        </w:tabs>
        <w:spacing w:line="360" w:lineRule="auto"/>
        <w:jc w:val="both"/>
        <w:rPr>
          <w:rFonts w:ascii="Times New Roman" w:hAnsi="Times New Roman" w:cs="Times New Roman"/>
          <w:b/>
          <w:sz w:val="24"/>
          <w:szCs w:val="24"/>
        </w:rPr>
      </w:pPr>
    </w:p>
    <w:p w14:paraId="4E57D93F" w14:textId="46CCAB5E" w:rsidR="00B52BC8" w:rsidRPr="00C04EA2" w:rsidRDefault="00051C2A"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Table 1 demonstrates the abundance of studies highlighting the link between the Islamic banking system and economic growth. </w:t>
      </w:r>
      <w:proofErr w:type="spellStart"/>
      <w:r w:rsidRPr="00C04EA2">
        <w:rPr>
          <w:rFonts w:ascii="Times New Roman" w:hAnsi="Times New Roman" w:cs="Times New Roman"/>
          <w:sz w:val="24"/>
          <w:szCs w:val="24"/>
        </w:rPr>
        <w:t>Furqani</w:t>
      </w:r>
      <w:proofErr w:type="spellEnd"/>
      <w:r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Mulyayn</w:t>
      </w:r>
      <w:proofErr w:type="spellEnd"/>
      <w:r w:rsidRPr="00C04EA2">
        <w:rPr>
          <w:rFonts w:ascii="Times New Roman" w:hAnsi="Times New Roman" w:cs="Times New Roman"/>
          <w:sz w:val="24"/>
          <w:szCs w:val="24"/>
        </w:rPr>
        <w:t xml:space="preserve"> (2009) </w:t>
      </w:r>
      <w:r w:rsidR="00A322E1" w:rsidRPr="00C04EA2">
        <w:rPr>
          <w:rFonts w:ascii="Times New Roman" w:hAnsi="Times New Roman" w:cs="Times New Roman"/>
          <w:sz w:val="24"/>
          <w:szCs w:val="24"/>
        </w:rPr>
        <w:t>directed investigation</w:t>
      </w:r>
      <w:r w:rsidRPr="00C04EA2">
        <w:rPr>
          <w:rFonts w:ascii="Times New Roman" w:hAnsi="Times New Roman" w:cs="Times New Roman"/>
          <w:sz w:val="24"/>
          <w:szCs w:val="24"/>
        </w:rPr>
        <w:t xml:space="preserve"> in </w:t>
      </w:r>
      <w:r w:rsidR="00A322E1" w:rsidRPr="00C04EA2">
        <w:rPr>
          <w:rFonts w:ascii="Times New Roman" w:hAnsi="Times New Roman" w:cs="Times New Roman"/>
          <w:sz w:val="24"/>
          <w:szCs w:val="24"/>
        </w:rPr>
        <w:t xml:space="preserve">case of </w:t>
      </w:r>
      <w:r w:rsidRPr="00C04EA2">
        <w:rPr>
          <w:rFonts w:ascii="Times New Roman" w:hAnsi="Times New Roman" w:cs="Times New Roman"/>
          <w:sz w:val="24"/>
          <w:szCs w:val="24"/>
        </w:rPr>
        <w:t xml:space="preserve">Malaysia to </w:t>
      </w:r>
      <w:r w:rsidR="00A322E1" w:rsidRPr="00C04EA2">
        <w:rPr>
          <w:rFonts w:ascii="Times New Roman" w:hAnsi="Times New Roman" w:cs="Times New Roman"/>
          <w:sz w:val="24"/>
          <w:szCs w:val="24"/>
        </w:rPr>
        <w:t>find out</w:t>
      </w:r>
      <w:r w:rsidRPr="00C04EA2">
        <w:rPr>
          <w:rFonts w:ascii="Times New Roman" w:hAnsi="Times New Roman" w:cs="Times New Roman"/>
          <w:sz w:val="24"/>
          <w:szCs w:val="24"/>
        </w:rPr>
        <w:t xml:space="preserve"> this connection. </w:t>
      </w:r>
      <w:r w:rsidR="00DF6416" w:rsidRPr="00C04EA2">
        <w:rPr>
          <w:rFonts w:ascii="Times New Roman" w:hAnsi="Times New Roman" w:cs="Times New Roman"/>
          <w:sz w:val="24"/>
          <w:szCs w:val="24"/>
        </w:rPr>
        <w:t>To</w:t>
      </w:r>
      <w:r w:rsidRPr="00C04EA2">
        <w:rPr>
          <w:rFonts w:ascii="Times New Roman" w:hAnsi="Times New Roman" w:cs="Times New Roman"/>
          <w:sz w:val="24"/>
          <w:szCs w:val="24"/>
        </w:rPr>
        <w:t xml:space="preserve"> accomplish this, they thought about using </w:t>
      </w:r>
      <w:r w:rsidR="009E7607" w:rsidRPr="00C04EA2">
        <w:rPr>
          <w:rFonts w:ascii="Times New Roman" w:hAnsi="Times New Roman" w:cs="Times New Roman"/>
          <w:sz w:val="24"/>
          <w:szCs w:val="24"/>
        </w:rPr>
        <w:t>‘J</w:t>
      </w:r>
      <w:r w:rsidRPr="00C04EA2">
        <w:rPr>
          <w:rFonts w:ascii="Times New Roman" w:hAnsi="Times New Roman" w:cs="Times New Roman"/>
          <w:sz w:val="24"/>
          <w:szCs w:val="24"/>
        </w:rPr>
        <w:t xml:space="preserve">ohansen </w:t>
      </w:r>
      <w:r w:rsidR="009E7607" w:rsidRPr="00C04EA2">
        <w:rPr>
          <w:rFonts w:ascii="Times New Roman" w:hAnsi="Times New Roman" w:cs="Times New Roman"/>
          <w:sz w:val="24"/>
          <w:szCs w:val="24"/>
        </w:rPr>
        <w:t>C</w:t>
      </w:r>
      <w:r w:rsidRPr="00C04EA2">
        <w:rPr>
          <w:rFonts w:ascii="Times New Roman" w:hAnsi="Times New Roman" w:cs="Times New Roman"/>
          <w:sz w:val="24"/>
          <w:szCs w:val="24"/>
        </w:rPr>
        <w:t xml:space="preserve">o-integration </w:t>
      </w:r>
      <w:r w:rsidR="009E7607" w:rsidRPr="00C04EA2">
        <w:rPr>
          <w:rFonts w:ascii="Times New Roman" w:hAnsi="Times New Roman" w:cs="Times New Roman"/>
          <w:sz w:val="24"/>
          <w:szCs w:val="24"/>
        </w:rPr>
        <w:t>A</w:t>
      </w:r>
      <w:r w:rsidRPr="00C04EA2">
        <w:rPr>
          <w:rFonts w:ascii="Times New Roman" w:hAnsi="Times New Roman" w:cs="Times New Roman"/>
          <w:sz w:val="24"/>
          <w:szCs w:val="24"/>
        </w:rPr>
        <w:t>nalysis</w:t>
      </w:r>
      <w:r w:rsidR="009E7607" w:rsidRPr="00C04EA2">
        <w:rPr>
          <w:rFonts w:ascii="Times New Roman" w:hAnsi="Times New Roman" w:cs="Times New Roman"/>
          <w:sz w:val="24"/>
          <w:szCs w:val="24"/>
        </w:rPr>
        <w:t>’</w:t>
      </w:r>
      <w:r w:rsidRPr="00C04EA2">
        <w:rPr>
          <w:rFonts w:ascii="Times New Roman" w:hAnsi="Times New Roman" w:cs="Times New Roman"/>
          <w:sz w:val="24"/>
          <w:szCs w:val="24"/>
        </w:rPr>
        <w:t xml:space="preserve">. According to their findings, Islamic banking promotes economic </w:t>
      </w:r>
      <w:r w:rsidR="00A322E1" w:rsidRPr="00C04EA2">
        <w:rPr>
          <w:rFonts w:ascii="Times New Roman" w:hAnsi="Times New Roman" w:cs="Times New Roman"/>
          <w:sz w:val="24"/>
          <w:szCs w:val="24"/>
        </w:rPr>
        <w:t>growth</w:t>
      </w:r>
      <w:r w:rsidRPr="00C04EA2">
        <w:rPr>
          <w:rFonts w:ascii="Times New Roman" w:hAnsi="Times New Roman" w:cs="Times New Roman"/>
          <w:sz w:val="24"/>
          <w:szCs w:val="24"/>
        </w:rPr>
        <w:t>.</w:t>
      </w:r>
      <w:r w:rsidR="00A322E1" w:rsidRPr="00C04EA2">
        <w:rPr>
          <w:rFonts w:ascii="Times New Roman" w:hAnsi="Times New Roman" w:cs="Times New Roman"/>
          <w:sz w:val="24"/>
          <w:szCs w:val="24"/>
        </w:rPr>
        <w:t xml:space="preserve"> </w:t>
      </w:r>
      <w:proofErr w:type="spellStart"/>
      <w:r w:rsidR="00A322E1" w:rsidRPr="00C04EA2">
        <w:rPr>
          <w:rFonts w:ascii="Times New Roman" w:hAnsi="Times New Roman" w:cs="Times New Roman"/>
          <w:sz w:val="24"/>
          <w:szCs w:val="24"/>
        </w:rPr>
        <w:t>Abduh</w:t>
      </w:r>
      <w:proofErr w:type="spellEnd"/>
      <w:r w:rsidR="00A322E1"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A322E1" w:rsidRPr="00C04EA2">
        <w:rPr>
          <w:rFonts w:ascii="Times New Roman" w:hAnsi="Times New Roman" w:cs="Times New Roman"/>
          <w:sz w:val="24"/>
          <w:szCs w:val="24"/>
        </w:rPr>
        <w:t xml:space="preserve"> Omar (2012), </w:t>
      </w:r>
      <w:proofErr w:type="spellStart"/>
      <w:r w:rsidR="00A322E1" w:rsidRPr="00C04EA2">
        <w:rPr>
          <w:rFonts w:ascii="Times New Roman" w:hAnsi="Times New Roman" w:cs="Times New Roman"/>
          <w:sz w:val="24"/>
          <w:szCs w:val="24"/>
        </w:rPr>
        <w:t>Tabash</w:t>
      </w:r>
      <w:proofErr w:type="spellEnd"/>
      <w:r w:rsidR="00297D43"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A322E1" w:rsidRPr="00C04EA2">
        <w:rPr>
          <w:rFonts w:ascii="Times New Roman" w:hAnsi="Times New Roman" w:cs="Times New Roman"/>
          <w:sz w:val="24"/>
          <w:szCs w:val="24"/>
        </w:rPr>
        <w:t xml:space="preserve"> </w:t>
      </w:r>
      <w:proofErr w:type="spellStart"/>
      <w:r w:rsidR="00A322E1" w:rsidRPr="00C04EA2">
        <w:rPr>
          <w:rFonts w:ascii="Times New Roman" w:hAnsi="Times New Roman" w:cs="Times New Roman"/>
          <w:sz w:val="24"/>
          <w:szCs w:val="24"/>
        </w:rPr>
        <w:t>Dhankar</w:t>
      </w:r>
      <w:proofErr w:type="spellEnd"/>
      <w:r w:rsidR="00A322E1" w:rsidRPr="00C04EA2">
        <w:rPr>
          <w:rFonts w:ascii="Times New Roman" w:hAnsi="Times New Roman" w:cs="Times New Roman"/>
          <w:sz w:val="24"/>
          <w:szCs w:val="24"/>
        </w:rPr>
        <w:t xml:space="preserve"> (2014a)</w:t>
      </w:r>
      <w:r w:rsidR="00297D43" w:rsidRPr="00C04EA2">
        <w:rPr>
          <w:rFonts w:ascii="Times New Roman" w:hAnsi="Times New Roman" w:cs="Times New Roman"/>
          <w:sz w:val="24"/>
          <w:szCs w:val="24"/>
        </w:rPr>
        <w:t>,</w:t>
      </w:r>
      <w:r w:rsidR="00A322E1" w:rsidRPr="00C04EA2">
        <w:rPr>
          <w:rFonts w:ascii="Times New Roman" w:hAnsi="Times New Roman" w:cs="Times New Roman"/>
          <w:sz w:val="24"/>
          <w:szCs w:val="24"/>
        </w:rPr>
        <w:t xml:space="preserve"> </w:t>
      </w:r>
      <w:r w:rsidR="004A1513">
        <w:rPr>
          <w:rFonts w:ascii="Times New Roman" w:hAnsi="Times New Roman" w:cs="Times New Roman"/>
          <w:sz w:val="24"/>
          <w:szCs w:val="24"/>
        </w:rPr>
        <w:t>&amp;</w:t>
      </w:r>
      <w:r w:rsidR="00297D43" w:rsidRPr="00C04EA2">
        <w:rPr>
          <w:rFonts w:ascii="Times New Roman" w:hAnsi="Times New Roman" w:cs="Times New Roman"/>
          <w:sz w:val="24"/>
          <w:szCs w:val="24"/>
        </w:rPr>
        <w:t xml:space="preserve"> </w:t>
      </w:r>
      <w:proofErr w:type="spellStart"/>
      <w:r w:rsidR="00A322E1" w:rsidRPr="00C04EA2">
        <w:rPr>
          <w:rFonts w:ascii="Times New Roman" w:hAnsi="Times New Roman" w:cs="Times New Roman"/>
          <w:sz w:val="24"/>
          <w:szCs w:val="24"/>
        </w:rPr>
        <w:t>Tabash</w:t>
      </w:r>
      <w:proofErr w:type="spellEnd"/>
      <w:r w:rsidR="00A322E1"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A322E1" w:rsidRPr="00C04EA2">
        <w:rPr>
          <w:rFonts w:ascii="Times New Roman" w:hAnsi="Times New Roman" w:cs="Times New Roman"/>
          <w:sz w:val="24"/>
          <w:szCs w:val="24"/>
        </w:rPr>
        <w:t xml:space="preserve"> </w:t>
      </w:r>
      <w:proofErr w:type="spellStart"/>
      <w:r w:rsidR="00A322E1" w:rsidRPr="00C04EA2">
        <w:rPr>
          <w:rFonts w:ascii="Times New Roman" w:hAnsi="Times New Roman" w:cs="Times New Roman"/>
          <w:sz w:val="24"/>
          <w:szCs w:val="24"/>
        </w:rPr>
        <w:t>Dhankar</w:t>
      </w:r>
      <w:proofErr w:type="spellEnd"/>
      <w:r w:rsidR="00A322E1" w:rsidRPr="00C04EA2">
        <w:rPr>
          <w:rFonts w:ascii="Times New Roman" w:hAnsi="Times New Roman" w:cs="Times New Roman"/>
          <w:sz w:val="24"/>
          <w:szCs w:val="24"/>
        </w:rPr>
        <w:t xml:space="preserve"> (2014c) also arrived at this conclusion using the same methodology.</w:t>
      </w:r>
      <w:r w:rsidR="009E7607" w:rsidRPr="00C04EA2">
        <w:rPr>
          <w:rFonts w:ascii="Times New Roman" w:hAnsi="Times New Roman" w:cs="Times New Roman"/>
          <w:sz w:val="24"/>
          <w:szCs w:val="24"/>
        </w:rPr>
        <w:t xml:space="preserve"> However, </w:t>
      </w:r>
      <w:proofErr w:type="spellStart"/>
      <w:r w:rsidR="009E7607" w:rsidRPr="00C04EA2">
        <w:rPr>
          <w:rFonts w:ascii="Times New Roman" w:hAnsi="Times New Roman" w:cs="Times New Roman"/>
          <w:sz w:val="24"/>
          <w:szCs w:val="24"/>
        </w:rPr>
        <w:t>Abduh</w:t>
      </w:r>
      <w:proofErr w:type="spellEnd"/>
      <w:r w:rsidR="009E7607"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9E7607" w:rsidRPr="00C04EA2">
        <w:rPr>
          <w:rFonts w:ascii="Times New Roman" w:hAnsi="Times New Roman" w:cs="Times New Roman"/>
          <w:sz w:val="24"/>
          <w:szCs w:val="24"/>
        </w:rPr>
        <w:t xml:space="preserve"> Chowdhury (2012), </w:t>
      </w:r>
      <w:proofErr w:type="spellStart"/>
      <w:r w:rsidR="009E7607" w:rsidRPr="00C04EA2">
        <w:rPr>
          <w:rFonts w:ascii="Times New Roman" w:hAnsi="Times New Roman" w:cs="Times New Roman"/>
          <w:sz w:val="24"/>
          <w:szCs w:val="24"/>
        </w:rPr>
        <w:t>Yazdan</w:t>
      </w:r>
      <w:proofErr w:type="spellEnd"/>
      <w:r w:rsidR="009E7607"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9E7607" w:rsidRPr="00C04EA2">
        <w:rPr>
          <w:rFonts w:ascii="Times New Roman" w:hAnsi="Times New Roman" w:cs="Times New Roman"/>
          <w:sz w:val="24"/>
          <w:szCs w:val="24"/>
        </w:rPr>
        <w:t xml:space="preserve"> Dastan (2013)</w:t>
      </w:r>
      <w:r w:rsidR="000E7B95" w:rsidRPr="00C04EA2">
        <w:rPr>
          <w:rFonts w:ascii="Times New Roman" w:hAnsi="Times New Roman" w:cs="Times New Roman"/>
          <w:sz w:val="24"/>
          <w:szCs w:val="24"/>
        </w:rPr>
        <w:t xml:space="preserve">, </w:t>
      </w:r>
      <w:proofErr w:type="spellStart"/>
      <w:r w:rsidR="009E7607" w:rsidRPr="00C04EA2">
        <w:rPr>
          <w:rFonts w:ascii="Times New Roman" w:hAnsi="Times New Roman" w:cs="Times New Roman"/>
          <w:sz w:val="24"/>
          <w:szCs w:val="24"/>
        </w:rPr>
        <w:t>Tabash</w:t>
      </w:r>
      <w:proofErr w:type="spellEnd"/>
      <w:r w:rsidR="009E7607"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9E7607" w:rsidRPr="00C04EA2">
        <w:rPr>
          <w:rFonts w:ascii="Times New Roman" w:hAnsi="Times New Roman" w:cs="Times New Roman"/>
          <w:sz w:val="24"/>
          <w:szCs w:val="24"/>
        </w:rPr>
        <w:t xml:space="preserve"> </w:t>
      </w:r>
      <w:proofErr w:type="spellStart"/>
      <w:r w:rsidR="009E7607" w:rsidRPr="00C04EA2">
        <w:rPr>
          <w:rFonts w:ascii="Times New Roman" w:hAnsi="Times New Roman" w:cs="Times New Roman"/>
          <w:sz w:val="24"/>
          <w:szCs w:val="24"/>
        </w:rPr>
        <w:t>Dhankar</w:t>
      </w:r>
      <w:proofErr w:type="spellEnd"/>
      <w:r w:rsidR="009E7607" w:rsidRPr="00C04EA2">
        <w:rPr>
          <w:rFonts w:ascii="Times New Roman" w:hAnsi="Times New Roman" w:cs="Times New Roman"/>
          <w:sz w:val="24"/>
          <w:szCs w:val="24"/>
        </w:rPr>
        <w:t xml:space="preserve"> (2014b)</w:t>
      </w:r>
      <w:r w:rsidR="000E7B95" w:rsidRPr="00C04EA2">
        <w:rPr>
          <w:rFonts w:ascii="Times New Roman" w:hAnsi="Times New Roman" w:cs="Times New Roman"/>
          <w:sz w:val="24"/>
          <w:szCs w:val="24"/>
        </w:rPr>
        <w:t xml:space="preserve">, </w:t>
      </w:r>
      <w:proofErr w:type="spellStart"/>
      <w:r w:rsidR="000E7B95" w:rsidRPr="00C04EA2">
        <w:rPr>
          <w:rFonts w:ascii="Times New Roman" w:hAnsi="Times New Roman" w:cs="Times New Roman"/>
          <w:sz w:val="24"/>
          <w:szCs w:val="24"/>
        </w:rPr>
        <w:t>Atici</w:t>
      </w:r>
      <w:proofErr w:type="spellEnd"/>
      <w:r w:rsidR="000E7B95" w:rsidRPr="00C04EA2">
        <w:rPr>
          <w:rFonts w:ascii="Times New Roman" w:hAnsi="Times New Roman" w:cs="Times New Roman"/>
          <w:sz w:val="24"/>
          <w:szCs w:val="24"/>
        </w:rPr>
        <w:t xml:space="preserve"> (2018), </w:t>
      </w:r>
      <w:r w:rsidR="004A1513">
        <w:rPr>
          <w:rFonts w:ascii="Times New Roman" w:hAnsi="Times New Roman" w:cs="Times New Roman"/>
          <w:sz w:val="24"/>
          <w:szCs w:val="24"/>
        </w:rPr>
        <w:t>&amp;</w:t>
      </w:r>
      <w:r w:rsidR="000E7B95" w:rsidRPr="00C04EA2">
        <w:rPr>
          <w:rFonts w:ascii="Times New Roman" w:hAnsi="Times New Roman" w:cs="Times New Roman"/>
          <w:sz w:val="24"/>
          <w:szCs w:val="24"/>
        </w:rPr>
        <w:t xml:space="preserve"> Jawad </w:t>
      </w:r>
      <w:r w:rsidR="004A1513">
        <w:rPr>
          <w:rFonts w:ascii="Times New Roman" w:hAnsi="Times New Roman" w:cs="Times New Roman"/>
          <w:sz w:val="24"/>
          <w:szCs w:val="24"/>
        </w:rPr>
        <w:t>and</w:t>
      </w:r>
      <w:r w:rsidR="004A1513" w:rsidRPr="00C04EA2">
        <w:rPr>
          <w:rFonts w:ascii="Times New Roman" w:hAnsi="Times New Roman" w:cs="Times New Roman"/>
          <w:sz w:val="24"/>
          <w:szCs w:val="24"/>
        </w:rPr>
        <w:t xml:space="preserve"> </w:t>
      </w:r>
      <w:r w:rsidR="000E7B95" w:rsidRPr="00C04EA2">
        <w:rPr>
          <w:rFonts w:ascii="Times New Roman" w:hAnsi="Times New Roman" w:cs="Times New Roman"/>
          <w:sz w:val="24"/>
          <w:szCs w:val="24"/>
        </w:rPr>
        <w:t xml:space="preserve">Christian (2019) </w:t>
      </w:r>
      <w:r w:rsidR="009E7607" w:rsidRPr="00C04EA2">
        <w:rPr>
          <w:rFonts w:ascii="Times New Roman" w:hAnsi="Times New Roman" w:cs="Times New Roman"/>
          <w:sz w:val="24"/>
          <w:szCs w:val="24"/>
        </w:rPr>
        <w:t>highlighted the identical outcome by considering ‘Granger Causality Analysis’.</w:t>
      </w:r>
      <w:r w:rsidR="000E7B95" w:rsidRPr="00C04EA2">
        <w:rPr>
          <w:rFonts w:ascii="Times New Roman" w:hAnsi="Times New Roman" w:cs="Times New Roman"/>
          <w:sz w:val="24"/>
          <w:szCs w:val="24"/>
        </w:rPr>
        <w:t xml:space="preserve"> Besides, </w:t>
      </w:r>
      <w:proofErr w:type="spellStart"/>
      <w:r w:rsidR="000E7B95" w:rsidRPr="00C04EA2">
        <w:rPr>
          <w:rFonts w:ascii="Times New Roman" w:hAnsi="Times New Roman" w:cs="Times New Roman"/>
          <w:sz w:val="24"/>
          <w:szCs w:val="24"/>
        </w:rPr>
        <w:t>Kassim</w:t>
      </w:r>
      <w:proofErr w:type="spellEnd"/>
      <w:r w:rsidR="000E7B95" w:rsidRPr="00C04EA2">
        <w:rPr>
          <w:rFonts w:ascii="Times New Roman" w:hAnsi="Times New Roman" w:cs="Times New Roman"/>
          <w:sz w:val="24"/>
          <w:szCs w:val="24"/>
        </w:rPr>
        <w:t xml:space="preserve"> (2016), </w:t>
      </w:r>
      <w:proofErr w:type="spellStart"/>
      <w:r w:rsidR="000E7B95" w:rsidRPr="00C04EA2">
        <w:rPr>
          <w:rFonts w:ascii="Times New Roman" w:hAnsi="Times New Roman" w:cs="Times New Roman"/>
          <w:sz w:val="24"/>
          <w:szCs w:val="24"/>
        </w:rPr>
        <w:t>Yazdan</w:t>
      </w:r>
      <w:proofErr w:type="spellEnd"/>
      <w:r w:rsidR="000E7B95"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0E7B95" w:rsidRPr="00C04EA2">
        <w:rPr>
          <w:rFonts w:ascii="Times New Roman" w:hAnsi="Times New Roman" w:cs="Times New Roman"/>
          <w:sz w:val="24"/>
          <w:szCs w:val="24"/>
        </w:rPr>
        <w:t xml:space="preserve"> Sadr (2012), Faculty of Entrepreneurship and Business, </w:t>
      </w:r>
      <w:proofErr w:type="spellStart"/>
      <w:r w:rsidR="000E7B95" w:rsidRPr="00C04EA2">
        <w:rPr>
          <w:rFonts w:ascii="Times New Roman" w:hAnsi="Times New Roman" w:cs="Times New Roman"/>
          <w:sz w:val="24"/>
          <w:szCs w:val="24"/>
        </w:rPr>
        <w:t>Universiti</w:t>
      </w:r>
      <w:proofErr w:type="spellEnd"/>
      <w:r w:rsidR="000E7B95" w:rsidRPr="00C04EA2">
        <w:rPr>
          <w:rFonts w:ascii="Times New Roman" w:hAnsi="Times New Roman" w:cs="Times New Roman"/>
          <w:sz w:val="24"/>
          <w:szCs w:val="24"/>
        </w:rPr>
        <w:t xml:space="preserve"> Malaysia Kelantan (2020)</w:t>
      </w:r>
      <w:r w:rsidR="007363C8" w:rsidRPr="00C04EA2">
        <w:rPr>
          <w:rFonts w:ascii="Times New Roman" w:hAnsi="Times New Roman" w:cs="Times New Roman"/>
          <w:sz w:val="24"/>
          <w:szCs w:val="24"/>
        </w:rPr>
        <w:t xml:space="preserve">, </w:t>
      </w:r>
      <w:r w:rsidR="004A1513">
        <w:rPr>
          <w:rFonts w:ascii="Times New Roman" w:hAnsi="Times New Roman" w:cs="Times New Roman"/>
          <w:sz w:val="24"/>
          <w:szCs w:val="24"/>
        </w:rPr>
        <w:t>&amp;</w:t>
      </w:r>
      <w:r w:rsidR="007363C8" w:rsidRPr="00C04EA2">
        <w:rPr>
          <w:rFonts w:ascii="Times New Roman" w:hAnsi="Times New Roman" w:cs="Times New Roman"/>
          <w:sz w:val="24"/>
          <w:szCs w:val="24"/>
        </w:rPr>
        <w:t xml:space="preserve"> M. Anwar et. al. (2020)</w:t>
      </w:r>
      <w:r w:rsidR="000E7B95" w:rsidRPr="00C04EA2">
        <w:rPr>
          <w:rFonts w:ascii="Times New Roman" w:hAnsi="Times New Roman" w:cs="Times New Roman"/>
          <w:sz w:val="24"/>
          <w:szCs w:val="24"/>
        </w:rPr>
        <w:t xml:space="preserve"> </w:t>
      </w:r>
      <w:r w:rsidR="007363C8" w:rsidRPr="00C04EA2">
        <w:rPr>
          <w:rFonts w:ascii="Times New Roman" w:hAnsi="Times New Roman" w:cs="Times New Roman"/>
          <w:sz w:val="24"/>
          <w:szCs w:val="24"/>
        </w:rPr>
        <w:t xml:space="preserve">conducted </w:t>
      </w:r>
      <w:r w:rsidR="000E7B95" w:rsidRPr="00C04EA2">
        <w:rPr>
          <w:rFonts w:ascii="Times New Roman" w:hAnsi="Times New Roman" w:cs="Times New Roman"/>
          <w:sz w:val="24"/>
          <w:szCs w:val="24"/>
        </w:rPr>
        <w:t>ARDL test and</w:t>
      </w:r>
      <w:r w:rsidR="007363C8" w:rsidRPr="00C04EA2">
        <w:rPr>
          <w:rFonts w:ascii="Times New Roman" w:hAnsi="Times New Roman" w:cs="Times New Roman"/>
          <w:sz w:val="24"/>
          <w:szCs w:val="24"/>
        </w:rPr>
        <w:t xml:space="preserve"> figured out that Islamic finance and economic growth have a causal significant relationship.</w:t>
      </w:r>
      <w:r w:rsidR="00250850" w:rsidRPr="00C04EA2">
        <w:rPr>
          <w:rFonts w:ascii="Times New Roman" w:hAnsi="Times New Roman" w:cs="Times New Roman"/>
          <w:sz w:val="24"/>
          <w:szCs w:val="24"/>
        </w:rPr>
        <w:t xml:space="preserve"> </w:t>
      </w:r>
      <w:proofErr w:type="spellStart"/>
      <w:r w:rsidR="00250850" w:rsidRPr="00C04EA2">
        <w:rPr>
          <w:rFonts w:ascii="Times New Roman" w:hAnsi="Times New Roman" w:cs="Times New Roman"/>
          <w:sz w:val="24"/>
          <w:szCs w:val="24"/>
        </w:rPr>
        <w:t>Sarwer</w:t>
      </w:r>
      <w:proofErr w:type="spellEnd"/>
      <w:r w:rsidR="00250850" w:rsidRPr="00C04EA2">
        <w:rPr>
          <w:rFonts w:ascii="Times New Roman" w:hAnsi="Times New Roman" w:cs="Times New Roman"/>
          <w:sz w:val="24"/>
          <w:szCs w:val="24"/>
        </w:rPr>
        <w:t xml:space="preserve"> et. al. (2013) have drawn the conclusion that Islamic banking is strongly and favorably and positively related to economic growth by arranging a survey. Furthermore, Yusof </w:t>
      </w:r>
      <w:r w:rsidR="004A1513">
        <w:rPr>
          <w:rFonts w:ascii="Times New Roman" w:hAnsi="Times New Roman" w:cs="Times New Roman"/>
          <w:sz w:val="24"/>
          <w:szCs w:val="24"/>
        </w:rPr>
        <w:t>and</w:t>
      </w:r>
      <w:r w:rsidR="00250850" w:rsidRPr="00C04EA2">
        <w:rPr>
          <w:rFonts w:ascii="Times New Roman" w:hAnsi="Times New Roman" w:cs="Times New Roman"/>
          <w:sz w:val="24"/>
          <w:szCs w:val="24"/>
        </w:rPr>
        <w:t xml:space="preserve"> </w:t>
      </w:r>
      <w:proofErr w:type="spellStart"/>
      <w:r w:rsidR="00250850" w:rsidRPr="00C04EA2">
        <w:rPr>
          <w:rFonts w:ascii="Times New Roman" w:hAnsi="Times New Roman" w:cs="Times New Roman"/>
          <w:sz w:val="24"/>
          <w:szCs w:val="24"/>
        </w:rPr>
        <w:t>Bahlous</w:t>
      </w:r>
      <w:proofErr w:type="spellEnd"/>
      <w:r w:rsidR="00250850" w:rsidRPr="00C04EA2">
        <w:rPr>
          <w:rFonts w:ascii="Times New Roman" w:hAnsi="Times New Roman" w:cs="Times New Roman"/>
          <w:sz w:val="24"/>
          <w:szCs w:val="24"/>
        </w:rPr>
        <w:t xml:space="preserve"> (2013) shown that long-term and short-term economic growth are both facilitated by the Islamic banking sector. </w:t>
      </w:r>
      <w:proofErr w:type="spellStart"/>
      <w:r w:rsidR="00250850" w:rsidRPr="00C04EA2">
        <w:rPr>
          <w:rFonts w:ascii="Times New Roman" w:hAnsi="Times New Roman" w:cs="Times New Roman"/>
          <w:sz w:val="24"/>
          <w:szCs w:val="24"/>
        </w:rPr>
        <w:t>Gheeraert</w:t>
      </w:r>
      <w:proofErr w:type="spellEnd"/>
      <w:r w:rsidR="00250850"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250850" w:rsidRPr="00C04EA2">
        <w:rPr>
          <w:rFonts w:ascii="Times New Roman" w:hAnsi="Times New Roman" w:cs="Times New Roman"/>
          <w:sz w:val="24"/>
          <w:szCs w:val="24"/>
        </w:rPr>
        <w:t xml:space="preserve"> Weill (2015)</w:t>
      </w:r>
      <w:r w:rsidR="00B52BC8" w:rsidRPr="00C04EA2">
        <w:rPr>
          <w:rFonts w:ascii="Times New Roman" w:hAnsi="Times New Roman" w:cs="Times New Roman"/>
          <w:sz w:val="24"/>
          <w:szCs w:val="24"/>
        </w:rPr>
        <w:t xml:space="preserve">, </w:t>
      </w:r>
      <w:proofErr w:type="spellStart"/>
      <w:r w:rsidR="00B52BC8" w:rsidRPr="00C04EA2">
        <w:rPr>
          <w:rFonts w:ascii="Times New Roman" w:hAnsi="Times New Roman" w:cs="Times New Roman"/>
          <w:sz w:val="24"/>
          <w:szCs w:val="24"/>
        </w:rPr>
        <w:t>Abedifar</w:t>
      </w:r>
      <w:proofErr w:type="spellEnd"/>
      <w:r w:rsidR="00B52BC8" w:rsidRPr="00C04EA2">
        <w:rPr>
          <w:rFonts w:ascii="Times New Roman" w:hAnsi="Times New Roman" w:cs="Times New Roman"/>
          <w:sz w:val="24"/>
          <w:szCs w:val="24"/>
        </w:rPr>
        <w:t xml:space="preserve"> et. al. (2016), </w:t>
      </w:r>
      <w:proofErr w:type="spellStart"/>
      <w:r w:rsidR="00B52BC8" w:rsidRPr="00C04EA2">
        <w:rPr>
          <w:rFonts w:ascii="Times New Roman" w:hAnsi="Times New Roman" w:cs="Times New Roman"/>
          <w:sz w:val="24"/>
          <w:szCs w:val="24"/>
        </w:rPr>
        <w:t>Tunay</w:t>
      </w:r>
      <w:proofErr w:type="spellEnd"/>
      <w:r w:rsidR="00B52BC8" w:rsidRPr="00C04EA2">
        <w:rPr>
          <w:rFonts w:ascii="Times New Roman" w:hAnsi="Times New Roman" w:cs="Times New Roman"/>
          <w:sz w:val="24"/>
          <w:szCs w:val="24"/>
        </w:rPr>
        <w:t xml:space="preserve"> (2016), </w:t>
      </w:r>
      <w:proofErr w:type="spellStart"/>
      <w:r w:rsidR="00B52BC8" w:rsidRPr="00C04EA2">
        <w:rPr>
          <w:rFonts w:ascii="Times New Roman" w:hAnsi="Times New Roman" w:cs="Times New Roman"/>
          <w:sz w:val="24"/>
          <w:szCs w:val="24"/>
        </w:rPr>
        <w:t>Boukhatem</w:t>
      </w:r>
      <w:proofErr w:type="spellEnd"/>
      <w:r w:rsidR="00B52BC8"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B52BC8" w:rsidRPr="00C04EA2">
        <w:rPr>
          <w:rFonts w:ascii="Times New Roman" w:hAnsi="Times New Roman" w:cs="Times New Roman"/>
          <w:sz w:val="24"/>
          <w:szCs w:val="24"/>
        </w:rPr>
        <w:t xml:space="preserve"> Ben Moussa (2018), </w:t>
      </w:r>
      <w:proofErr w:type="spellStart"/>
      <w:r w:rsidR="00B52BC8" w:rsidRPr="00C04EA2">
        <w:rPr>
          <w:rFonts w:ascii="Times New Roman" w:hAnsi="Times New Roman" w:cs="Times New Roman"/>
          <w:sz w:val="24"/>
          <w:szCs w:val="24"/>
        </w:rPr>
        <w:t>Osmanovica</w:t>
      </w:r>
      <w:proofErr w:type="spellEnd"/>
      <w:r w:rsidR="00B52BC8" w:rsidRPr="00C04EA2">
        <w:rPr>
          <w:rFonts w:ascii="Times New Roman" w:hAnsi="Times New Roman" w:cs="Times New Roman"/>
          <w:sz w:val="24"/>
          <w:szCs w:val="24"/>
        </w:rPr>
        <w:t xml:space="preserve"> et. al. (2020), </w:t>
      </w:r>
      <w:proofErr w:type="spellStart"/>
      <w:r w:rsidR="00B52BC8" w:rsidRPr="00C04EA2">
        <w:rPr>
          <w:rFonts w:ascii="Times New Roman" w:hAnsi="Times New Roman" w:cs="Times New Roman"/>
          <w:sz w:val="24"/>
          <w:szCs w:val="24"/>
        </w:rPr>
        <w:t>Bendriouch</w:t>
      </w:r>
      <w:proofErr w:type="spellEnd"/>
      <w:r w:rsidR="00B52BC8" w:rsidRPr="00C04EA2">
        <w:rPr>
          <w:rFonts w:ascii="Times New Roman" w:hAnsi="Times New Roman" w:cs="Times New Roman"/>
          <w:sz w:val="24"/>
          <w:szCs w:val="24"/>
        </w:rPr>
        <w:t xml:space="preserve"> et al. (2020)</w:t>
      </w:r>
      <w:r w:rsidR="00250850" w:rsidRPr="00C04EA2">
        <w:rPr>
          <w:rFonts w:ascii="Times New Roman" w:hAnsi="Times New Roman" w:cs="Times New Roman"/>
          <w:sz w:val="24"/>
          <w:szCs w:val="24"/>
        </w:rPr>
        <w:t xml:space="preserve"> also found a correlation between Islamic finance and economic growth</w:t>
      </w:r>
      <w:r w:rsidR="00B52BC8" w:rsidRPr="00C04EA2">
        <w:rPr>
          <w:rFonts w:ascii="Times New Roman" w:hAnsi="Times New Roman" w:cs="Times New Roman"/>
          <w:sz w:val="24"/>
          <w:szCs w:val="24"/>
        </w:rPr>
        <w:t xml:space="preserve">. In addition to those studies, </w:t>
      </w:r>
      <w:proofErr w:type="spellStart"/>
      <w:r w:rsidR="00B52BC8" w:rsidRPr="00C04EA2">
        <w:rPr>
          <w:rFonts w:ascii="Times New Roman" w:hAnsi="Times New Roman" w:cs="Times New Roman"/>
          <w:sz w:val="24"/>
          <w:szCs w:val="24"/>
        </w:rPr>
        <w:t>Nasution</w:t>
      </w:r>
      <w:proofErr w:type="spellEnd"/>
      <w:r w:rsidR="00B52BC8" w:rsidRPr="00C04EA2">
        <w:rPr>
          <w:rFonts w:ascii="Times New Roman" w:hAnsi="Times New Roman" w:cs="Times New Roman"/>
          <w:sz w:val="24"/>
          <w:szCs w:val="24"/>
        </w:rPr>
        <w:t xml:space="preserve"> et al. (2019) discovered that CAR, NPF, FDR, and BOPO have a marginally negative direct impact on ROA and ROA has a positive and substantial direct impact on economic growth.</w:t>
      </w:r>
      <w:r w:rsidR="004A1513">
        <w:rPr>
          <w:rFonts w:ascii="Times New Roman" w:hAnsi="Times New Roman" w:cs="Times New Roman"/>
          <w:sz w:val="24"/>
          <w:szCs w:val="24"/>
        </w:rPr>
        <w:t xml:space="preserve"> </w:t>
      </w:r>
    </w:p>
    <w:p w14:paraId="4DE9458B" w14:textId="2F13280E" w:rsidR="0001687A" w:rsidRPr="00C04EA2" w:rsidRDefault="00302B8A" w:rsidP="005A30C7">
      <w:pPr>
        <w:tabs>
          <w:tab w:val="left" w:pos="3780"/>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Despite these research, additional studies have also been conducted that have come to conclusion that Islamic banking has little to no impact on economic growth. Johnson (2013) a study was conducted on 345 different Islamic banks. According to the findings of regression analysis, there is no connection between the Islamic banking system and economic growth. </w:t>
      </w:r>
      <w:proofErr w:type="spellStart"/>
      <w:r w:rsidRPr="00C04EA2">
        <w:rPr>
          <w:rFonts w:ascii="Times New Roman" w:hAnsi="Times New Roman" w:cs="Times New Roman"/>
          <w:sz w:val="24"/>
          <w:szCs w:val="24"/>
        </w:rPr>
        <w:t>Lebdaoui</w:t>
      </w:r>
      <w:proofErr w:type="spellEnd"/>
      <w:r w:rsidRPr="00C04EA2">
        <w:rPr>
          <w:rFonts w:ascii="Times New Roman" w:hAnsi="Times New Roman" w:cs="Times New Roman"/>
          <w:sz w:val="24"/>
          <w:szCs w:val="24"/>
        </w:rPr>
        <w:t xml:space="preserve"> and Wild (2016) used the same technique, they also came to this conclusion.</w:t>
      </w:r>
      <w:r w:rsidR="00A74463" w:rsidRPr="00C04EA2">
        <w:rPr>
          <w:rFonts w:ascii="Times New Roman" w:hAnsi="Times New Roman" w:cs="Times New Roman"/>
          <w:sz w:val="24"/>
          <w:szCs w:val="24"/>
        </w:rPr>
        <w:t xml:space="preserve"> </w:t>
      </w:r>
      <w:r w:rsidRPr="00C04EA2">
        <w:rPr>
          <w:rFonts w:ascii="Times New Roman" w:hAnsi="Times New Roman" w:cs="Times New Roman"/>
          <w:sz w:val="24"/>
          <w:szCs w:val="24"/>
        </w:rPr>
        <w:t xml:space="preserve"> Besides, </w:t>
      </w:r>
      <w:proofErr w:type="spellStart"/>
      <w:r w:rsidRPr="00C04EA2">
        <w:rPr>
          <w:rFonts w:ascii="Times New Roman" w:hAnsi="Times New Roman" w:cs="Times New Roman"/>
          <w:sz w:val="24"/>
          <w:szCs w:val="24"/>
        </w:rPr>
        <w:t>Tajgardoon</w:t>
      </w:r>
      <w:proofErr w:type="spellEnd"/>
      <w:r w:rsidRPr="00C04EA2">
        <w:rPr>
          <w:rFonts w:ascii="Times New Roman" w:hAnsi="Times New Roman" w:cs="Times New Roman"/>
          <w:sz w:val="24"/>
          <w:szCs w:val="24"/>
        </w:rPr>
        <w:t xml:space="preserve"> et. al. (2013)</w:t>
      </w:r>
      <w:r w:rsidR="00A74463" w:rsidRPr="00C04EA2">
        <w:rPr>
          <w:rFonts w:ascii="Times New Roman" w:hAnsi="Times New Roman" w:cs="Times New Roman"/>
          <w:sz w:val="24"/>
          <w:szCs w:val="24"/>
        </w:rPr>
        <w:t>,</w:t>
      </w:r>
      <w:r w:rsidR="0001687A" w:rsidRPr="00C04EA2">
        <w:rPr>
          <w:rFonts w:ascii="Times New Roman" w:hAnsi="Times New Roman" w:cs="Times New Roman"/>
          <w:sz w:val="24"/>
          <w:szCs w:val="24"/>
        </w:rPr>
        <w:t xml:space="preserve"> </w:t>
      </w:r>
      <w:r w:rsidR="00A74463" w:rsidRPr="00C04EA2">
        <w:rPr>
          <w:rFonts w:ascii="Times New Roman" w:hAnsi="Times New Roman" w:cs="Times New Roman"/>
          <w:sz w:val="24"/>
          <w:szCs w:val="24"/>
        </w:rPr>
        <w:t>by utilizing</w:t>
      </w:r>
      <w:r w:rsidR="0001687A" w:rsidRPr="00C04EA2">
        <w:rPr>
          <w:rFonts w:ascii="Times New Roman" w:hAnsi="Times New Roman" w:cs="Times New Roman"/>
          <w:sz w:val="24"/>
          <w:szCs w:val="24"/>
        </w:rPr>
        <w:t xml:space="preserve"> a</w:t>
      </w:r>
      <w:r w:rsidR="00A74463" w:rsidRPr="00C04EA2">
        <w:rPr>
          <w:rFonts w:ascii="Times New Roman" w:hAnsi="Times New Roman" w:cs="Times New Roman"/>
          <w:sz w:val="24"/>
          <w:szCs w:val="24"/>
        </w:rPr>
        <w:t xml:space="preserve"> different methodology, it was determined that Islamic banks do not, in the </w:t>
      </w:r>
      <w:r w:rsidR="00A74463" w:rsidRPr="00C04EA2">
        <w:rPr>
          <w:rFonts w:ascii="Times New Roman" w:hAnsi="Times New Roman" w:cs="Times New Roman"/>
          <w:sz w:val="24"/>
          <w:szCs w:val="24"/>
        </w:rPr>
        <w:lastRenderedPageBreak/>
        <w:t xml:space="preserve">long run, support economic growth. Wahab et. al. (2016) determined that Pakistan's economic growth is unaffected by Islamic banking. </w:t>
      </w:r>
      <w:proofErr w:type="spellStart"/>
      <w:r w:rsidR="00A74463" w:rsidRPr="00C04EA2">
        <w:rPr>
          <w:rFonts w:ascii="Times New Roman" w:hAnsi="Times New Roman" w:cs="Times New Roman"/>
          <w:sz w:val="24"/>
          <w:szCs w:val="24"/>
        </w:rPr>
        <w:t>Hachicha</w:t>
      </w:r>
      <w:proofErr w:type="spellEnd"/>
      <w:r w:rsidR="00A74463" w:rsidRPr="00C04EA2">
        <w:rPr>
          <w:rFonts w:ascii="Times New Roman" w:hAnsi="Times New Roman" w:cs="Times New Roman"/>
          <w:sz w:val="24"/>
          <w:szCs w:val="24"/>
        </w:rPr>
        <w:t xml:space="preserve"> and Amar (2015), this point was stressed for Malaysia.</w:t>
      </w:r>
      <w:r w:rsidR="0001687A" w:rsidRPr="00C04EA2">
        <w:rPr>
          <w:rFonts w:ascii="Times New Roman" w:hAnsi="Times New Roman" w:cs="Times New Roman"/>
          <w:sz w:val="24"/>
          <w:szCs w:val="24"/>
        </w:rPr>
        <w:t xml:space="preserve"> On the contrary, </w:t>
      </w:r>
      <w:proofErr w:type="spellStart"/>
      <w:r w:rsidR="0001687A" w:rsidRPr="00C04EA2">
        <w:rPr>
          <w:rFonts w:ascii="Times New Roman" w:hAnsi="Times New Roman" w:cs="Times New Roman"/>
          <w:sz w:val="24"/>
          <w:szCs w:val="24"/>
        </w:rPr>
        <w:t>Yüksel</w:t>
      </w:r>
      <w:proofErr w:type="spellEnd"/>
      <w:r w:rsidR="0001687A"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01687A" w:rsidRPr="00C04EA2">
        <w:rPr>
          <w:rFonts w:ascii="Times New Roman" w:hAnsi="Times New Roman" w:cs="Times New Roman"/>
          <w:sz w:val="24"/>
          <w:szCs w:val="24"/>
        </w:rPr>
        <w:t xml:space="preserve"> </w:t>
      </w:r>
      <w:proofErr w:type="spellStart"/>
      <w:r w:rsidR="0001687A" w:rsidRPr="00C04EA2">
        <w:rPr>
          <w:rFonts w:ascii="Times New Roman" w:hAnsi="Times New Roman" w:cs="Times New Roman"/>
          <w:sz w:val="24"/>
          <w:szCs w:val="24"/>
        </w:rPr>
        <w:t>Canöz</w:t>
      </w:r>
      <w:proofErr w:type="spellEnd"/>
      <w:r w:rsidR="0001687A" w:rsidRPr="00C04EA2">
        <w:rPr>
          <w:rFonts w:ascii="Times New Roman" w:hAnsi="Times New Roman" w:cs="Times New Roman"/>
          <w:sz w:val="24"/>
          <w:szCs w:val="24"/>
        </w:rPr>
        <w:t xml:space="preserve"> (2017), </w:t>
      </w:r>
      <w:proofErr w:type="spellStart"/>
      <w:r w:rsidR="0001687A" w:rsidRPr="00C04EA2">
        <w:rPr>
          <w:rFonts w:ascii="Times New Roman" w:hAnsi="Times New Roman" w:cs="Times New Roman"/>
          <w:sz w:val="24"/>
          <w:szCs w:val="24"/>
        </w:rPr>
        <w:t>Afandi</w:t>
      </w:r>
      <w:proofErr w:type="spellEnd"/>
      <w:r w:rsidR="0001687A" w:rsidRPr="00C04EA2">
        <w:rPr>
          <w:rFonts w:ascii="Times New Roman" w:hAnsi="Times New Roman" w:cs="Times New Roman"/>
          <w:sz w:val="24"/>
          <w:szCs w:val="24"/>
        </w:rPr>
        <w:t xml:space="preserve"> </w:t>
      </w:r>
      <w:r w:rsidR="004A1513">
        <w:rPr>
          <w:rFonts w:ascii="Times New Roman" w:hAnsi="Times New Roman" w:cs="Times New Roman"/>
          <w:sz w:val="24"/>
          <w:szCs w:val="24"/>
        </w:rPr>
        <w:t>and</w:t>
      </w:r>
      <w:r w:rsidR="0001687A" w:rsidRPr="00C04EA2">
        <w:rPr>
          <w:rFonts w:ascii="Times New Roman" w:hAnsi="Times New Roman" w:cs="Times New Roman"/>
          <w:sz w:val="24"/>
          <w:szCs w:val="24"/>
        </w:rPr>
        <w:t xml:space="preserve"> Amin (2019), emphasized that Islamic bank financing has no bearing on economic growth. </w:t>
      </w:r>
      <w:proofErr w:type="spellStart"/>
      <w:r w:rsidR="0001687A" w:rsidRPr="00C04EA2">
        <w:rPr>
          <w:rFonts w:ascii="Times New Roman" w:hAnsi="Times New Roman" w:cs="Times New Roman"/>
          <w:sz w:val="24"/>
          <w:szCs w:val="24"/>
        </w:rPr>
        <w:t>Sekmen</w:t>
      </w:r>
      <w:proofErr w:type="spellEnd"/>
      <w:r w:rsidR="0001687A" w:rsidRPr="00C04EA2">
        <w:rPr>
          <w:rFonts w:ascii="Times New Roman" w:hAnsi="Times New Roman" w:cs="Times New Roman"/>
          <w:sz w:val="24"/>
          <w:szCs w:val="24"/>
        </w:rPr>
        <w:t xml:space="preserve"> (2021) determined the financial sector still only includes a very modest amount of Islamic banking by applying ARDL method.</w:t>
      </w:r>
    </w:p>
    <w:p w14:paraId="113AF85E" w14:textId="5797B645" w:rsidR="00302B8A" w:rsidRPr="00C04EA2" w:rsidRDefault="00925F2B" w:rsidP="005A30C7">
      <w:pPr>
        <w:tabs>
          <w:tab w:val="left" w:pos="3780"/>
        </w:tabs>
        <w:spacing w:line="360" w:lineRule="auto"/>
        <w:jc w:val="both"/>
        <w:rPr>
          <w:rFonts w:ascii="Times New Roman" w:hAnsi="Times New Roman" w:cs="Times New Roman"/>
          <w:b/>
          <w:sz w:val="24"/>
          <w:szCs w:val="24"/>
        </w:rPr>
      </w:pPr>
      <w:r w:rsidRPr="00C04EA2">
        <w:rPr>
          <w:rFonts w:ascii="Times New Roman" w:hAnsi="Times New Roman" w:cs="Times New Roman"/>
          <w:sz w:val="24"/>
          <w:szCs w:val="24"/>
        </w:rPr>
        <w:t>The most suitable empirical model and the most widely used variables for both the financial performance</w:t>
      </w:r>
      <w:r w:rsidR="00862BE3" w:rsidRPr="00C04EA2">
        <w:rPr>
          <w:rFonts w:ascii="Times New Roman" w:hAnsi="Times New Roman" w:cs="Times New Roman"/>
          <w:sz w:val="24"/>
          <w:szCs w:val="24"/>
        </w:rPr>
        <w:t>s</w:t>
      </w:r>
      <w:r w:rsidRPr="00C04EA2">
        <w:rPr>
          <w:rFonts w:ascii="Times New Roman" w:hAnsi="Times New Roman" w:cs="Times New Roman"/>
          <w:sz w:val="24"/>
          <w:szCs w:val="24"/>
        </w:rPr>
        <w:t xml:space="preserve"> of Islamic banks</w:t>
      </w:r>
      <w:r w:rsidR="00862BE3" w:rsidRPr="00C04EA2">
        <w:rPr>
          <w:rFonts w:ascii="Times New Roman" w:hAnsi="Times New Roman" w:cs="Times New Roman"/>
          <w:sz w:val="24"/>
          <w:szCs w:val="24"/>
        </w:rPr>
        <w:t>’</w:t>
      </w:r>
      <w:r w:rsidRPr="00C04EA2">
        <w:rPr>
          <w:rFonts w:ascii="Times New Roman" w:hAnsi="Times New Roman" w:cs="Times New Roman"/>
          <w:sz w:val="24"/>
          <w:szCs w:val="24"/>
        </w:rPr>
        <w:t xml:space="preserve"> and the factors that influence economic growth were used in this study, in accordance with the literature. Additionally, in contrast to earlier studies, this </w:t>
      </w:r>
      <w:r w:rsidR="00AC6C23" w:rsidRPr="00C04EA2">
        <w:rPr>
          <w:rFonts w:ascii="Times New Roman" w:hAnsi="Times New Roman" w:cs="Times New Roman"/>
          <w:sz w:val="24"/>
          <w:szCs w:val="24"/>
        </w:rPr>
        <w:t>research helps to link</w:t>
      </w:r>
      <w:r w:rsidRPr="00C04EA2">
        <w:rPr>
          <w:rFonts w:ascii="Times New Roman" w:hAnsi="Times New Roman" w:cs="Times New Roman"/>
          <w:sz w:val="24"/>
          <w:szCs w:val="24"/>
        </w:rPr>
        <w:t xml:space="preserve"> the financial performances of Islamic </w:t>
      </w:r>
      <w:r w:rsidR="004A1513" w:rsidRPr="00C04EA2">
        <w:rPr>
          <w:rFonts w:ascii="Times New Roman" w:hAnsi="Times New Roman" w:cs="Times New Roman"/>
          <w:sz w:val="24"/>
          <w:szCs w:val="24"/>
        </w:rPr>
        <w:t>banks</w:t>
      </w:r>
      <w:r w:rsidR="00F31C27" w:rsidRPr="00C04EA2">
        <w:rPr>
          <w:rFonts w:ascii="Times New Roman" w:hAnsi="Times New Roman" w:cs="Times New Roman"/>
          <w:sz w:val="24"/>
          <w:szCs w:val="24"/>
        </w:rPr>
        <w:t xml:space="preserve"> </w:t>
      </w:r>
      <w:r w:rsidRPr="00C04EA2">
        <w:rPr>
          <w:rFonts w:ascii="Times New Roman" w:hAnsi="Times New Roman" w:cs="Times New Roman"/>
          <w:sz w:val="24"/>
          <w:szCs w:val="24"/>
        </w:rPr>
        <w:t>to economic growth</w:t>
      </w:r>
      <w:r w:rsidR="00321453" w:rsidRPr="00C04EA2">
        <w:rPr>
          <w:rFonts w:ascii="Times New Roman" w:hAnsi="Times New Roman" w:cs="Times New Roman"/>
          <w:sz w:val="24"/>
          <w:szCs w:val="24"/>
        </w:rPr>
        <w:t xml:space="preserve"> in </w:t>
      </w:r>
      <w:r w:rsidR="00AB0204">
        <w:rPr>
          <w:rFonts w:ascii="Times New Roman" w:hAnsi="Times New Roman" w:cs="Times New Roman"/>
          <w:sz w:val="24"/>
          <w:szCs w:val="24"/>
        </w:rPr>
        <w:t xml:space="preserve">the </w:t>
      </w:r>
      <w:r w:rsidR="00321453" w:rsidRPr="00C04EA2">
        <w:rPr>
          <w:rFonts w:ascii="Times New Roman" w:hAnsi="Times New Roman" w:cs="Times New Roman"/>
          <w:sz w:val="24"/>
          <w:szCs w:val="24"/>
        </w:rPr>
        <w:t>context of Bangladesh</w:t>
      </w:r>
      <w:r w:rsidRPr="00C04EA2">
        <w:rPr>
          <w:rFonts w:ascii="Times New Roman" w:hAnsi="Times New Roman" w:cs="Times New Roman"/>
          <w:sz w:val="24"/>
          <w:szCs w:val="24"/>
        </w:rPr>
        <w:t>. As a result, this study is unique in that</w:t>
      </w:r>
      <w:r w:rsidR="00AC6C23" w:rsidRPr="00C04EA2">
        <w:rPr>
          <w:rFonts w:ascii="Times New Roman" w:hAnsi="Times New Roman" w:cs="Times New Roman"/>
          <w:sz w:val="24"/>
          <w:szCs w:val="24"/>
        </w:rPr>
        <w:t>,</w:t>
      </w:r>
      <w:r w:rsidRPr="00C04EA2">
        <w:rPr>
          <w:rFonts w:ascii="Times New Roman" w:hAnsi="Times New Roman" w:cs="Times New Roman"/>
          <w:sz w:val="24"/>
          <w:szCs w:val="24"/>
        </w:rPr>
        <w:t xml:space="preserve"> it uses this methodology to investigate the relationship between Islamic </w:t>
      </w:r>
      <w:r w:rsidR="00F31C27" w:rsidRPr="00C04EA2">
        <w:rPr>
          <w:rFonts w:ascii="Times New Roman" w:hAnsi="Times New Roman" w:cs="Times New Roman"/>
          <w:sz w:val="24"/>
          <w:szCs w:val="24"/>
        </w:rPr>
        <w:t>b</w:t>
      </w:r>
      <w:r w:rsidRPr="00C04EA2">
        <w:rPr>
          <w:rFonts w:ascii="Times New Roman" w:hAnsi="Times New Roman" w:cs="Times New Roman"/>
          <w:sz w:val="24"/>
          <w:szCs w:val="24"/>
        </w:rPr>
        <w:t>anks</w:t>
      </w:r>
      <w:r w:rsidR="00862BE3" w:rsidRPr="00C04EA2">
        <w:rPr>
          <w:rFonts w:ascii="Times New Roman" w:hAnsi="Times New Roman" w:cs="Times New Roman"/>
          <w:sz w:val="24"/>
          <w:szCs w:val="24"/>
        </w:rPr>
        <w:t>’</w:t>
      </w:r>
      <w:r w:rsidRPr="00C04EA2">
        <w:rPr>
          <w:rFonts w:ascii="Times New Roman" w:hAnsi="Times New Roman" w:cs="Times New Roman"/>
          <w:sz w:val="24"/>
          <w:szCs w:val="24"/>
        </w:rPr>
        <w:t xml:space="preserve"> financial p</w:t>
      </w:r>
      <w:r w:rsidR="00803C38" w:rsidRPr="00C04EA2">
        <w:rPr>
          <w:rFonts w:ascii="Times New Roman" w:hAnsi="Times New Roman" w:cs="Times New Roman"/>
          <w:sz w:val="24"/>
          <w:szCs w:val="24"/>
        </w:rPr>
        <w:t>e</w:t>
      </w:r>
      <w:r w:rsidRPr="00C04EA2">
        <w:rPr>
          <w:rFonts w:ascii="Times New Roman" w:hAnsi="Times New Roman" w:cs="Times New Roman"/>
          <w:sz w:val="24"/>
          <w:szCs w:val="24"/>
        </w:rPr>
        <w:t>rformances and economic growth. Consequently, it is thought that the findings were more reliable and accurate</w:t>
      </w:r>
      <w:r w:rsidR="00803C38" w:rsidRPr="00C04EA2">
        <w:rPr>
          <w:rFonts w:ascii="Times New Roman" w:hAnsi="Times New Roman" w:cs="Times New Roman"/>
          <w:sz w:val="24"/>
          <w:szCs w:val="24"/>
        </w:rPr>
        <w:t>.</w:t>
      </w:r>
    </w:p>
    <w:p w14:paraId="6F4F1AB2" w14:textId="77777777" w:rsidR="00DF6416" w:rsidRPr="00C04EA2" w:rsidRDefault="00DF6416" w:rsidP="005A30C7">
      <w:pPr>
        <w:tabs>
          <w:tab w:val="left" w:pos="3780"/>
        </w:tabs>
        <w:spacing w:line="360" w:lineRule="auto"/>
        <w:jc w:val="both"/>
        <w:rPr>
          <w:rFonts w:ascii="Times New Roman" w:hAnsi="Times New Roman" w:cs="Times New Roman"/>
          <w:b/>
          <w:sz w:val="24"/>
          <w:szCs w:val="24"/>
        </w:rPr>
      </w:pPr>
    </w:p>
    <w:p w14:paraId="7DDB1CE3" w14:textId="1EC7BA9F" w:rsidR="00956FBC" w:rsidRPr="00C04EA2" w:rsidRDefault="00C0445D" w:rsidP="005A30C7">
      <w:pPr>
        <w:tabs>
          <w:tab w:val="left" w:pos="3780"/>
        </w:tabs>
        <w:spacing w:line="360" w:lineRule="auto"/>
        <w:jc w:val="center"/>
        <w:rPr>
          <w:rFonts w:ascii="Times New Roman" w:hAnsi="Times New Roman" w:cs="Times New Roman"/>
          <w:sz w:val="24"/>
          <w:szCs w:val="24"/>
        </w:rPr>
      </w:pPr>
      <w:r w:rsidRPr="00C04EA2">
        <w:rPr>
          <w:rFonts w:ascii="Times New Roman" w:hAnsi="Times New Roman" w:cs="Times New Roman"/>
          <w:b/>
          <w:sz w:val="24"/>
          <w:szCs w:val="24"/>
        </w:rPr>
        <w:t>METHODOLOGY</w:t>
      </w:r>
    </w:p>
    <w:p w14:paraId="50F32755" w14:textId="476B63A9" w:rsidR="00153323" w:rsidRPr="00C04EA2" w:rsidRDefault="000A6849"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Samples</w:t>
      </w:r>
    </w:p>
    <w:p w14:paraId="1AF284BA" w14:textId="4A1C1293" w:rsidR="000A6849" w:rsidRPr="00C04EA2" w:rsidRDefault="000A6849" w:rsidP="005A30C7">
      <w:pPr>
        <w:tabs>
          <w:tab w:val="left" w:pos="2652"/>
        </w:tabs>
        <w:spacing w:after="0" w:line="360" w:lineRule="auto"/>
        <w:jc w:val="both"/>
        <w:rPr>
          <w:rFonts w:ascii="Times New Roman" w:hAnsi="Times New Roman" w:cs="Times New Roman"/>
          <w:sz w:val="24"/>
          <w:szCs w:val="24"/>
        </w:rPr>
      </w:pPr>
      <w:r w:rsidRPr="00C04EA2">
        <w:rPr>
          <w:rFonts w:ascii="Times New Roman" w:hAnsi="Times New Roman" w:cs="Times New Roman"/>
          <w:sz w:val="24"/>
          <w:szCs w:val="24"/>
        </w:rPr>
        <w:t>There are 6</w:t>
      </w:r>
      <w:r w:rsidR="00401AEF" w:rsidRPr="00C04EA2">
        <w:rPr>
          <w:rFonts w:ascii="Times New Roman" w:hAnsi="Times New Roman" w:cs="Times New Roman"/>
          <w:sz w:val="24"/>
          <w:szCs w:val="24"/>
        </w:rPr>
        <w:t>1</w:t>
      </w:r>
      <w:r w:rsidRPr="00C04EA2">
        <w:rPr>
          <w:rFonts w:ascii="Times New Roman" w:hAnsi="Times New Roman" w:cs="Times New Roman"/>
          <w:sz w:val="24"/>
          <w:szCs w:val="24"/>
        </w:rPr>
        <w:t xml:space="preserve"> scheduled banks among these 43 private commercial banks</w:t>
      </w:r>
      <w:r w:rsidR="00401AEF" w:rsidRPr="00C04EA2">
        <w:rPr>
          <w:rFonts w:ascii="Times New Roman" w:hAnsi="Times New Roman" w:cs="Times New Roman"/>
          <w:sz w:val="24"/>
          <w:szCs w:val="24"/>
        </w:rPr>
        <w:t>,</w:t>
      </w:r>
      <w:r w:rsidRPr="00C04EA2">
        <w:rPr>
          <w:rFonts w:ascii="Times New Roman" w:hAnsi="Times New Roman" w:cs="Times New Roman"/>
          <w:sz w:val="24"/>
          <w:szCs w:val="24"/>
        </w:rPr>
        <w:t xml:space="preserve"> 6 state-owned commercial banks</w:t>
      </w:r>
      <w:r w:rsidR="00401AEF" w:rsidRPr="00C04EA2">
        <w:rPr>
          <w:rFonts w:ascii="Times New Roman" w:hAnsi="Times New Roman" w:cs="Times New Roman"/>
          <w:sz w:val="24"/>
          <w:szCs w:val="24"/>
        </w:rPr>
        <w:t xml:space="preserve">, </w:t>
      </w:r>
      <w:r w:rsidR="00401AEF" w:rsidRPr="00C04EA2">
        <w:rPr>
          <w:rFonts w:ascii="Times New Roman" w:eastAsia="Times New Roman" w:hAnsi="Times New Roman" w:cs="Times New Roman"/>
          <w:bCs/>
          <w:color w:val="000000"/>
          <w:sz w:val="24"/>
          <w:szCs w:val="24"/>
        </w:rPr>
        <w:t>3 specialized banks</w:t>
      </w:r>
      <w:r w:rsidR="00401AEF" w:rsidRPr="00C04EA2">
        <w:rPr>
          <w:rFonts w:ascii="Times New Roman" w:eastAsia="Times New Roman" w:hAnsi="Times New Roman" w:cs="Times New Roman"/>
          <w:color w:val="000000"/>
          <w:sz w:val="24"/>
          <w:szCs w:val="24"/>
        </w:rPr>
        <w:t xml:space="preserve">, </w:t>
      </w:r>
      <w:r w:rsidR="00401AEF" w:rsidRPr="00C04EA2">
        <w:rPr>
          <w:rFonts w:ascii="Times New Roman" w:eastAsia="Times New Roman" w:hAnsi="Times New Roman" w:cs="Times New Roman"/>
          <w:bCs/>
          <w:color w:val="000000"/>
          <w:sz w:val="24"/>
          <w:szCs w:val="24"/>
        </w:rPr>
        <w:t>33 conventional private commercial banks</w:t>
      </w:r>
      <w:r w:rsidR="00401AEF" w:rsidRPr="00C04EA2">
        <w:rPr>
          <w:rFonts w:ascii="Times New Roman" w:eastAsia="Times New Roman" w:hAnsi="Times New Roman" w:cs="Times New Roman"/>
          <w:color w:val="000000"/>
          <w:sz w:val="24"/>
          <w:szCs w:val="24"/>
        </w:rPr>
        <w:t xml:space="preserve">, </w:t>
      </w:r>
      <w:r w:rsidR="00401AEF" w:rsidRPr="00C04EA2">
        <w:rPr>
          <w:rFonts w:ascii="Times New Roman" w:eastAsia="Times New Roman" w:hAnsi="Times New Roman" w:cs="Times New Roman"/>
          <w:bCs/>
          <w:color w:val="000000"/>
          <w:sz w:val="24"/>
          <w:szCs w:val="24"/>
        </w:rPr>
        <w:t xml:space="preserve">10 </w:t>
      </w:r>
      <w:proofErr w:type="spellStart"/>
      <w:r w:rsidR="00401AEF" w:rsidRPr="00C04EA2">
        <w:rPr>
          <w:rFonts w:ascii="Times New Roman" w:eastAsia="Times New Roman" w:hAnsi="Times New Roman" w:cs="Times New Roman"/>
          <w:bCs/>
          <w:color w:val="000000"/>
          <w:sz w:val="24"/>
          <w:szCs w:val="24"/>
        </w:rPr>
        <w:t>Islami</w:t>
      </w:r>
      <w:proofErr w:type="spellEnd"/>
      <w:r w:rsidR="00401AEF" w:rsidRPr="00C04EA2">
        <w:rPr>
          <w:rFonts w:ascii="Times New Roman" w:eastAsia="Times New Roman" w:hAnsi="Times New Roman" w:cs="Times New Roman"/>
          <w:bCs/>
          <w:color w:val="000000"/>
          <w:sz w:val="24"/>
          <w:szCs w:val="24"/>
        </w:rPr>
        <w:t xml:space="preserve"> Shariah based</w:t>
      </w:r>
      <w:r w:rsidR="00F92E07" w:rsidRPr="00C04EA2">
        <w:rPr>
          <w:rFonts w:ascii="Times New Roman" w:eastAsia="Times New Roman" w:hAnsi="Times New Roman" w:cs="Times New Roman"/>
          <w:bCs/>
          <w:color w:val="000000"/>
          <w:sz w:val="24"/>
          <w:szCs w:val="24"/>
        </w:rPr>
        <w:t xml:space="preserve"> private commercial banks</w:t>
      </w:r>
      <w:r w:rsidR="00401AEF" w:rsidRPr="00C04EA2">
        <w:rPr>
          <w:rFonts w:ascii="Times New Roman" w:eastAsia="Times New Roman" w:hAnsi="Times New Roman" w:cs="Times New Roman"/>
          <w:color w:val="000000"/>
          <w:sz w:val="24"/>
          <w:szCs w:val="24"/>
        </w:rPr>
        <w:t>, 9</w:t>
      </w:r>
      <w:r w:rsidR="00F92E07" w:rsidRPr="00C04EA2">
        <w:rPr>
          <w:rFonts w:ascii="Times New Roman" w:eastAsia="Times New Roman" w:hAnsi="Times New Roman" w:cs="Times New Roman"/>
          <w:color w:val="000000"/>
          <w:sz w:val="24"/>
          <w:szCs w:val="24"/>
        </w:rPr>
        <w:t xml:space="preserve"> foreign commercial banks</w:t>
      </w:r>
      <w:r w:rsidR="00F92E07" w:rsidRPr="00C04EA2">
        <w:rPr>
          <w:rFonts w:ascii="Times New Roman" w:eastAsia="Times New Roman" w:hAnsi="Times New Roman" w:cs="Times New Roman"/>
          <w:bCs/>
          <w:color w:val="000000"/>
          <w:sz w:val="24"/>
          <w:szCs w:val="24"/>
        </w:rPr>
        <w:t xml:space="preserve"> </w:t>
      </w:r>
      <w:r w:rsidRPr="00C04EA2">
        <w:rPr>
          <w:rFonts w:ascii="Times New Roman" w:hAnsi="Times New Roman" w:cs="Times New Roman"/>
          <w:sz w:val="24"/>
          <w:szCs w:val="24"/>
        </w:rPr>
        <w:t>in Bangladesh that offer</w:t>
      </w:r>
      <w:r w:rsidR="00F92E07" w:rsidRPr="00C04EA2">
        <w:rPr>
          <w:rFonts w:ascii="Times New Roman" w:hAnsi="Times New Roman" w:cs="Times New Roman"/>
          <w:sz w:val="24"/>
          <w:szCs w:val="24"/>
        </w:rPr>
        <w:t xml:space="preserve"> full supervision and control of</w:t>
      </w:r>
      <w:r w:rsidRPr="00C04EA2">
        <w:rPr>
          <w:rFonts w:ascii="Times New Roman" w:hAnsi="Times New Roman" w:cs="Times New Roman"/>
          <w:sz w:val="24"/>
          <w:szCs w:val="24"/>
        </w:rPr>
        <w:t xml:space="preserve"> banking services, with Bangladesh Bank being the only exception as it is central bank of Bangladesh</w:t>
      </w:r>
      <w:r w:rsidRPr="00C04EA2">
        <w:rPr>
          <w:rFonts w:ascii="Times New Roman" w:hAnsi="Times New Roman" w:cs="Times New Roman"/>
          <w:b/>
          <w:sz w:val="24"/>
          <w:szCs w:val="24"/>
        </w:rPr>
        <w:t xml:space="preserve">. </w:t>
      </w:r>
      <w:r w:rsidRPr="00C04EA2">
        <w:rPr>
          <w:rFonts w:ascii="Times New Roman" w:hAnsi="Times New Roman" w:cs="Times New Roman"/>
          <w:sz w:val="24"/>
          <w:szCs w:val="24"/>
        </w:rPr>
        <w:t>Five Islamic banks have been selected conveniently as samples. These Islamic banks are following:</w:t>
      </w:r>
    </w:p>
    <w:p w14:paraId="59AFDA86" w14:textId="3186EBE3" w:rsidR="000A684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First Security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(FSIBL).</w:t>
      </w:r>
    </w:p>
    <w:p w14:paraId="0516CB3C" w14:textId="44E8E2FD"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of Bangladesh Limited (IBBL).</w:t>
      </w:r>
    </w:p>
    <w:p w14:paraId="3558EE3C" w14:textId="5BB7E42A"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Al-</w:t>
      </w:r>
      <w:proofErr w:type="spellStart"/>
      <w:r w:rsidRPr="00C04EA2">
        <w:rPr>
          <w:rFonts w:ascii="Times New Roman" w:hAnsi="Times New Roman" w:cs="Times New Roman"/>
          <w:sz w:val="24"/>
          <w:szCs w:val="24"/>
        </w:rPr>
        <w:t>Arafah</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w:t>
      </w:r>
      <w:r w:rsidR="00AC6C23" w:rsidRPr="00C04EA2">
        <w:rPr>
          <w:rFonts w:ascii="Times New Roman" w:hAnsi="Times New Roman" w:cs="Times New Roman"/>
          <w:sz w:val="24"/>
          <w:szCs w:val="24"/>
        </w:rPr>
        <w:t xml:space="preserve"> Limited</w:t>
      </w:r>
      <w:r w:rsidRPr="00C04EA2">
        <w:rPr>
          <w:rFonts w:ascii="Times New Roman" w:hAnsi="Times New Roman" w:cs="Times New Roman"/>
          <w:sz w:val="24"/>
          <w:szCs w:val="24"/>
        </w:rPr>
        <w:t xml:space="preserve"> (AIB</w:t>
      </w:r>
      <w:r w:rsidR="00AC6C23" w:rsidRPr="00C04EA2">
        <w:rPr>
          <w:rFonts w:ascii="Times New Roman" w:hAnsi="Times New Roman" w:cs="Times New Roman"/>
          <w:sz w:val="24"/>
          <w:szCs w:val="24"/>
        </w:rPr>
        <w:t>L</w:t>
      </w:r>
      <w:r w:rsidRPr="00C04EA2">
        <w:rPr>
          <w:rFonts w:ascii="Times New Roman" w:hAnsi="Times New Roman" w:cs="Times New Roman"/>
          <w:sz w:val="24"/>
          <w:szCs w:val="24"/>
        </w:rPr>
        <w:t>).</w:t>
      </w:r>
    </w:p>
    <w:p w14:paraId="08DDA43F" w14:textId="0A3A6A41"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proofErr w:type="spellStart"/>
      <w:r w:rsidRPr="00C04EA2">
        <w:rPr>
          <w:rFonts w:ascii="Times New Roman" w:hAnsi="Times New Roman" w:cs="Times New Roman"/>
          <w:sz w:val="24"/>
          <w:szCs w:val="24"/>
        </w:rPr>
        <w:t>Shajalal</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(SJIBL).</w:t>
      </w:r>
    </w:p>
    <w:p w14:paraId="7E0AFC60" w14:textId="64D33628" w:rsidR="009E2659" w:rsidRPr="00C04EA2" w:rsidRDefault="009E2659" w:rsidP="005A30C7">
      <w:pPr>
        <w:pStyle w:val="ListParagraph"/>
        <w:numPr>
          <w:ilvl w:val="0"/>
          <w:numId w:val="2"/>
        </w:num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Social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Bank Limited (SIBL).</w:t>
      </w:r>
    </w:p>
    <w:p w14:paraId="39E31EA3" w14:textId="77777777" w:rsidR="00956FBC" w:rsidRPr="00C04EA2" w:rsidRDefault="006964C4"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 vast majority population of Bangladesh are </w:t>
      </w:r>
      <w:r w:rsidR="00085520" w:rsidRPr="00C04EA2">
        <w:rPr>
          <w:rFonts w:ascii="Times New Roman" w:hAnsi="Times New Roman" w:cs="Times New Roman"/>
          <w:sz w:val="24"/>
          <w:szCs w:val="24"/>
        </w:rPr>
        <w:t>Muslim</w:t>
      </w:r>
      <w:r w:rsidRPr="00C04EA2">
        <w:rPr>
          <w:rFonts w:ascii="Times New Roman" w:hAnsi="Times New Roman" w:cs="Times New Roman"/>
          <w:sz w:val="24"/>
          <w:szCs w:val="24"/>
        </w:rPr>
        <w:t xml:space="preserve">. Most of them, prefer to </w:t>
      </w:r>
      <w:proofErr w:type="spellStart"/>
      <w:r w:rsidR="00C0445D" w:rsidRPr="00C04EA2">
        <w:rPr>
          <w:rFonts w:ascii="Times New Roman" w:hAnsi="Times New Roman" w:cs="Times New Roman"/>
          <w:sz w:val="24"/>
          <w:szCs w:val="24"/>
        </w:rPr>
        <w:t>S</w:t>
      </w:r>
      <w:r w:rsidRPr="00C04EA2">
        <w:rPr>
          <w:rFonts w:ascii="Times New Roman" w:hAnsi="Times New Roman" w:cs="Times New Roman"/>
          <w:sz w:val="24"/>
          <w:szCs w:val="24"/>
        </w:rPr>
        <w:t>haria</w:t>
      </w:r>
      <w:r w:rsidR="00C0445D" w:rsidRPr="00C04EA2">
        <w:rPr>
          <w:rFonts w:ascii="Times New Roman" w:hAnsi="Times New Roman" w:cs="Times New Roman"/>
          <w:sz w:val="24"/>
          <w:szCs w:val="24"/>
        </w:rPr>
        <w:t>’</w:t>
      </w:r>
      <w:r w:rsidRPr="00C04EA2">
        <w:rPr>
          <w:rFonts w:ascii="Times New Roman" w:hAnsi="Times New Roman" w:cs="Times New Roman"/>
          <w:sz w:val="24"/>
          <w:szCs w:val="24"/>
        </w:rPr>
        <w:t>h</w:t>
      </w:r>
      <w:proofErr w:type="spellEnd"/>
      <w:r w:rsidRPr="00C04EA2">
        <w:rPr>
          <w:rFonts w:ascii="Times New Roman" w:hAnsi="Times New Roman" w:cs="Times New Roman"/>
          <w:sz w:val="24"/>
          <w:szCs w:val="24"/>
        </w:rPr>
        <w:t xml:space="preserve"> based</w:t>
      </w:r>
      <w:r w:rsidR="00AD4406" w:rsidRPr="00C04EA2">
        <w:rPr>
          <w:rFonts w:ascii="Times New Roman" w:hAnsi="Times New Roman" w:cs="Times New Roman"/>
          <w:sz w:val="24"/>
          <w:szCs w:val="24"/>
        </w:rPr>
        <w:t xml:space="preserve"> principles </w:t>
      </w:r>
      <w:r w:rsidR="00F31C27" w:rsidRPr="00C04EA2">
        <w:rPr>
          <w:rFonts w:ascii="Times New Roman" w:hAnsi="Times New Roman" w:cs="Times New Roman"/>
          <w:sz w:val="24"/>
          <w:szCs w:val="24"/>
        </w:rPr>
        <w:t>in</w:t>
      </w:r>
      <w:r w:rsidRPr="00C04EA2">
        <w:rPr>
          <w:rFonts w:ascii="Times New Roman" w:hAnsi="Times New Roman" w:cs="Times New Roman"/>
          <w:sz w:val="24"/>
          <w:szCs w:val="24"/>
        </w:rPr>
        <w:t xml:space="preserve"> banking system rather than </w:t>
      </w:r>
      <w:r w:rsidR="00AD4406" w:rsidRPr="00C04EA2">
        <w:rPr>
          <w:rFonts w:ascii="Times New Roman" w:hAnsi="Times New Roman" w:cs="Times New Roman"/>
          <w:sz w:val="24"/>
          <w:szCs w:val="24"/>
        </w:rPr>
        <w:t>interest-based principles.</w:t>
      </w:r>
      <w:r w:rsidRPr="00C04EA2">
        <w:rPr>
          <w:rFonts w:ascii="Times New Roman" w:hAnsi="Times New Roman" w:cs="Times New Roman"/>
          <w:sz w:val="24"/>
          <w:szCs w:val="24"/>
        </w:rPr>
        <w:t xml:space="preserve"> </w:t>
      </w:r>
      <w:r w:rsidR="00AD4406" w:rsidRPr="00C04EA2">
        <w:rPr>
          <w:rFonts w:ascii="Times New Roman" w:hAnsi="Times New Roman" w:cs="Times New Roman"/>
          <w:sz w:val="24"/>
          <w:szCs w:val="24"/>
        </w:rPr>
        <w:t xml:space="preserve">This preference rate is </w:t>
      </w:r>
      <w:r w:rsidR="00AD4406" w:rsidRPr="00C04EA2">
        <w:rPr>
          <w:rFonts w:ascii="Times New Roman" w:hAnsi="Times New Roman" w:cs="Times New Roman"/>
          <w:sz w:val="24"/>
          <w:szCs w:val="24"/>
        </w:rPr>
        <w:lastRenderedPageBreak/>
        <w:t>increasing over time. The randomly selected Islamic banks or sample banks are private, which provide a lion share services of the banking sector of Bangladesh.</w:t>
      </w:r>
    </w:p>
    <w:p w14:paraId="1F38CC74" w14:textId="591B2AE1" w:rsidR="00C3612D" w:rsidRPr="00C04EA2" w:rsidRDefault="00085520" w:rsidP="005A30C7">
      <w:pPr>
        <w:tabs>
          <w:tab w:val="left" w:pos="2652"/>
        </w:tabs>
        <w:spacing w:after="0" w:line="360" w:lineRule="auto"/>
        <w:jc w:val="both"/>
        <w:rPr>
          <w:rFonts w:ascii="Times New Roman" w:hAnsi="Times New Roman" w:cs="Times New Roman"/>
          <w:sz w:val="24"/>
          <w:szCs w:val="24"/>
        </w:rPr>
      </w:pPr>
      <w:r w:rsidRPr="00C04EA2">
        <w:rPr>
          <w:rFonts w:ascii="Times New Roman" w:hAnsi="Times New Roman" w:cs="Times New Roman"/>
          <w:b/>
          <w:sz w:val="24"/>
          <w:szCs w:val="24"/>
        </w:rPr>
        <w:t>Variable</w:t>
      </w:r>
      <w:r w:rsidR="00C3612D" w:rsidRPr="00C04EA2">
        <w:rPr>
          <w:rFonts w:ascii="Times New Roman" w:hAnsi="Times New Roman" w:cs="Times New Roman"/>
          <w:b/>
          <w:sz w:val="24"/>
          <w:szCs w:val="24"/>
        </w:rPr>
        <w:t>s</w:t>
      </w:r>
    </w:p>
    <w:p w14:paraId="6C66FA27" w14:textId="78B5E3BB" w:rsidR="00A5012A" w:rsidRPr="00C04EA2" w:rsidRDefault="00C3612D" w:rsidP="00AB0204">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In this study, GDP is considered as the dependent variable. Whereas, </w:t>
      </w:r>
      <w:r w:rsidR="009921FF" w:rsidRPr="00C04EA2">
        <w:rPr>
          <w:rFonts w:ascii="Times New Roman" w:hAnsi="Times New Roman" w:cs="Times New Roman"/>
          <w:sz w:val="24"/>
          <w:szCs w:val="24"/>
        </w:rPr>
        <w:t>P</w:t>
      </w:r>
      <w:r w:rsidR="00BD7CCE" w:rsidRPr="00C04EA2">
        <w:rPr>
          <w:rFonts w:ascii="Times New Roman" w:hAnsi="Times New Roman" w:cs="Times New Roman"/>
          <w:sz w:val="24"/>
          <w:szCs w:val="24"/>
        </w:rPr>
        <w:t>rofitability (P),</w:t>
      </w:r>
      <w:r w:rsidR="00796CF5" w:rsidRPr="00C04EA2">
        <w:rPr>
          <w:rFonts w:ascii="Times New Roman" w:hAnsi="Times New Roman" w:cs="Times New Roman"/>
          <w:sz w:val="24"/>
          <w:szCs w:val="24"/>
        </w:rPr>
        <w:t xml:space="preserve"> Credit Risk Performance, Managerial Efficiency, Management Ability</w:t>
      </w:r>
      <w:r w:rsidR="00BD7CCE" w:rsidRPr="00C04EA2">
        <w:rPr>
          <w:rFonts w:ascii="Times New Roman" w:hAnsi="Times New Roman" w:cs="Times New Roman"/>
          <w:sz w:val="24"/>
          <w:szCs w:val="24"/>
        </w:rPr>
        <w:t>, which are the study's independent variables, are all measured using various financial ratios.</w:t>
      </w:r>
      <w:r w:rsidR="00AB0204">
        <w:rPr>
          <w:rFonts w:ascii="Times New Roman" w:hAnsi="Times New Roman" w:cs="Times New Roman"/>
          <w:sz w:val="24"/>
          <w:szCs w:val="24"/>
        </w:rPr>
        <w:t xml:space="preserve"> </w:t>
      </w:r>
      <w:r w:rsidR="00A5012A" w:rsidRPr="00C04EA2">
        <w:rPr>
          <w:rFonts w:ascii="Times New Roman" w:hAnsi="Times New Roman" w:cs="Times New Roman"/>
          <w:sz w:val="24"/>
          <w:szCs w:val="24"/>
        </w:rPr>
        <w:t xml:space="preserve">Here, profit ratio consists of Return on Assets (ROA), Return on Equity (ROE) and Earning </w:t>
      </w:r>
      <w:r w:rsidR="00CA359B" w:rsidRPr="00C04EA2">
        <w:rPr>
          <w:rFonts w:ascii="Times New Roman" w:hAnsi="Times New Roman" w:cs="Times New Roman"/>
          <w:sz w:val="24"/>
          <w:szCs w:val="24"/>
        </w:rPr>
        <w:t>P</w:t>
      </w:r>
      <w:r w:rsidR="00A5012A" w:rsidRPr="00C04EA2">
        <w:rPr>
          <w:rFonts w:ascii="Times New Roman" w:hAnsi="Times New Roman" w:cs="Times New Roman"/>
          <w:sz w:val="24"/>
          <w:szCs w:val="24"/>
        </w:rPr>
        <w:t>er Share</w:t>
      </w:r>
      <w:r w:rsidR="00CA359B" w:rsidRPr="00C04EA2">
        <w:rPr>
          <w:rFonts w:ascii="Times New Roman" w:hAnsi="Times New Roman" w:cs="Times New Roman"/>
          <w:sz w:val="24"/>
          <w:szCs w:val="24"/>
        </w:rPr>
        <w:t xml:space="preserve"> (EPS</w:t>
      </w:r>
      <w:r w:rsidR="00A5012A" w:rsidRPr="00C04EA2">
        <w:rPr>
          <w:rFonts w:ascii="Times New Roman" w:hAnsi="Times New Roman" w:cs="Times New Roman"/>
          <w:sz w:val="24"/>
          <w:szCs w:val="24"/>
        </w:rPr>
        <w:t>). Besides,</w:t>
      </w:r>
      <w:r w:rsidR="00796CF5" w:rsidRPr="00C04EA2">
        <w:rPr>
          <w:rFonts w:ascii="Times New Roman" w:hAnsi="Times New Roman" w:cs="Times New Roman"/>
          <w:sz w:val="24"/>
          <w:szCs w:val="24"/>
        </w:rPr>
        <w:t xml:space="preserve"> Credit Risk Performance</w:t>
      </w:r>
      <w:r w:rsidR="00A5012A" w:rsidRPr="00C04EA2">
        <w:rPr>
          <w:rFonts w:ascii="Times New Roman" w:hAnsi="Times New Roman" w:cs="Times New Roman"/>
          <w:sz w:val="24"/>
          <w:szCs w:val="24"/>
        </w:rPr>
        <w:t xml:space="preserve"> includes </w:t>
      </w:r>
      <w:r w:rsidR="00796CF5" w:rsidRPr="00C04EA2">
        <w:rPr>
          <w:rFonts w:ascii="Times New Roman" w:hAnsi="Times New Roman" w:cs="Times New Roman"/>
          <w:sz w:val="24"/>
          <w:szCs w:val="24"/>
        </w:rPr>
        <w:t>Equity to Total Assets (ETA), Capital adequacy Ratio (CAR). On the other hand, Managerial Efficiency and Management Ability include Income Expense Ratio (IER) and Asset Utiliza</w:t>
      </w:r>
      <w:r w:rsidR="00CA359B" w:rsidRPr="00C04EA2">
        <w:rPr>
          <w:rFonts w:ascii="Times New Roman" w:hAnsi="Times New Roman" w:cs="Times New Roman"/>
          <w:sz w:val="24"/>
          <w:szCs w:val="24"/>
        </w:rPr>
        <w:t>tion (AU), respectively.</w:t>
      </w:r>
    </w:p>
    <w:p w14:paraId="5A686529" w14:textId="77AD380D" w:rsidR="00D90551" w:rsidRPr="00C04EA2" w:rsidRDefault="00D90551"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The model</w:t>
      </w:r>
    </w:p>
    <w:p w14:paraId="2580FC4A" w14:textId="70631E45" w:rsidR="00294F41" w:rsidRDefault="00D90551" w:rsidP="005A30C7">
      <w:pPr>
        <w:tabs>
          <w:tab w:val="left" w:pos="2652"/>
        </w:tabs>
        <w:spacing w:after="0" w:line="360" w:lineRule="auto"/>
        <w:jc w:val="both"/>
        <w:rPr>
          <w:rFonts w:ascii="Times New Roman" w:hAnsi="Times New Roman" w:cs="Times New Roman"/>
          <w:sz w:val="24"/>
          <w:szCs w:val="24"/>
        </w:rPr>
      </w:pPr>
      <w:r w:rsidRPr="00C04EA2">
        <w:rPr>
          <w:rFonts w:ascii="Times New Roman" w:hAnsi="Times New Roman" w:cs="Times New Roman"/>
          <w:sz w:val="24"/>
          <w:szCs w:val="24"/>
        </w:rPr>
        <w:t>For the period of 20</w:t>
      </w:r>
      <w:r w:rsidR="006061D5" w:rsidRPr="00C04EA2">
        <w:rPr>
          <w:rFonts w:ascii="Times New Roman" w:hAnsi="Times New Roman" w:cs="Times New Roman"/>
          <w:sz w:val="24"/>
          <w:szCs w:val="24"/>
        </w:rPr>
        <w:t>10</w:t>
      </w:r>
      <w:r w:rsidRPr="00C04EA2">
        <w:rPr>
          <w:rFonts w:ascii="Times New Roman" w:hAnsi="Times New Roman" w:cs="Times New Roman"/>
          <w:sz w:val="24"/>
          <w:szCs w:val="24"/>
        </w:rPr>
        <w:t xml:space="preserve"> to 20</w:t>
      </w:r>
      <w:r w:rsidR="00CA359B" w:rsidRPr="00C04EA2">
        <w:rPr>
          <w:rFonts w:ascii="Times New Roman" w:hAnsi="Times New Roman" w:cs="Times New Roman"/>
          <w:sz w:val="24"/>
          <w:szCs w:val="24"/>
        </w:rPr>
        <w:t>19</w:t>
      </w:r>
      <w:r w:rsidRPr="00C04EA2">
        <w:rPr>
          <w:rFonts w:ascii="Times New Roman" w:hAnsi="Times New Roman" w:cs="Times New Roman"/>
          <w:sz w:val="24"/>
          <w:szCs w:val="24"/>
        </w:rPr>
        <w:t xml:space="preserve">, the model's estimated economic growth in the panel. By analyzing the results, we are able to identify factors that are directly related to the state of the economy, such as the adoption by Islamic banks by utilizing the study of </w:t>
      </w:r>
      <w:proofErr w:type="spellStart"/>
      <w:r w:rsidRPr="00C04EA2">
        <w:rPr>
          <w:rFonts w:ascii="Times New Roman" w:hAnsi="Times New Roman" w:cs="Times New Roman"/>
          <w:sz w:val="24"/>
          <w:szCs w:val="24"/>
        </w:rPr>
        <w:t>Demirgüc-Kunt</w:t>
      </w:r>
      <w:proofErr w:type="spellEnd"/>
      <w:r w:rsidRPr="00C04EA2">
        <w:rPr>
          <w:rFonts w:ascii="Times New Roman" w:hAnsi="Times New Roman" w:cs="Times New Roman"/>
          <w:sz w:val="24"/>
          <w:szCs w:val="24"/>
        </w:rPr>
        <w:t xml:space="preserve"> (2013). The issue of selecting the explanatory variable was resolved after a thorough examination of the various ratios and the various connections that could exist between them.</w:t>
      </w:r>
    </w:p>
    <w:p w14:paraId="258D25E5" w14:textId="58C7F3FF" w:rsidR="00AB0204" w:rsidRPr="00C04EA2" w:rsidRDefault="00AB0204" w:rsidP="005A30C7">
      <w:pPr>
        <w:tabs>
          <w:tab w:val="left" w:pos="265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The econometric model is following:</w:t>
      </w:r>
    </w:p>
    <w:p w14:paraId="3ABEB424" w14:textId="5A0B5653" w:rsidR="00A5012A" w:rsidRPr="00C04EA2" w:rsidRDefault="00294F41" w:rsidP="00AB0204">
      <w:pPr>
        <w:tabs>
          <w:tab w:val="left" w:pos="2652"/>
        </w:tabs>
        <w:spacing w:line="360" w:lineRule="auto"/>
        <w:jc w:val="center"/>
        <w:rPr>
          <w:rFonts w:ascii="Times New Roman" w:hAnsi="Times New Roman" w:cs="Times New Roman"/>
          <w:sz w:val="24"/>
          <w:szCs w:val="24"/>
        </w:rPr>
      </w:pPr>
      <w:proofErr w:type="spellStart"/>
      <w:r w:rsidRPr="00C04EA2">
        <w:rPr>
          <w:rFonts w:ascii="Times New Roman" w:hAnsi="Times New Roman" w:cs="Times New Roman"/>
          <w:sz w:val="24"/>
          <w:szCs w:val="24"/>
        </w:rPr>
        <w:t>Y</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=α</w:t>
      </w:r>
      <w:proofErr w:type="spellStart"/>
      <w:r w:rsidRPr="00C04EA2">
        <w:rPr>
          <w:rFonts w:ascii="Times New Roman" w:hAnsi="Times New Roman" w:cs="Times New Roman"/>
          <w:sz w:val="24"/>
          <w:szCs w:val="24"/>
          <w:vertAlign w:val="subscript"/>
        </w:rPr>
        <w:t>i</w:t>
      </w:r>
      <w:proofErr w:type="spellEnd"/>
      <w:r w:rsidRPr="00C04EA2">
        <w:rPr>
          <w:rFonts w:ascii="Times New Roman" w:hAnsi="Times New Roman" w:cs="Times New Roman"/>
          <w:sz w:val="24"/>
          <w:szCs w:val="24"/>
        </w:rPr>
        <w:t xml:space="preserve"> + β</w:t>
      </w:r>
      <w:proofErr w:type="spellStart"/>
      <w:r w:rsidRPr="00C04EA2">
        <w:rPr>
          <w:rFonts w:ascii="Times New Roman" w:hAnsi="Times New Roman" w:cs="Times New Roman"/>
          <w:sz w:val="24"/>
          <w:szCs w:val="24"/>
          <w:vertAlign w:val="subscript"/>
        </w:rPr>
        <w:t>it</w:t>
      </w:r>
      <w:r w:rsidRPr="00C04EA2">
        <w:rPr>
          <w:rFonts w:ascii="Times New Roman" w:hAnsi="Times New Roman" w:cs="Times New Roman"/>
          <w:sz w:val="24"/>
          <w:szCs w:val="24"/>
        </w:rPr>
        <w:t>ROA</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χ</w:t>
      </w:r>
      <w:r w:rsidRPr="00C04EA2">
        <w:rPr>
          <w:rFonts w:ascii="Times New Roman" w:hAnsi="Times New Roman" w:cs="Times New Roman"/>
          <w:sz w:val="24"/>
          <w:szCs w:val="24"/>
          <w:vertAlign w:val="subscript"/>
        </w:rPr>
        <w:t>it</w:t>
      </w:r>
      <w:r w:rsidRPr="00C04EA2">
        <w:rPr>
          <w:rFonts w:ascii="Times New Roman" w:hAnsi="Times New Roman" w:cs="Times New Roman"/>
          <w:sz w:val="24"/>
          <w:szCs w:val="24"/>
        </w:rPr>
        <w:t>ROE</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vertAlign w:val="subscript"/>
        </w:rPr>
        <w:t xml:space="preserve"> </w:t>
      </w:r>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δ</w:t>
      </w:r>
      <w:r w:rsidRPr="00C04EA2">
        <w:rPr>
          <w:rFonts w:ascii="Times New Roman" w:hAnsi="Times New Roman" w:cs="Times New Roman"/>
          <w:sz w:val="24"/>
          <w:szCs w:val="24"/>
          <w:vertAlign w:val="subscript"/>
        </w:rPr>
        <w:t>it</w:t>
      </w:r>
      <w:r w:rsidRPr="00C04EA2">
        <w:rPr>
          <w:rFonts w:ascii="Times New Roman" w:hAnsi="Times New Roman" w:cs="Times New Roman"/>
          <w:sz w:val="24"/>
          <w:szCs w:val="24"/>
        </w:rPr>
        <w:t>EPS</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φ</w:t>
      </w:r>
      <w:r w:rsidRPr="00C04EA2">
        <w:rPr>
          <w:rFonts w:ascii="Times New Roman" w:hAnsi="Times New Roman" w:cs="Times New Roman"/>
          <w:sz w:val="24"/>
          <w:szCs w:val="24"/>
          <w:vertAlign w:val="subscript"/>
        </w:rPr>
        <w:t>it</w:t>
      </w:r>
      <w:r w:rsidR="00CA359B" w:rsidRPr="00C04EA2">
        <w:rPr>
          <w:rFonts w:ascii="Times New Roman" w:hAnsi="Times New Roman" w:cs="Times New Roman"/>
          <w:sz w:val="24"/>
          <w:szCs w:val="24"/>
        </w:rPr>
        <w:t>ETA</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η</w:t>
      </w:r>
      <w:r w:rsidRPr="00C04EA2">
        <w:rPr>
          <w:rFonts w:ascii="Times New Roman" w:hAnsi="Times New Roman" w:cs="Times New Roman"/>
          <w:sz w:val="24"/>
          <w:szCs w:val="24"/>
          <w:vertAlign w:val="subscript"/>
        </w:rPr>
        <w:t>it</w:t>
      </w:r>
      <w:r w:rsidR="00CA359B" w:rsidRPr="00C04EA2">
        <w:rPr>
          <w:rFonts w:ascii="Times New Roman" w:hAnsi="Times New Roman" w:cs="Times New Roman"/>
          <w:sz w:val="24"/>
          <w:szCs w:val="24"/>
        </w:rPr>
        <w:t>CAR</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θ</w:t>
      </w:r>
      <w:r w:rsidRPr="00C04EA2">
        <w:rPr>
          <w:rFonts w:ascii="Times New Roman" w:hAnsi="Times New Roman" w:cs="Times New Roman"/>
          <w:sz w:val="24"/>
          <w:szCs w:val="24"/>
          <w:vertAlign w:val="subscript"/>
        </w:rPr>
        <w:t>it</w:t>
      </w:r>
      <w:r w:rsidR="00401AEF" w:rsidRPr="00C04EA2">
        <w:rPr>
          <w:rFonts w:ascii="Times New Roman" w:hAnsi="Times New Roman" w:cs="Times New Roman"/>
          <w:sz w:val="24"/>
          <w:szCs w:val="24"/>
        </w:rPr>
        <w:t>IER</w:t>
      </w:r>
      <w:r w:rsidRPr="00C04EA2">
        <w:rPr>
          <w:rFonts w:ascii="Times New Roman" w:hAnsi="Times New Roman" w:cs="Times New Roman"/>
          <w:sz w:val="24"/>
          <w:szCs w:val="24"/>
          <w:vertAlign w:val="subscript"/>
        </w:rPr>
        <w:t>it</w:t>
      </w:r>
      <w:proofErr w:type="spellEnd"/>
      <w:r w:rsidRPr="00C04EA2">
        <w:rPr>
          <w:rFonts w:ascii="Times New Roman" w:hAnsi="Times New Roman" w:cs="Times New Roman"/>
          <w:sz w:val="24"/>
          <w:szCs w:val="24"/>
        </w:rPr>
        <w:t xml:space="preserve"> + </w:t>
      </w:r>
      <w:proofErr w:type="spellStart"/>
      <w:r w:rsidRPr="00C04EA2">
        <w:rPr>
          <w:rFonts w:ascii="Times New Roman" w:hAnsi="Times New Roman" w:cs="Times New Roman"/>
          <w:sz w:val="24"/>
          <w:szCs w:val="24"/>
        </w:rPr>
        <w:t>γ</w:t>
      </w:r>
      <w:r w:rsidRPr="00C04EA2">
        <w:rPr>
          <w:rFonts w:ascii="Times New Roman" w:hAnsi="Times New Roman" w:cs="Times New Roman"/>
          <w:sz w:val="24"/>
          <w:szCs w:val="24"/>
          <w:vertAlign w:val="subscript"/>
        </w:rPr>
        <w:t>it</w:t>
      </w:r>
      <w:r w:rsidR="00401AEF" w:rsidRPr="00C04EA2">
        <w:rPr>
          <w:rFonts w:ascii="Times New Roman" w:hAnsi="Times New Roman" w:cs="Times New Roman"/>
          <w:sz w:val="24"/>
          <w:szCs w:val="24"/>
        </w:rPr>
        <w:t>AU</w:t>
      </w:r>
      <w:r w:rsidR="00DB045B" w:rsidRPr="00C04EA2">
        <w:rPr>
          <w:rFonts w:ascii="Times New Roman" w:hAnsi="Times New Roman" w:cs="Times New Roman"/>
          <w:sz w:val="24"/>
          <w:szCs w:val="24"/>
          <w:vertAlign w:val="subscript"/>
        </w:rPr>
        <w:t>it</w:t>
      </w:r>
      <w:proofErr w:type="spellEnd"/>
      <w:r w:rsidR="00DB045B" w:rsidRPr="00C04EA2">
        <w:rPr>
          <w:rFonts w:ascii="Times New Roman" w:hAnsi="Times New Roman" w:cs="Times New Roman"/>
          <w:sz w:val="24"/>
          <w:szCs w:val="24"/>
        </w:rPr>
        <w:t xml:space="preserve"> + </w:t>
      </w:r>
      <w:proofErr w:type="spellStart"/>
      <w:r w:rsidR="00DB045B" w:rsidRPr="00C04EA2">
        <w:rPr>
          <w:rFonts w:ascii="Times New Roman" w:hAnsi="Times New Roman" w:cs="Times New Roman"/>
          <w:sz w:val="24"/>
          <w:szCs w:val="24"/>
        </w:rPr>
        <w:t>ε</w:t>
      </w:r>
      <w:r w:rsidR="00DB045B" w:rsidRPr="00C04EA2">
        <w:rPr>
          <w:rFonts w:ascii="Times New Roman" w:hAnsi="Times New Roman" w:cs="Times New Roman"/>
          <w:sz w:val="24"/>
          <w:szCs w:val="24"/>
          <w:vertAlign w:val="subscript"/>
        </w:rPr>
        <w:t>it</w:t>
      </w:r>
      <w:proofErr w:type="spellEnd"/>
    </w:p>
    <w:p w14:paraId="45FA8A81" w14:textId="77777777" w:rsidR="004A1513" w:rsidRDefault="00535656"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w:t>
      </w:r>
      <w:r w:rsidR="00935E18" w:rsidRPr="00C04EA2">
        <w:rPr>
          <w:rFonts w:ascii="Times New Roman" w:hAnsi="Times New Roman" w:cs="Times New Roman"/>
          <w:sz w:val="24"/>
          <w:szCs w:val="24"/>
        </w:rPr>
        <w:t>here,</w:t>
      </w:r>
    </w:p>
    <w:p w14:paraId="37A77391" w14:textId="77777777" w:rsidR="004A1513" w:rsidRDefault="004A1513"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Y = GDP</w:t>
      </w:r>
    </w:p>
    <w:p w14:paraId="5CF063A8" w14:textId="77777777" w:rsidR="004A1513" w:rsidRDefault="004A1513"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ROA = </w:t>
      </w:r>
      <w:r w:rsidRPr="00C04EA2">
        <w:rPr>
          <w:rFonts w:ascii="Times New Roman" w:hAnsi="Times New Roman" w:cs="Times New Roman"/>
          <w:sz w:val="24"/>
          <w:szCs w:val="24"/>
        </w:rPr>
        <w:t xml:space="preserve">Return on Assets </w:t>
      </w:r>
    </w:p>
    <w:p w14:paraId="602CABA0" w14:textId="77777777" w:rsidR="004A1513" w:rsidRDefault="004A1513"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ROE = </w:t>
      </w:r>
      <w:r w:rsidRPr="00C04EA2">
        <w:rPr>
          <w:rFonts w:ascii="Times New Roman" w:hAnsi="Times New Roman" w:cs="Times New Roman"/>
          <w:sz w:val="24"/>
          <w:szCs w:val="24"/>
        </w:rPr>
        <w:t xml:space="preserve">Return on Equity </w:t>
      </w:r>
    </w:p>
    <w:p w14:paraId="693539F7" w14:textId="740BC630" w:rsidR="00340B7F" w:rsidRDefault="004A1513"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EPS = </w:t>
      </w:r>
      <w:r w:rsidR="00340B7F" w:rsidRPr="00C04EA2">
        <w:rPr>
          <w:rFonts w:ascii="Times New Roman" w:hAnsi="Times New Roman" w:cs="Times New Roman"/>
          <w:sz w:val="24"/>
          <w:szCs w:val="24"/>
        </w:rPr>
        <w:t>Earnings</w:t>
      </w:r>
      <w:r w:rsidRPr="00C04EA2">
        <w:rPr>
          <w:rFonts w:ascii="Times New Roman" w:hAnsi="Times New Roman" w:cs="Times New Roman"/>
          <w:sz w:val="24"/>
          <w:szCs w:val="24"/>
        </w:rPr>
        <w:t xml:space="preserve"> Per Share </w:t>
      </w:r>
    </w:p>
    <w:p w14:paraId="5F8753D4" w14:textId="09E86903" w:rsidR="00340B7F" w:rsidRDefault="00340B7F"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ETA = </w:t>
      </w:r>
      <w:r w:rsidR="004A1513" w:rsidRPr="00C04EA2">
        <w:rPr>
          <w:rFonts w:ascii="Times New Roman" w:hAnsi="Times New Roman" w:cs="Times New Roman"/>
          <w:sz w:val="24"/>
          <w:szCs w:val="24"/>
        </w:rPr>
        <w:t xml:space="preserve">Equity to Total Assets </w:t>
      </w:r>
    </w:p>
    <w:p w14:paraId="0CA5B69B" w14:textId="341156BB" w:rsidR="00340B7F" w:rsidRDefault="00340B7F"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CAR = </w:t>
      </w:r>
      <w:r w:rsidR="004A1513" w:rsidRPr="00C04EA2">
        <w:rPr>
          <w:rFonts w:ascii="Times New Roman" w:hAnsi="Times New Roman" w:cs="Times New Roman"/>
          <w:sz w:val="24"/>
          <w:szCs w:val="24"/>
        </w:rPr>
        <w:t xml:space="preserve">Capital adequacy Ratio </w:t>
      </w:r>
    </w:p>
    <w:p w14:paraId="2AC39E20" w14:textId="77777777" w:rsidR="00340B7F" w:rsidRDefault="00340B7F"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IER = </w:t>
      </w:r>
      <w:r w:rsidR="004A1513" w:rsidRPr="00C04EA2">
        <w:rPr>
          <w:rFonts w:ascii="Times New Roman" w:hAnsi="Times New Roman" w:cs="Times New Roman"/>
          <w:sz w:val="24"/>
          <w:szCs w:val="24"/>
        </w:rPr>
        <w:t xml:space="preserve">Income Expense Ratio </w:t>
      </w:r>
    </w:p>
    <w:p w14:paraId="7808EDAD" w14:textId="1C86EBFF" w:rsidR="00DF6416" w:rsidRDefault="00340B7F"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AU = </w:t>
      </w:r>
      <w:r w:rsidR="004A1513" w:rsidRPr="00C04EA2">
        <w:rPr>
          <w:rFonts w:ascii="Times New Roman" w:hAnsi="Times New Roman" w:cs="Times New Roman"/>
          <w:sz w:val="24"/>
          <w:szCs w:val="24"/>
        </w:rPr>
        <w:t xml:space="preserve">Asset Utilization </w:t>
      </w:r>
    </w:p>
    <w:p w14:paraId="7F1855D9" w14:textId="04144933" w:rsidR="00340B7F" w:rsidRDefault="00340B7F" w:rsidP="005A30C7">
      <w:pPr>
        <w:tabs>
          <w:tab w:val="left" w:pos="2652"/>
        </w:tabs>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i</w:t>
      </w:r>
      <w:proofErr w:type="spellEnd"/>
      <w:r>
        <w:rPr>
          <w:rFonts w:ascii="Times New Roman" w:hAnsi="Times New Roman" w:cs="Times New Roman"/>
          <w:sz w:val="24"/>
          <w:szCs w:val="24"/>
        </w:rPr>
        <w:t xml:space="preserve"> = Country</w:t>
      </w:r>
    </w:p>
    <w:p w14:paraId="4FE55574" w14:textId="2C0C16E9" w:rsidR="00340B7F" w:rsidRPr="00C04EA2" w:rsidRDefault="00340B7F"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t = Time</w:t>
      </w:r>
    </w:p>
    <w:p w14:paraId="5E0B32E0" w14:textId="22FB8751" w:rsidR="00C3612D" w:rsidRPr="00C04EA2" w:rsidRDefault="00A5012A"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Research Method</w:t>
      </w:r>
      <w:r w:rsidR="00294F41" w:rsidRPr="00C04EA2">
        <w:rPr>
          <w:rFonts w:ascii="Times New Roman" w:hAnsi="Times New Roman" w:cs="Times New Roman"/>
          <w:b/>
          <w:sz w:val="24"/>
          <w:szCs w:val="24"/>
        </w:rPr>
        <w:t xml:space="preserve"> </w:t>
      </w:r>
    </w:p>
    <w:p w14:paraId="4887F079" w14:textId="38CA7DCE" w:rsidR="00DF6416" w:rsidRPr="00C04EA2" w:rsidRDefault="0011497A" w:rsidP="002F45B0">
      <w:pPr>
        <w:spacing w:after="0" w:line="360" w:lineRule="auto"/>
        <w:jc w:val="both"/>
        <w:rPr>
          <w:rFonts w:ascii="Times New Roman" w:hAnsi="Times New Roman" w:cs="Times New Roman"/>
          <w:sz w:val="24"/>
          <w:szCs w:val="24"/>
        </w:rPr>
      </w:pPr>
      <w:r w:rsidRPr="00C04EA2">
        <w:rPr>
          <w:rFonts w:ascii="Times New Roman" w:hAnsi="Times New Roman" w:cs="Times New Roman"/>
          <w:sz w:val="24"/>
          <w:szCs w:val="24"/>
        </w:rPr>
        <w:t>Many researchers have been conducted numerous studied to find out the effect of Islamic banking on the economic growth, where they have used several types of analysis methods</w:t>
      </w:r>
      <w:r w:rsidR="006F7DB2" w:rsidRPr="00C04EA2">
        <w:rPr>
          <w:rFonts w:ascii="Times New Roman" w:hAnsi="Times New Roman" w:cs="Times New Roman"/>
          <w:sz w:val="24"/>
          <w:szCs w:val="24"/>
        </w:rPr>
        <w:t xml:space="preserve">, such as, Johansen Cointegration Analysis, ARDL, </w:t>
      </w:r>
      <w:r w:rsidR="00AC6C23" w:rsidRPr="00C04EA2">
        <w:rPr>
          <w:rFonts w:ascii="Times New Roman" w:hAnsi="Times New Roman" w:cs="Times New Roman"/>
          <w:sz w:val="24"/>
          <w:szCs w:val="24"/>
        </w:rPr>
        <w:t xml:space="preserve">Survey, </w:t>
      </w:r>
      <w:r w:rsidR="006F7DB2" w:rsidRPr="00C04EA2">
        <w:rPr>
          <w:rFonts w:ascii="Times New Roman" w:hAnsi="Times New Roman" w:cs="Times New Roman"/>
          <w:sz w:val="24"/>
          <w:szCs w:val="24"/>
        </w:rPr>
        <w:t>Regression, VAR Granger Causality Analysis. In this study, a different statistical method has been used, to access, how the</w:t>
      </w:r>
      <w:r w:rsidR="00716A65" w:rsidRPr="00C04EA2">
        <w:rPr>
          <w:rFonts w:ascii="Times New Roman" w:hAnsi="Times New Roman" w:cs="Times New Roman"/>
          <w:sz w:val="24"/>
          <w:szCs w:val="24"/>
        </w:rPr>
        <w:t xml:space="preserve"> sample</w:t>
      </w:r>
      <w:r w:rsidR="006F7DB2" w:rsidRPr="00C04EA2">
        <w:rPr>
          <w:rFonts w:ascii="Times New Roman" w:hAnsi="Times New Roman" w:cs="Times New Roman"/>
          <w:sz w:val="24"/>
          <w:szCs w:val="24"/>
        </w:rPr>
        <w:t xml:space="preserve"> banks performance</w:t>
      </w:r>
      <w:r w:rsidR="00716A65" w:rsidRPr="00C04EA2">
        <w:rPr>
          <w:rFonts w:ascii="Times New Roman" w:hAnsi="Times New Roman" w:cs="Times New Roman"/>
          <w:sz w:val="24"/>
          <w:szCs w:val="24"/>
        </w:rPr>
        <w:t>s</w:t>
      </w:r>
      <w:r w:rsidR="006F7DB2" w:rsidRPr="00C04EA2">
        <w:rPr>
          <w:rFonts w:ascii="Times New Roman" w:hAnsi="Times New Roman" w:cs="Times New Roman"/>
          <w:sz w:val="24"/>
          <w:szCs w:val="24"/>
        </w:rPr>
        <w:t xml:space="preserve"> </w:t>
      </w:r>
      <w:r w:rsidR="00716A65" w:rsidRPr="00C04EA2">
        <w:rPr>
          <w:rFonts w:ascii="Times New Roman" w:hAnsi="Times New Roman" w:cs="Times New Roman"/>
          <w:sz w:val="24"/>
          <w:szCs w:val="24"/>
        </w:rPr>
        <w:t xml:space="preserve">effect </w:t>
      </w:r>
      <w:r w:rsidR="006F7DB2" w:rsidRPr="00C04EA2">
        <w:rPr>
          <w:rFonts w:ascii="Times New Roman" w:hAnsi="Times New Roman" w:cs="Times New Roman"/>
          <w:sz w:val="24"/>
          <w:szCs w:val="24"/>
        </w:rPr>
        <w:t>on economic growth</w:t>
      </w:r>
      <w:r w:rsidR="006061D5" w:rsidRPr="00C04EA2">
        <w:rPr>
          <w:rFonts w:ascii="Times New Roman" w:hAnsi="Times New Roman" w:cs="Times New Roman"/>
          <w:sz w:val="24"/>
          <w:szCs w:val="24"/>
        </w:rPr>
        <w:t>.</w:t>
      </w:r>
      <w:r w:rsidR="002F45B0">
        <w:rPr>
          <w:rFonts w:ascii="Times New Roman" w:hAnsi="Times New Roman" w:cs="Times New Roman"/>
          <w:sz w:val="24"/>
          <w:szCs w:val="24"/>
        </w:rPr>
        <w:t xml:space="preserve"> </w:t>
      </w:r>
      <w:r w:rsidR="006061D5" w:rsidRPr="00C04EA2">
        <w:rPr>
          <w:rFonts w:ascii="Times New Roman" w:hAnsi="Times New Roman" w:cs="Times New Roman"/>
          <w:sz w:val="24"/>
          <w:szCs w:val="24"/>
        </w:rPr>
        <w:t>The study used ‘Covariance Analysis: Ordinary, Unit Root test, ARDL test and Gran</w:t>
      </w:r>
      <w:r w:rsidR="00677BE3" w:rsidRPr="00C04EA2">
        <w:rPr>
          <w:rFonts w:ascii="Times New Roman" w:hAnsi="Times New Roman" w:cs="Times New Roman"/>
          <w:sz w:val="24"/>
          <w:szCs w:val="24"/>
        </w:rPr>
        <w:t>g</w:t>
      </w:r>
      <w:r w:rsidR="006061D5" w:rsidRPr="00C04EA2">
        <w:rPr>
          <w:rFonts w:ascii="Times New Roman" w:hAnsi="Times New Roman" w:cs="Times New Roman"/>
          <w:sz w:val="24"/>
          <w:szCs w:val="24"/>
        </w:rPr>
        <w:t xml:space="preserve">er Causality </w:t>
      </w:r>
      <w:r w:rsidR="00106D06" w:rsidRPr="00C04EA2">
        <w:rPr>
          <w:rFonts w:ascii="Times New Roman" w:hAnsi="Times New Roman" w:cs="Times New Roman"/>
          <w:sz w:val="24"/>
          <w:szCs w:val="24"/>
        </w:rPr>
        <w:t>Analysis</w:t>
      </w:r>
      <w:r w:rsidR="006061D5" w:rsidRPr="00C04EA2">
        <w:rPr>
          <w:rFonts w:ascii="Times New Roman" w:hAnsi="Times New Roman" w:cs="Times New Roman"/>
          <w:sz w:val="24"/>
          <w:szCs w:val="24"/>
        </w:rPr>
        <w:t xml:space="preserve">’ </w:t>
      </w:r>
      <w:r w:rsidR="00716A65" w:rsidRPr="00C04EA2">
        <w:rPr>
          <w:rFonts w:ascii="Times New Roman" w:hAnsi="Times New Roman" w:cs="Times New Roman"/>
          <w:sz w:val="24"/>
          <w:szCs w:val="24"/>
        </w:rPr>
        <w:t>among variables to measure the performances</w:t>
      </w:r>
      <w:r w:rsidR="00EF3E88" w:rsidRPr="00C04EA2">
        <w:rPr>
          <w:rFonts w:ascii="Times New Roman" w:hAnsi="Times New Roman" w:cs="Times New Roman"/>
          <w:sz w:val="24"/>
          <w:szCs w:val="24"/>
        </w:rPr>
        <w:t xml:space="preserve"> of selected banks and its effects on economic growth in perspective of Bangladesh</w:t>
      </w:r>
      <w:r w:rsidR="006061D5" w:rsidRPr="00C04EA2">
        <w:rPr>
          <w:rFonts w:ascii="Times New Roman" w:hAnsi="Times New Roman" w:cs="Times New Roman"/>
          <w:sz w:val="24"/>
          <w:szCs w:val="24"/>
        </w:rPr>
        <w:t>.</w:t>
      </w:r>
    </w:p>
    <w:p w14:paraId="7911D31D" w14:textId="77777777" w:rsidR="000333A3" w:rsidRPr="00C04EA2" w:rsidRDefault="000333A3" w:rsidP="005A30C7">
      <w:pPr>
        <w:spacing w:line="360" w:lineRule="auto"/>
        <w:jc w:val="both"/>
        <w:rPr>
          <w:rFonts w:ascii="Times New Roman" w:hAnsi="Times New Roman" w:cs="Times New Roman"/>
          <w:color w:val="FF0000"/>
          <w:sz w:val="24"/>
          <w:szCs w:val="24"/>
        </w:rPr>
      </w:pPr>
    </w:p>
    <w:p w14:paraId="41E8BB84" w14:textId="06AE4574" w:rsidR="00783C8C" w:rsidRPr="00C04EA2" w:rsidRDefault="002F45B0" w:rsidP="005A30C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RESULTS</w:t>
      </w:r>
      <w:r w:rsidRPr="002F45B0">
        <w:rPr>
          <w:rFonts w:ascii="Times New Roman" w:hAnsi="Times New Roman" w:cs="Times New Roman"/>
          <w:b/>
          <w:sz w:val="24"/>
          <w:szCs w:val="24"/>
        </w:rPr>
        <w:t xml:space="preserve"> </w:t>
      </w:r>
      <w:r w:rsidRPr="00C04EA2">
        <w:rPr>
          <w:rFonts w:ascii="Times New Roman" w:hAnsi="Times New Roman" w:cs="Times New Roman"/>
          <w:b/>
          <w:sz w:val="24"/>
          <w:szCs w:val="24"/>
        </w:rPr>
        <w:t>AND</w:t>
      </w:r>
      <w:r w:rsidR="00A7788F">
        <w:rPr>
          <w:rFonts w:ascii="Times New Roman" w:hAnsi="Times New Roman" w:cs="Times New Roman"/>
          <w:b/>
          <w:sz w:val="24"/>
          <w:szCs w:val="24"/>
        </w:rPr>
        <w:t xml:space="preserve"> FINDINGS</w:t>
      </w:r>
      <w:r w:rsidR="00783C8C" w:rsidRPr="00C04EA2">
        <w:rPr>
          <w:rFonts w:ascii="Times New Roman" w:hAnsi="Times New Roman" w:cs="Times New Roman"/>
          <w:b/>
          <w:sz w:val="24"/>
          <w:szCs w:val="24"/>
        </w:rPr>
        <w:t xml:space="preserve"> </w:t>
      </w:r>
    </w:p>
    <w:p w14:paraId="3113B14B" w14:textId="77777777" w:rsidR="00340B7F" w:rsidRDefault="000333A3" w:rsidP="005A30C7">
      <w:pPr>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Covariance and Co-relation Total</w:t>
      </w:r>
    </w:p>
    <w:p w14:paraId="1D70FF32" w14:textId="1CA9DDC7" w:rsidR="008273F0" w:rsidRPr="00340B7F" w:rsidRDefault="00340B7F" w:rsidP="005A30C7">
      <w:pPr>
        <w:spacing w:line="360" w:lineRule="auto"/>
        <w:jc w:val="center"/>
        <w:rPr>
          <w:rFonts w:ascii="Times New Roman" w:hAnsi="Times New Roman" w:cs="Times New Roman"/>
          <w:b/>
          <w:sz w:val="24"/>
          <w:szCs w:val="24"/>
        </w:rPr>
      </w:pPr>
      <w:r>
        <w:rPr>
          <w:rFonts w:ascii="Times New Roman" w:hAnsi="Times New Roman" w:cs="Times New Roman"/>
          <w:sz w:val="24"/>
          <w:szCs w:val="24"/>
        </w:rPr>
        <w:t xml:space="preserve">Table 02: Covariance and correlation of </w:t>
      </w:r>
      <w:r w:rsidR="000333A3" w:rsidRPr="00C04EA2">
        <w:rPr>
          <w:rFonts w:ascii="Times New Roman" w:hAnsi="Times New Roman" w:cs="Times New Roman"/>
          <w:sz w:val="24"/>
          <w:szCs w:val="24"/>
        </w:rPr>
        <w:t xml:space="preserve">First Security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(FSIBL)</w:t>
      </w:r>
    </w:p>
    <w:p w14:paraId="767E707B" w14:textId="48443FA7" w:rsidR="000333A3" w:rsidRPr="00C04EA2" w:rsidRDefault="000333A3" w:rsidP="005A30C7">
      <w:pPr>
        <w:spacing w:line="360" w:lineRule="auto"/>
        <w:jc w:val="both"/>
        <w:rPr>
          <w:rFonts w:ascii="Times New Roman" w:hAnsi="Times New Roman" w:cs="Times New Roman"/>
          <w:b/>
          <w:sz w:val="24"/>
          <w:szCs w:val="24"/>
        </w:rPr>
      </w:pPr>
      <w:r w:rsidRPr="00C04EA2">
        <w:rPr>
          <w:rFonts w:ascii="Times New Roman" w:hAnsi="Times New Roman" w:cs="Times New Roman"/>
          <w:b/>
          <w:noProof/>
          <w:sz w:val="24"/>
          <w:szCs w:val="24"/>
          <w:lang w:bidi="bn-BD"/>
        </w:rPr>
        <w:drawing>
          <wp:inline distT="0" distB="0" distL="0" distR="0" wp14:anchorId="78F9BB7E" wp14:editId="27884C2F">
            <wp:extent cx="5943600" cy="3007921"/>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007921"/>
                    </a:xfrm>
                    <a:prstGeom prst="rect">
                      <a:avLst/>
                    </a:prstGeom>
                    <a:noFill/>
                    <a:ln>
                      <a:noFill/>
                    </a:ln>
                  </pic:spPr>
                </pic:pic>
              </a:graphicData>
            </a:graphic>
          </wp:inline>
        </w:drawing>
      </w:r>
    </w:p>
    <w:p w14:paraId="57FF246B" w14:textId="77777777" w:rsidR="00340B7F" w:rsidRDefault="00340B7F" w:rsidP="005A30C7">
      <w:pPr>
        <w:spacing w:line="360" w:lineRule="auto"/>
        <w:jc w:val="center"/>
        <w:rPr>
          <w:rFonts w:ascii="Times New Roman" w:hAnsi="Times New Roman" w:cs="Times New Roman"/>
          <w:sz w:val="24"/>
          <w:szCs w:val="24"/>
        </w:rPr>
      </w:pPr>
    </w:p>
    <w:p w14:paraId="7439CE5F" w14:textId="17F03593" w:rsidR="008273F0" w:rsidRPr="00C04EA2" w:rsidRDefault="00340B7F" w:rsidP="005A30C7">
      <w:pPr>
        <w:spacing w:line="360" w:lineRule="auto"/>
        <w:jc w:val="center"/>
        <w:rPr>
          <w:rFonts w:ascii="Times New Roman" w:hAnsi="Times New Roman" w:cs="Times New Roman"/>
          <w:sz w:val="24"/>
          <w:szCs w:val="24"/>
        </w:rPr>
      </w:pPr>
      <w:r>
        <w:rPr>
          <w:rFonts w:ascii="Times New Roman" w:hAnsi="Times New Roman" w:cs="Times New Roman"/>
          <w:sz w:val="24"/>
          <w:szCs w:val="24"/>
        </w:rPr>
        <w:t>Table 0</w:t>
      </w:r>
      <w:r>
        <w:rPr>
          <w:rFonts w:ascii="Times New Roman" w:hAnsi="Times New Roman" w:cs="Times New Roman"/>
          <w:sz w:val="24"/>
          <w:szCs w:val="24"/>
        </w:rPr>
        <w:t>3</w:t>
      </w:r>
      <w:r>
        <w:rPr>
          <w:rFonts w:ascii="Times New Roman" w:hAnsi="Times New Roman" w:cs="Times New Roman"/>
          <w:sz w:val="24"/>
          <w:szCs w:val="24"/>
        </w:rPr>
        <w:t>: Covariance and correlation of</w:t>
      </w:r>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of Bangladesh Limited (IBBL)</w:t>
      </w:r>
    </w:p>
    <w:p w14:paraId="552B6F5B" w14:textId="4FD8C80A" w:rsidR="008273F0" w:rsidRPr="00C04EA2" w:rsidRDefault="000333A3" w:rsidP="005A30C7">
      <w:pPr>
        <w:spacing w:line="360" w:lineRule="auto"/>
        <w:rPr>
          <w:rFonts w:ascii="Times New Roman" w:hAnsi="Times New Roman" w:cs="Times New Roman"/>
          <w:sz w:val="24"/>
          <w:szCs w:val="24"/>
        </w:rPr>
      </w:pPr>
      <w:r w:rsidRPr="00C04EA2">
        <w:rPr>
          <w:rFonts w:ascii="Times New Roman" w:hAnsi="Times New Roman" w:cs="Times New Roman"/>
          <w:noProof/>
          <w:sz w:val="24"/>
          <w:szCs w:val="24"/>
          <w:lang w:bidi="bn-BD"/>
        </w:rPr>
        <w:lastRenderedPageBreak/>
        <w:drawing>
          <wp:inline distT="0" distB="0" distL="0" distR="0" wp14:anchorId="0E13FDD1" wp14:editId="2FFCF286">
            <wp:extent cx="5943600" cy="30073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07360"/>
                    </a:xfrm>
                    <a:prstGeom prst="rect">
                      <a:avLst/>
                    </a:prstGeom>
                    <a:noFill/>
                    <a:ln>
                      <a:noFill/>
                    </a:ln>
                  </pic:spPr>
                </pic:pic>
              </a:graphicData>
            </a:graphic>
          </wp:inline>
        </w:drawing>
      </w:r>
    </w:p>
    <w:p w14:paraId="4B4930B5" w14:textId="77777777" w:rsidR="00340B7F" w:rsidRDefault="00340B7F" w:rsidP="005A30C7">
      <w:pPr>
        <w:tabs>
          <w:tab w:val="left" w:pos="2652"/>
        </w:tabs>
        <w:spacing w:line="360" w:lineRule="auto"/>
        <w:jc w:val="center"/>
        <w:rPr>
          <w:rFonts w:ascii="Times New Roman" w:hAnsi="Times New Roman" w:cs="Times New Roman"/>
          <w:sz w:val="24"/>
          <w:szCs w:val="24"/>
        </w:rPr>
      </w:pPr>
    </w:p>
    <w:p w14:paraId="63900DC6" w14:textId="4E08828E" w:rsidR="000333A3"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t>Table 0</w:t>
      </w:r>
      <w:r>
        <w:rPr>
          <w:rFonts w:ascii="Times New Roman" w:hAnsi="Times New Roman" w:cs="Times New Roman"/>
          <w:sz w:val="24"/>
          <w:szCs w:val="24"/>
        </w:rPr>
        <w:t>4</w:t>
      </w:r>
      <w:r>
        <w:rPr>
          <w:rFonts w:ascii="Times New Roman" w:hAnsi="Times New Roman" w:cs="Times New Roman"/>
          <w:sz w:val="24"/>
          <w:szCs w:val="24"/>
        </w:rPr>
        <w:t xml:space="preserve">: Covariance and correlation of </w:t>
      </w:r>
      <w:r w:rsidR="000333A3" w:rsidRPr="00C04EA2">
        <w:rPr>
          <w:rFonts w:ascii="Times New Roman" w:hAnsi="Times New Roman" w:cs="Times New Roman"/>
          <w:sz w:val="24"/>
          <w:szCs w:val="24"/>
        </w:rPr>
        <w:t>Al-</w:t>
      </w:r>
      <w:proofErr w:type="spellStart"/>
      <w:r w:rsidR="000333A3" w:rsidRPr="00C04EA2">
        <w:rPr>
          <w:rFonts w:ascii="Times New Roman" w:hAnsi="Times New Roman" w:cs="Times New Roman"/>
          <w:sz w:val="24"/>
          <w:szCs w:val="24"/>
        </w:rPr>
        <w:t>Arafah</w:t>
      </w:r>
      <w:proofErr w:type="spellEnd"/>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(AIBL)</w:t>
      </w:r>
    </w:p>
    <w:p w14:paraId="1D668DC3" w14:textId="4A7F04B2" w:rsidR="008273F0" w:rsidRPr="00C04EA2" w:rsidRDefault="008273F0"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drawing>
          <wp:inline distT="0" distB="0" distL="0" distR="0" wp14:anchorId="1BCCF3B2" wp14:editId="41117A08">
            <wp:extent cx="5943600" cy="30073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007360"/>
                    </a:xfrm>
                    <a:prstGeom prst="rect">
                      <a:avLst/>
                    </a:prstGeom>
                    <a:noFill/>
                    <a:ln>
                      <a:noFill/>
                    </a:ln>
                  </pic:spPr>
                </pic:pic>
              </a:graphicData>
            </a:graphic>
          </wp:inline>
        </w:drawing>
      </w:r>
    </w:p>
    <w:p w14:paraId="5DB0B070" w14:textId="77777777" w:rsidR="00340B7F" w:rsidRDefault="00340B7F" w:rsidP="005A30C7">
      <w:pPr>
        <w:tabs>
          <w:tab w:val="left" w:pos="2652"/>
        </w:tabs>
        <w:spacing w:line="360" w:lineRule="auto"/>
        <w:jc w:val="both"/>
        <w:rPr>
          <w:rFonts w:ascii="Times New Roman" w:hAnsi="Times New Roman" w:cs="Times New Roman"/>
          <w:sz w:val="24"/>
          <w:szCs w:val="24"/>
        </w:rPr>
      </w:pPr>
    </w:p>
    <w:p w14:paraId="3DD5F111" w14:textId="111FC123" w:rsidR="008273F0"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t>Table 0</w:t>
      </w:r>
      <w:r>
        <w:rPr>
          <w:rFonts w:ascii="Times New Roman" w:hAnsi="Times New Roman" w:cs="Times New Roman"/>
          <w:sz w:val="24"/>
          <w:szCs w:val="24"/>
        </w:rPr>
        <w:t>5</w:t>
      </w:r>
      <w:r>
        <w:rPr>
          <w:rFonts w:ascii="Times New Roman" w:hAnsi="Times New Roman" w:cs="Times New Roman"/>
          <w:sz w:val="24"/>
          <w:szCs w:val="24"/>
        </w:rPr>
        <w:t xml:space="preserve">: Covariance and correlation of </w:t>
      </w:r>
      <w:proofErr w:type="spellStart"/>
      <w:r w:rsidR="000333A3" w:rsidRPr="00C04EA2">
        <w:rPr>
          <w:rFonts w:ascii="Times New Roman" w:hAnsi="Times New Roman" w:cs="Times New Roman"/>
          <w:sz w:val="24"/>
          <w:szCs w:val="24"/>
        </w:rPr>
        <w:t>Shajalal</w:t>
      </w:r>
      <w:proofErr w:type="spellEnd"/>
      <w:r w:rsidR="000333A3" w:rsidRPr="00C04EA2">
        <w:rPr>
          <w:rFonts w:ascii="Times New Roman" w:hAnsi="Times New Roman" w:cs="Times New Roman"/>
          <w:sz w:val="24"/>
          <w:szCs w:val="24"/>
        </w:rPr>
        <w:t xml:space="preserve">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(SJIBL)</w:t>
      </w:r>
    </w:p>
    <w:p w14:paraId="3D42F88B" w14:textId="3EFFCFEA" w:rsidR="000333A3" w:rsidRPr="00C04EA2"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lastRenderedPageBreak/>
        <w:drawing>
          <wp:inline distT="0" distB="0" distL="0" distR="0" wp14:anchorId="68A896C3" wp14:editId="26ACA716">
            <wp:extent cx="5943600" cy="3007921"/>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007921"/>
                    </a:xfrm>
                    <a:prstGeom prst="rect">
                      <a:avLst/>
                    </a:prstGeom>
                    <a:noFill/>
                    <a:ln>
                      <a:noFill/>
                    </a:ln>
                  </pic:spPr>
                </pic:pic>
              </a:graphicData>
            </a:graphic>
          </wp:inline>
        </w:drawing>
      </w:r>
    </w:p>
    <w:p w14:paraId="5622FEE0" w14:textId="77777777" w:rsidR="00340B7F" w:rsidRDefault="00340B7F" w:rsidP="005A30C7">
      <w:pPr>
        <w:tabs>
          <w:tab w:val="left" w:pos="2652"/>
        </w:tabs>
        <w:spacing w:line="360" w:lineRule="auto"/>
        <w:jc w:val="both"/>
        <w:rPr>
          <w:rFonts w:ascii="Times New Roman" w:hAnsi="Times New Roman" w:cs="Times New Roman"/>
          <w:sz w:val="24"/>
          <w:szCs w:val="24"/>
        </w:rPr>
      </w:pPr>
    </w:p>
    <w:p w14:paraId="071E18B9" w14:textId="7D01DBB1" w:rsidR="008273F0" w:rsidRPr="00C04EA2" w:rsidRDefault="00340B7F" w:rsidP="005A30C7">
      <w:pPr>
        <w:tabs>
          <w:tab w:val="left" w:pos="2652"/>
        </w:tabs>
        <w:spacing w:line="360" w:lineRule="auto"/>
        <w:jc w:val="center"/>
        <w:rPr>
          <w:rFonts w:ascii="Times New Roman" w:hAnsi="Times New Roman" w:cs="Times New Roman"/>
          <w:sz w:val="24"/>
          <w:szCs w:val="24"/>
        </w:rPr>
      </w:pPr>
      <w:r>
        <w:rPr>
          <w:rFonts w:ascii="Times New Roman" w:hAnsi="Times New Roman" w:cs="Times New Roman"/>
          <w:sz w:val="24"/>
          <w:szCs w:val="24"/>
        </w:rPr>
        <w:t>Table 0</w:t>
      </w:r>
      <w:r>
        <w:rPr>
          <w:rFonts w:ascii="Times New Roman" w:hAnsi="Times New Roman" w:cs="Times New Roman"/>
          <w:sz w:val="24"/>
          <w:szCs w:val="24"/>
        </w:rPr>
        <w:t>6</w:t>
      </w:r>
      <w:r>
        <w:rPr>
          <w:rFonts w:ascii="Times New Roman" w:hAnsi="Times New Roman" w:cs="Times New Roman"/>
          <w:sz w:val="24"/>
          <w:szCs w:val="24"/>
        </w:rPr>
        <w:t xml:space="preserve">: Covariance and correlation of </w:t>
      </w:r>
      <w:r w:rsidR="000333A3" w:rsidRPr="00C04EA2">
        <w:rPr>
          <w:rFonts w:ascii="Times New Roman" w:hAnsi="Times New Roman" w:cs="Times New Roman"/>
          <w:sz w:val="24"/>
          <w:szCs w:val="24"/>
        </w:rPr>
        <w:t xml:space="preserve">Social </w:t>
      </w:r>
      <w:proofErr w:type="spellStart"/>
      <w:r w:rsidR="000333A3" w:rsidRPr="00C04EA2">
        <w:rPr>
          <w:rFonts w:ascii="Times New Roman" w:hAnsi="Times New Roman" w:cs="Times New Roman"/>
          <w:sz w:val="24"/>
          <w:szCs w:val="24"/>
        </w:rPr>
        <w:t>Islami</w:t>
      </w:r>
      <w:proofErr w:type="spellEnd"/>
      <w:r w:rsidR="000333A3" w:rsidRPr="00C04EA2">
        <w:rPr>
          <w:rFonts w:ascii="Times New Roman" w:hAnsi="Times New Roman" w:cs="Times New Roman"/>
          <w:sz w:val="24"/>
          <w:szCs w:val="24"/>
        </w:rPr>
        <w:t xml:space="preserve"> Bank Limited (SIBL)</w:t>
      </w:r>
    </w:p>
    <w:p w14:paraId="74979142" w14:textId="4D06C9B7" w:rsidR="000333A3" w:rsidRPr="00C04EA2"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noProof/>
          <w:sz w:val="24"/>
          <w:szCs w:val="24"/>
          <w:lang w:bidi="bn-BD"/>
        </w:rPr>
        <w:drawing>
          <wp:inline distT="0" distB="0" distL="0" distR="0" wp14:anchorId="4892AE37" wp14:editId="65E14F82">
            <wp:extent cx="5943600" cy="3007921"/>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007921"/>
                    </a:xfrm>
                    <a:prstGeom prst="rect">
                      <a:avLst/>
                    </a:prstGeom>
                    <a:noFill/>
                    <a:ln>
                      <a:noFill/>
                    </a:ln>
                  </pic:spPr>
                </pic:pic>
              </a:graphicData>
            </a:graphic>
          </wp:inline>
        </w:drawing>
      </w:r>
    </w:p>
    <w:p w14:paraId="19530E4F" w14:textId="059F57C5" w:rsidR="000333A3" w:rsidRPr="00C04EA2" w:rsidRDefault="000333A3"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 above results </w:t>
      </w:r>
      <w:r w:rsidR="00AB0204">
        <w:rPr>
          <w:rFonts w:ascii="Times New Roman" w:hAnsi="Times New Roman" w:cs="Times New Roman"/>
          <w:sz w:val="24"/>
          <w:szCs w:val="24"/>
        </w:rPr>
        <w:t xml:space="preserve">in table 02 to table 06 </w:t>
      </w:r>
      <w:r w:rsidRPr="00C04EA2">
        <w:rPr>
          <w:rFonts w:ascii="Times New Roman" w:hAnsi="Times New Roman" w:cs="Times New Roman"/>
          <w:sz w:val="24"/>
          <w:szCs w:val="24"/>
        </w:rPr>
        <w:t xml:space="preserve">show the correlation and covariance of sample banks. </w:t>
      </w:r>
      <w:r w:rsidR="00AB0204">
        <w:rPr>
          <w:rFonts w:ascii="Times New Roman" w:hAnsi="Times New Roman" w:cs="Times New Roman"/>
          <w:sz w:val="24"/>
          <w:szCs w:val="24"/>
        </w:rPr>
        <w:t>U</w:t>
      </w:r>
      <w:r w:rsidRPr="00C04EA2">
        <w:rPr>
          <w:rFonts w:ascii="Times New Roman" w:hAnsi="Times New Roman" w:cs="Times New Roman"/>
          <w:sz w:val="24"/>
          <w:szCs w:val="24"/>
        </w:rPr>
        <w:t xml:space="preserve">sing a regression specification with GDP as the dependent variable and various financial ratios </w:t>
      </w:r>
      <w:r w:rsidR="00AB0204">
        <w:rPr>
          <w:rFonts w:ascii="Times New Roman" w:hAnsi="Times New Roman" w:cs="Times New Roman"/>
          <w:sz w:val="24"/>
          <w:szCs w:val="24"/>
        </w:rPr>
        <w:t xml:space="preserve">of </w:t>
      </w:r>
      <w:r w:rsidRPr="00C04EA2">
        <w:rPr>
          <w:rFonts w:ascii="Times New Roman" w:hAnsi="Times New Roman" w:cs="Times New Roman"/>
          <w:sz w:val="24"/>
          <w:szCs w:val="24"/>
        </w:rPr>
        <w:t>Islamic banks as the explanatory variable, the direct relationship between economic growth and the performances of Islamic banks’ is evaluated, for the selected banks.</w:t>
      </w:r>
    </w:p>
    <w:p w14:paraId="2638CD71" w14:textId="2B8F5953" w:rsidR="00E94829" w:rsidRPr="00C04EA2" w:rsidRDefault="00E94829" w:rsidP="005A30C7">
      <w:pPr>
        <w:tabs>
          <w:tab w:val="left" w:pos="2652"/>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lastRenderedPageBreak/>
        <w:t>Unit Root Tests</w:t>
      </w:r>
      <w:bookmarkStart w:id="0" w:name="_GoBack"/>
      <w:bookmarkEnd w:id="0"/>
    </w:p>
    <w:p w14:paraId="427DB0D9" w14:textId="283B8889" w:rsidR="00340B7F" w:rsidRDefault="003930C5" w:rsidP="00AB0204">
      <w:pPr>
        <w:tabs>
          <w:tab w:val="left" w:pos="2652"/>
        </w:tabs>
        <w:spacing w:after="0" w:line="360" w:lineRule="auto"/>
        <w:jc w:val="both"/>
        <w:rPr>
          <w:rFonts w:ascii="Times New Roman" w:hAnsi="Times New Roman" w:cs="Times New Roman"/>
          <w:sz w:val="24"/>
          <w:szCs w:val="24"/>
        </w:rPr>
      </w:pPr>
      <w:r w:rsidRPr="00C04EA2">
        <w:rPr>
          <w:rFonts w:ascii="Times New Roman" w:hAnsi="Times New Roman" w:cs="Times New Roman"/>
          <w:sz w:val="24"/>
          <w:szCs w:val="24"/>
        </w:rPr>
        <w:t>If the variables are integrated of order zero or one, the ARDL approach to cointegration is applied, i.e. I (0) or I (1). However, stationarity tests are still required to ensure that no variables are integrated of order two, i.e. I (2). Phillips-</w:t>
      </w:r>
      <w:proofErr w:type="spellStart"/>
      <w:r w:rsidRPr="00C04EA2">
        <w:rPr>
          <w:rFonts w:ascii="Times New Roman" w:hAnsi="Times New Roman" w:cs="Times New Roman"/>
          <w:sz w:val="24"/>
          <w:szCs w:val="24"/>
        </w:rPr>
        <w:t>Perron</w:t>
      </w:r>
      <w:proofErr w:type="spellEnd"/>
      <w:r w:rsidRPr="00C04EA2">
        <w:rPr>
          <w:rFonts w:ascii="Times New Roman" w:hAnsi="Times New Roman" w:cs="Times New Roman"/>
          <w:sz w:val="24"/>
          <w:szCs w:val="24"/>
        </w:rPr>
        <w:t xml:space="preserve"> (PP) tests are used to determine stationarity because of this. </w:t>
      </w:r>
    </w:p>
    <w:p w14:paraId="6C2E2ACF" w14:textId="07B8FCB3" w:rsidR="00E94829" w:rsidRPr="00C04EA2" w:rsidRDefault="00E94829" w:rsidP="005A30C7">
      <w:pPr>
        <w:tabs>
          <w:tab w:val="left" w:pos="2652"/>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340B7F">
        <w:rPr>
          <w:rFonts w:ascii="Times New Roman" w:hAnsi="Times New Roman" w:cs="Times New Roman"/>
          <w:sz w:val="24"/>
          <w:szCs w:val="24"/>
        </w:rPr>
        <w:t>7</w:t>
      </w:r>
      <w:r w:rsidRPr="00C04EA2">
        <w:rPr>
          <w:rFonts w:ascii="Times New Roman" w:hAnsi="Times New Roman" w:cs="Times New Roman"/>
          <w:sz w:val="24"/>
          <w:szCs w:val="24"/>
        </w:rPr>
        <w:t>: Results of</w:t>
      </w:r>
      <w:r w:rsidR="00EF7162" w:rsidRPr="00C04EA2">
        <w:rPr>
          <w:rFonts w:ascii="Times New Roman" w:hAnsi="Times New Roman" w:cs="Times New Roman"/>
          <w:sz w:val="24"/>
          <w:szCs w:val="24"/>
        </w:rPr>
        <w:t xml:space="preserve"> Phillips-</w:t>
      </w:r>
      <w:proofErr w:type="spellStart"/>
      <w:r w:rsidR="00EF7162" w:rsidRPr="00C04EA2">
        <w:rPr>
          <w:rFonts w:ascii="Times New Roman" w:hAnsi="Times New Roman" w:cs="Times New Roman"/>
          <w:sz w:val="24"/>
          <w:szCs w:val="24"/>
        </w:rPr>
        <w:t>Perron</w:t>
      </w:r>
      <w:proofErr w:type="spellEnd"/>
      <w:r w:rsidRPr="00C04EA2">
        <w:rPr>
          <w:rFonts w:ascii="Times New Roman" w:hAnsi="Times New Roman" w:cs="Times New Roman"/>
          <w:sz w:val="24"/>
          <w:szCs w:val="24"/>
        </w:rPr>
        <w:t xml:space="preserve"> Tests (on GDP)</w:t>
      </w:r>
    </w:p>
    <w:tbl>
      <w:tblPr>
        <w:tblStyle w:val="TableGrid"/>
        <w:tblW w:w="9625" w:type="dxa"/>
        <w:jc w:val="center"/>
        <w:tblLook w:val="04A0" w:firstRow="1" w:lastRow="0" w:firstColumn="1" w:lastColumn="0" w:noHBand="0" w:noVBand="1"/>
      </w:tblPr>
      <w:tblGrid>
        <w:gridCol w:w="1492"/>
        <w:gridCol w:w="1247"/>
        <w:gridCol w:w="1235"/>
        <w:gridCol w:w="1235"/>
        <w:gridCol w:w="1309"/>
        <w:gridCol w:w="1487"/>
        <w:gridCol w:w="1620"/>
      </w:tblGrid>
      <w:tr w:rsidR="00E94829" w:rsidRPr="00C04EA2" w14:paraId="380178F9" w14:textId="77777777" w:rsidTr="00390F4E">
        <w:trPr>
          <w:trHeight w:val="539"/>
          <w:jc w:val="center"/>
        </w:trPr>
        <w:tc>
          <w:tcPr>
            <w:tcW w:w="1492" w:type="dxa"/>
          </w:tcPr>
          <w:p w14:paraId="00248BF9" w14:textId="45B376E4" w:rsidR="00E94829" w:rsidRPr="00C04EA2" w:rsidRDefault="00AB0204" w:rsidP="005A30C7">
            <w:pPr>
              <w:tabs>
                <w:tab w:val="left" w:pos="2652"/>
              </w:tabs>
              <w:spacing w:line="360" w:lineRule="auto"/>
              <w:jc w:val="both"/>
              <w:rPr>
                <w:rFonts w:ascii="Times New Roman" w:hAnsi="Times New Roman" w:cs="Times New Roman"/>
                <w:sz w:val="24"/>
                <w:szCs w:val="24"/>
              </w:rPr>
            </w:pPr>
            <w:r>
              <w:rPr>
                <w:rFonts w:ascii="Times New Roman" w:hAnsi="Times New Roman" w:cs="Times New Roman"/>
                <w:sz w:val="24"/>
                <w:szCs w:val="24"/>
              </w:rPr>
              <w:t>Particulars</w:t>
            </w:r>
          </w:p>
        </w:tc>
        <w:tc>
          <w:tcPr>
            <w:tcW w:w="3717" w:type="dxa"/>
            <w:gridSpan w:val="3"/>
          </w:tcPr>
          <w:p w14:paraId="151A864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level </w:t>
            </w:r>
          </w:p>
        </w:tc>
        <w:tc>
          <w:tcPr>
            <w:tcW w:w="4416" w:type="dxa"/>
            <w:gridSpan w:val="3"/>
          </w:tcPr>
          <w:p w14:paraId="359F36AE"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p>
        </w:tc>
      </w:tr>
      <w:tr w:rsidR="00E94829" w:rsidRPr="00C04EA2" w14:paraId="3A692D98" w14:textId="77777777" w:rsidTr="00390F4E">
        <w:trPr>
          <w:trHeight w:val="539"/>
          <w:jc w:val="center"/>
        </w:trPr>
        <w:tc>
          <w:tcPr>
            <w:tcW w:w="1492" w:type="dxa"/>
          </w:tcPr>
          <w:p w14:paraId="2B8ACA9D"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Prob.*</w:t>
            </w:r>
          </w:p>
        </w:tc>
        <w:tc>
          <w:tcPr>
            <w:tcW w:w="3717" w:type="dxa"/>
            <w:gridSpan w:val="3"/>
          </w:tcPr>
          <w:p w14:paraId="068BC0EE"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0.7646</w:t>
            </w:r>
          </w:p>
        </w:tc>
        <w:tc>
          <w:tcPr>
            <w:tcW w:w="4416" w:type="dxa"/>
            <w:gridSpan w:val="3"/>
          </w:tcPr>
          <w:p w14:paraId="3A752069"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0.0369</w:t>
            </w:r>
          </w:p>
        </w:tc>
      </w:tr>
      <w:tr w:rsidR="00E94829" w:rsidRPr="00C04EA2" w14:paraId="1C166BFA" w14:textId="77777777" w:rsidTr="00390F4E">
        <w:trPr>
          <w:trHeight w:val="431"/>
          <w:jc w:val="center"/>
        </w:trPr>
        <w:tc>
          <w:tcPr>
            <w:tcW w:w="1492" w:type="dxa"/>
          </w:tcPr>
          <w:p w14:paraId="7006E4B3"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t-Statistic</w:t>
            </w:r>
          </w:p>
        </w:tc>
        <w:tc>
          <w:tcPr>
            <w:tcW w:w="3717" w:type="dxa"/>
            <w:gridSpan w:val="3"/>
          </w:tcPr>
          <w:p w14:paraId="5380A7FA" w14:textId="5D534C04"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0.813580</w:t>
            </w:r>
          </w:p>
        </w:tc>
        <w:tc>
          <w:tcPr>
            <w:tcW w:w="4416" w:type="dxa"/>
            <w:gridSpan w:val="3"/>
          </w:tcPr>
          <w:p w14:paraId="09B912E4" w14:textId="26C3FF88"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3.553228</w:t>
            </w:r>
          </w:p>
        </w:tc>
      </w:tr>
      <w:tr w:rsidR="00E94829" w:rsidRPr="00C04EA2" w14:paraId="5F0A2992" w14:textId="77777777" w:rsidTr="00390F4E">
        <w:trPr>
          <w:trHeight w:val="431"/>
          <w:jc w:val="center"/>
        </w:trPr>
        <w:tc>
          <w:tcPr>
            <w:tcW w:w="1492" w:type="dxa"/>
          </w:tcPr>
          <w:p w14:paraId="233923AC" w14:textId="0035C182"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Level</w:t>
            </w:r>
            <w:r w:rsidR="009037A8" w:rsidRPr="00C04EA2">
              <w:rPr>
                <w:rFonts w:ascii="Times New Roman" w:hAnsi="Times New Roman" w:cs="Times New Roman"/>
                <w:sz w:val="24"/>
                <w:szCs w:val="24"/>
              </w:rPr>
              <w:t xml:space="preserve"> </w:t>
            </w:r>
            <w:r w:rsidRPr="00C04EA2">
              <w:rPr>
                <w:rFonts w:ascii="Times New Roman" w:hAnsi="Times New Roman" w:cs="Times New Roman"/>
                <w:sz w:val="24"/>
                <w:szCs w:val="24"/>
              </w:rPr>
              <w:t>of significance</w:t>
            </w:r>
          </w:p>
        </w:tc>
        <w:tc>
          <w:tcPr>
            <w:tcW w:w="1247" w:type="dxa"/>
          </w:tcPr>
          <w:p w14:paraId="621A4CC2"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235" w:type="dxa"/>
          </w:tcPr>
          <w:p w14:paraId="25FF8F10"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tc>
        <w:tc>
          <w:tcPr>
            <w:tcW w:w="1235" w:type="dxa"/>
          </w:tcPr>
          <w:p w14:paraId="58201175"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309" w:type="dxa"/>
          </w:tcPr>
          <w:p w14:paraId="614A9BA1"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487" w:type="dxa"/>
          </w:tcPr>
          <w:p w14:paraId="06415F6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tc>
        <w:tc>
          <w:tcPr>
            <w:tcW w:w="1620" w:type="dxa"/>
          </w:tcPr>
          <w:p w14:paraId="14F6E70A"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r>
      <w:tr w:rsidR="00E94829" w:rsidRPr="00C04EA2" w14:paraId="2810AB1A" w14:textId="77777777" w:rsidTr="00390F4E">
        <w:trPr>
          <w:jc w:val="center"/>
        </w:trPr>
        <w:tc>
          <w:tcPr>
            <w:tcW w:w="1492" w:type="dxa"/>
          </w:tcPr>
          <w:p w14:paraId="23E9B60F" w14:textId="77777777"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Critical values</w:t>
            </w:r>
          </w:p>
        </w:tc>
        <w:tc>
          <w:tcPr>
            <w:tcW w:w="1247" w:type="dxa"/>
          </w:tcPr>
          <w:p w14:paraId="57FA2621" w14:textId="5F9813A3"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4.420595</w:t>
            </w:r>
          </w:p>
        </w:tc>
        <w:tc>
          <w:tcPr>
            <w:tcW w:w="1235" w:type="dxa"/>
          </w:tcPr>
          <w:p w14:paraId="3295A12C" w14:textId="68363A6A"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3.259808</w:t>
            </w:r>
          </w:p>
        </w:tc>
        <w:tc>
          <w:tcPr>
            <w:tcW w:w="1235" w:type="dxa"/>
          </w:tcPr>
          <w:p w14:paraId="3154DF04" w14:textId="036BEB6C"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2.771129</w:t>
            </w:r>
          </w:p>
        </w:tc>
        <w:tc>
          <w:tcPr>
            <w:tcW w:w="1309" w:type="dxa"/>
          </w:tcPr>
          <w:p w14:paraId="1FFC619D" w14:textId="5E334BD3"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4.582648</w:t>
            </w:r>
          </w:p>
        </w:tc>
        <w:tc>
          <w:tcPr>
            <w:tcW w:w="1487" w:type="dxa"/>
          </w:tcPr>
          <w:p w14:paraId="3039909D" w14:textId="70F0C354"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3.320969**</w:t>
            </w:r>
          </w:p>
        </w:tc>
        <w:tc>
          <w:tcPr>
            <w:tcW w:w="1620" w:type="dxa"/>
          </w:tcPr>
          <w:p w14:paraId="2B6DA2F0" w14:textId="6BBF62BB" w:rsidR="00E94829"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w:t>
            </w:r>
            <w:r w:rsidR="00E94829" w:rsidRPr="00C04EA2">
              <w:rPr>
                <w:rFonts w:ascii="Times New Roman" w:hAnsi="Times New Roman" w:cs="Times New Roman"/>
                <w:sz w:val="24"/>
                <w:szCs w:val="24"/>
              </w:rPr>
              <w:t>2.801384*</w:t>
            </w:r>
          </w:p>
        </w:tc>
      </w:tr>
    </w:tbl>
    <w:p w14:paraId="2280DD16" w14:textId="57457B16" w:rsidR="00E94829" w:rsidRPr="00C04EA2" w:rsidRDefault="00E94829"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    </w:t>
      </w:r>
      <w:r w:rsidRPr="00C04EA2">
        <w:rPr>
          <w:rFonts w:ascii="Times New Roman" w:hAnsi="Times New Roman" w:cs="Times New Roman"/>
          <w:b/>
          <w:sz w:val="24"/>
          <w:szCs w:val="24"/>
        </w:rPr>
        <w:t>Note:</w:t>
      </w:r>
      <w:r w:rsidRPr="00C04EA2">
        <w:rPr>
          <w:rFonts w:ascii="Times New Roman" w:hAnsi="Times New Roman" w:cs="Times New Roman"/>
          <w:sz w:val="24"/>
          <w:szCs w:val="24"/>
        </w:rPr>
        <w:t xml:space="preserve"> *significant at 1</w:t>
      </w:r>
      <w:r w:rsidR="00390F4E">
        <w:rPr>
          <w:rFonts w:ascii="Times New Roman" w:hAnsi="Times New Roman" w:cs="Times New Roman"/>
          <w:sz w:val="24"/>
          <w:szCs w:val="24"/>
        </w:rPr>
        <w:t>0</w:t>
      </w:r>
      <w:r w:rsidRPr="00C04EA2">
        <w:rPr>
          <w:rFonts w:ascii="Times New Roman" w:hAnsi="Times New Roman" w:cs="Times New Roman"/>
          <w:sz w:val="24"/>
          <w:szCs w:val="24"/>
        </w:rPr>
        <w:t>% alpha; **significant at 5% alpha; ***significant at 1% alpha (at 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p>
    <w:p w14:paraId="041DD2C4" w14:textId="7F785033" w:rsidR="000333A3" w:rsidRPr="00C04EA2" w:rsidRDefault="009037A8" w:rsidP="005A30C7">
      <w:pPr>
        <w:tabs>
          <w:tab w:val="left" w:pos="2652"/>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According to Table </w:t>
      </w:r>
      <w:r w:rsidR="00340B7F">
        <w:rPr>
          <w:rFonts w:ascii="Times New Roman" w:hAnsi="Times New Roman" w:cs="Times New Roman"/>
          <w:sz w:val="24"/>
          <w:szCs w:val="24"/>
        </w:rPr>
        <w:t>7</w:t>
      </w:r>
      <w:r w:rsidRPr="00C04EA2">
        <w:rPr>
          <w:rFonts w:ascii="Times New Roman" w:hAnsi="Times New Roman" w:cs="Times New Roman"/>
          <w:sz w:val="24"/>
          <w:szCs w:val="24"/>
        </w:rPr>
        <w:t>'s unit root test results, the variable is not stationary at levels</w:t>
      </w:r>
      <w:r w:rsidR="002D2E84" w:rsidRPr="00C04EA2">
        <w:rPr>
          <w:rFonts w:ascii="Times New Roman" w:hAnsi="Times New Roman" w:cs="Times New Roman"/>
          <w:sz w:val="24"/>
          <w:szCs w:val="24"/>
        </w:rPr>
        <w:t>,</w:t>
      </w:r>
      <w:r w:rsidRPr="00C04EA2">
        <w:rPr>
          <w:rFonts w:ascii="Times New Roman" w:hAnsi="Times New Roman" w:cs="Times New Roman"/>
          <w:sz w:val="24"/>
          <w:szCs w:val="24"/>
        </w:rPr>
        <w:t xml:space="preserve"> basis on GDP for all sample banks, as the Phillips-</w:t>
      </w:r>
      <w:proofErr w:type="spellStart"/>
      <w:r w:rsidRPr="00C04EA2">
        <w:rPr>
          <w:rFonts w:ascii="Times New Roman" w:hAnsi="Times New Roman" w:cs="Times New Roman"/>
          <w:sz w:val="24"/>
          <w:szCs w:val="24"/>
        </w:rPr>
        <w:t>Perron</w:t>
      </w:r>
      <w:proofErr w:type="spellEnd"/>
      <w:r w:rsidRPr="00C04EA2">
        <w:rPr>
          <w:rFonts w:ascii="Times New Roman" w:hAnsi="Times New Roman" w:cs="Times New Roman"/>
          <w:sz w:val="24"/>
          <w:szCs w:val="24"/>
        </w:rPr>
        <w:t xml:space="preserve"> Test’s t-Statistic is less than 5% level or any level of </w:t>
      </w:r>
      <w:r w:rsidR="009B7364" w:rsidRPr="00C04EA2">
        <w:rPr>
          <w:rFonts w:ascii="Times New Roman" w:hAnsi="Times New Roman" w:cs="Times New Roman"/>
          <w:sz w:val="24"/>
          <w:szCs w:val="24"/>
        </w:rPr>
        <w:t>significance’s critical values</w:t>
      </w:r>
      <w:r w:rsidRPr="00C04EA2">
        <w:rPr>
          <w:rFonts w:ascii="Times New Roman" w:hAnsi="Times New Roman" w:cs="Times New Roman"/>
          <w:sz w:val="24"/>
          <w:szCs w:val="24"/>
        </w:rPr>
        <w:t xml:space="preserve"> and p-value is </w:t>
      </w:r>
      <w:r w:rsidR="009B7364" w:rsidRPr="00C04EA2">
        <w:rPr>
          <w:rFonts w:ascii="Times New Roman" w:hAnsi="Times New Roman" w:cs="Times New Roman"/>
          <w:sz w:val="24"/>
          <w:szCs w:val="24"/>
        </w:rPr>
        <w:t>greater</w:t>
      </w:r>
      <w:r w:rsidRPr="00C04EA2">
        <w:rPr>
          <w:rFonts w:ascii="Times New Roman" w:hAnsi="Times New Roman" w:cs="Times New Roman"/>
          <w:sz w:val="24"/>
          <w:szCs w:val="24"/>
        </w:rPr>
        <w:t xml:space="preserve"> than α. The first difference, however, caused it to become stationary</w:t>
      </w:r>
      <w:r w:rsidR="009B7364" w:rsidRPr="00C04EA2">
        <w:rPr>
          <w:rFonts w:ascii="Times New Roman" w:hAnsi="Times New Roman" w:cs="Times New Roman"/>
          <w:sz w:val="24"/>
          <w:szCs w:val="24"/>
        </w:rPr>
        <w:t xml:space="preserve">. Since </w:t>
      </w:r>
      <w:r w:rsidRPr="00C04EA2">
        <w:rPr>
          <w:rFonts w:ascii="Times New Roman" w:hAnsi="Times New Roman" w:cs="Times New Roman"/>
          <w:sz w:val="24"/>
          <w:szCs w:val="24"/>
        </w:rPr>
        <w:t>at 1</w:t>
      </w:r>
      <w:r w:rsidRPr="00C04EA2">
        <w:rPr>
          <w:rFonts w:ascii="Times New Roman" w:hAnsi="Times New Roman" w:cs="Times New Roman"/>
          <w:sz w:val="24"/>
          <w:szCs w:val="24"/>
          <w:vertAlign w:val="superscript"/>
        </w:rPr>
        <w:t>st</w:t>
      </w:r>
      <w:r w:rsidRPr="00C04EA2">
        <w:rPr>
          <w:rFonts w:ascii="Times New Roman" w:hAnsi="Times New Roman" w:cs="Times New Roman"/>
          <w:sz w:val="24"/>
          <w:szCs w:val="24"/>
        </w:rPr>
        <w:t xml:space="preserve"> difference</w:t>
      </w:r>
      <w:r w:rsidR="009B7364" w:rsidRPr="00C04EA2">
        <w:rPr>
          <w:rFonts w:ascii="Times New Roman" w:hAnsi="Times New Roman" w:cs="Times New Roman"/>
          <w:sz w:val="24"/>
          <w:szCs w:val="24"/>
        </w:rPr>
        <w:t>,</w:t>
      </w:r>
      <w:r w:rsidRPr="00C04EA2">
        <w:rPr>
          <w:rFonts w:ascii="Times New Roman" w:hAnsi="Times New Roman" w:cs="Times New Roman"/>
          <w:sz w:val="24"/>
          <w:szCs w:val="24"/>
        </w:rPr>
        <w:t xml:space="preserve"> </w:t>
      </w:r>
      <w:r w:rsidR="009B7364" w:rsidRPr="00C04EA2">
        <w:rPr>
          <w:rFonts w:ascii="Times New Roman" w:hAnsi="Times New Roman" w:cs="Times New Roman"/>
          <w:sz w:val="24"/>
          <w:szCs w:val="24"/>
        </w:rPr>
        <w:t>t-</w:t>
      </w:r>
      <w:r w:rsidRPr="00C04EA2">
        <w:rPr>
          <w:rFonts w:ascii="Times New Roman" w:hAnsi="Times New Roman" w:cs="Times New Roman"/>
          <w:sz w:val="24"/>
          <w:szCs w:val="24"/>
        </w:rPr>
        <w:t xml:space="preserve">statistic is greater than 5% or </w:t>
      </w:r>
      <w:r w:rsidR="009B7364" w:rsidRPr="00C04EA2">
        <w:rPr>
          <w:rFonts w:ascii="Times New Roman" w:hAnsi="Times New Roman" w:cs="Times New Roman"/>
          <w:sz w:val="24"/>
          <w:szCs w:val="24"/>
        </w:rPr>
        <w:t>10%</w:t>
      </w:r>
      <w:r w:rsidRPr="00C04EA2">
        <w:rPr>
          <w:rFonts w:ascii="Times New Roman" w:hAnsi="Times New Roman" w:cs="Times New Roman"/>
          <w:sz w:val="24"/>
          <w:szCs w:val="24"/>
        </w:rPr>
        <w:t xml:space="preserve"> level of</w:t>
      </w:r>
      <w:r w:rsidR="009B7364" w:rsidRPr="00C04EA2">
        <w:rPr>
          <w:rFonts w:ascii="Times New Roman" w:hAnsi="Times New Roman" w:cs="Times New Roman"/>
          <w:sz w:val="24"/>
          <w:szCs w:val="24"/>
        </w:rPr>
        <w:t xml:space="preserve"> significance’s critical values</w:t>
      </w:r>
      <w:r w:rsidR="002D2E84" w:rsidRPr="00C04EA2">
        <w:rPr>
          <w:rFonts w:ascii="Times New Roman" w:hAnsi="Times New Roman" w:cs="Times New Roman"/>
          <w:sz w:val="24"/>
          <w:szCs w:val="24"/>
        </w:rPr>
        <w:t xml:space="preserve"> and p-value is less than α</w:t>
      </w:r>
      <w:r w:rsidRPr="00C04EA2">
        <w:rPr>
          <w:rFonts w:ascii="Times New Roman" w:hAnsi="Times New Roman" w:cs="Times New Roman"/>
          <w:sz w:val="24"/>
          <w:szCs w:val="24"/>
        </w:rPr>
        <w:t>, which indicates GDP is stationary at there and suggests that GDP is integrated of order I (1). The ARDL approach to cointegration has been chosen because of th</w:t>
      </w:r>
      <w:r w:rsidR="009B7364" w:rsidRPr="00C04EA2">
        <w:rPr>
          <w:rFonts w:ascii="Times New Roman" w:hAnsi="Times New Roman" w:cs="Times New Roman"/>
          <w:sz w:val="24"/>
          <w:szCs w:val="24"/>
        </w:rPr>
        <w:t>e</w:t>
      </w:r>
      <w:r w:rsidRPr="00C04EA2">
        <w:rPr>
          <w:rFonts w:ascii="Times New Roman" w:hAnsi="Times New Roman" w:cs="Times New Roman"/>
          <w:sz w:val="24"/>
          <w:szCs w:val="24"/>
        </w:rPr>
        <w:t xml:space="preserve"> mixture of I</w:t>
      </w:r>
      <w:r w:rsidR="002D2E84" w:rsidRPr="00C04EA2">
        <w:rPr>
          <w:rFonts w:ascii="Times New Roman" w:hAnsi="Times New Roman" w:cs="Times New Roman"/>
          <w:sz w:val="24"/>
          <w:szCs w:val="24"/>
        </w:rPr>
        <w:t xml:space="preserve"> </w:t>
      </w:r>
      <w:r w:rsidRPr="00C04EA2">
        <w:rPr>
          <w:rFonts w:ascii="Times New Roman" w:hAnsi="Times New Roman" w:cs="Times New Roman"/>
          <w:sz w:val="24"/>
          <w:szCs w:val="24"/>
        </w:rPr>
        <w:t>(0) and I</w:t>
      </w:r>
      <w:r w:rsidR="002D2E84" w:rsidRPr="00C04EA2">
        <w:rPr>
          <w:rFonts w:ascii="Times New Roman" w:hAnsi="Times New Roman" w:cs="Times New Roman"/>
          <w:sz w:val="24"/>
          <w:szCs w:val="24"/>
        </w:rPr>
        <w:t xml:space="preserve"> </w:t>
      </w:r>
      <w:r w:rsidRPr="00C04EA2">
        <w:rPr>
          <w:rFonts w:ascii="Times New Roman" w:hAnsi="Times New Roman" w:cs="Times New Roman"/>
          <w:sz w:val="24"/>
          <w:szCs w:val="24"/>
        </w:rPr>
        <w:t>(1), if all variables</w:t>
      </w:r>
      <w:r w:rsidR="009B7364" w:rsidRPr="00C04EA2">
        <w:rPr>
          <w:rFonts w:ascii="Times New Roman" w:hAnsi="Times New Roman" w:cs="Times New Roman"/>
          <w:sz w:val="24"/>
          <w:szCs w:val="24"/>
        </w:rPr>
        <w:t xml:space="preserve"> of given sample banks</w:t>
      </w:r>
      <w:r w:rsidRPr="00C04EA2">
        <w:rPr>
          <w:rFonts w:ascii="Times New Roman" w:hAnsi="Times New Roman" w:cs="Times New Roman"/>
          <w:sz w:val="24"/>
          <w:szCs w:val="24"/>
        </w:rPr>
        <w:t xml:space="preserve"> are </w:t>
      </w:r>
      <w:r w:rsidR="002D2E84" w:rsidRPr="00C04EA2">
        <w:rPr>
          <w:rFonts w:ascii="Times New Roman" w:hAnsi="Times New Roman" w:cs="Times New Roman"/>
          <w:sz w:val="24"/>
          <w:szCs w:val="24"/>
        </w:rPr>
        <w:t>considered</w:t>
      </w:r>
      <w:r w:rsidRPr="00C04EA2">
        <w:rPr>
          <w:rFonts w:ascii="Times New Roman" w:hAnsi="Times New Roman" w:cs="Times New Roman"/>
          <w:sz w:val="24"/>
          <w:szCs w:val="24"/>
        </w:rPr>
        <w:t>.</w:t>
      </w:r>
    </w:p>
    <w:p w14:paraId="58118BD8" w14:textId="77777777" w:rsidR="007D7929" w:rsidRPr="00C04EA2" w:rsidRDefault="007D7929"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VAR Lag Order Selection Criteria</w:t>
      </w:r>
    </w:p>
    <w:p w14:paraId="00B8C668" w14:textId="0D6E2DD5" w:rsidR="008D0582" w:rsidRDefault="00F10146" w:rsidP="005A30C7">
      <w:pPr>
        <w:tabs>
          <w:tab w:val="left" w:pos="3108"/>
        </w:tabs>
        <w:spacing w:after="0" w:line="360" w:lineRule="auto"/>
        <w:jc w:val="both"/>
        <w:rPr>
          <w:rFonts w:ascii="Times New Roman" w:hAnsi="Times New Roman" w:cs="Times New Roman"/>
          <w:sz w:val="24"/>
          <w:szCs w:val="24"/>
        </w:rPr>
      </w:pPr>
      <w:r w:rsidRPr="00C04EA2">
        <w:rPr>
          <w:rFonts w:ascii="Times New Roman" w:hAnsi="Times New Roman" w:cs="Times New Roman"/>
          <w:sz w:val="24"/>
          <w:szCs w:val="24"/>
        </w:rPr>
        <w:t>The lag-length criteria technique from unrestricted VAR are used to determine the optimal number of lags to be included in the model.</w:t>
      </w:r>
    </w:p>
    <w:p w14:paraId="56E1080A" w14:textId="11FE424D" w:rsidR="000B7941" w:rsidRDefault="000B7941" w:rsidP="005A30C7">
      <w:pPr>
        <w:tabs>
          <w:tab w:val="left" w:pos="3108"/>
        </w:tabs>
        <w:spacing w:after="0" w:line="360" w:lineRule="auto"/>
        <w:jc w:val="both"/>
        <w:rPr>
          <w:rFonts w:ascii="Times New Roman" w:hAnsi="Times New Roman" w:cs="Times New Roman"/>
          <w:sz w:val="24"/>
          <w:szCs w:val="24"/>
        </w:rPr>
      </w:pPr>
    </w:p>
    <w:p w14:paraId="62422F34" w14:textId="353160B4" w:rsidR="000B7941" w:rsidRPr="00C04EA2" w:rsidRDefault="000B7941" w:rsidP="005A30C7">
      <w:pPr>
        <w:tabs>
          <w:tab w:val="left" w:pos="3108"/>
        </w:tabs>
        <w:spacing w:after="0" w:line="360" w:lineRule="auto"/>
        <w:jc w:val="center"/>
        <w:rPr>
          <w:rFonts w:ascii="Times New Roman" w:hAnsi="Times New Roman" w:cs="Times New Roman"/>
          <w:sz w:val="24"/>
          <w:szCs w:val="24"/>
        </w:rPr>
      </w:pPr>
      <w:r>
        <w:rPr>
          <w:rFonts w:ascii="Times New Roman" w:hAnsi="Times New Roman" w:cs="Times New Roman"/>
          <w:sz w:val="24"/>
          <w:szCs w:val="24"/>
        </w:rPr>
        <w:t>Table 08: Results of VAR lag order selection criterion</w:t>
      </w:r>
    </w:p>
    <w:p w14:paraId="453788B6" w14:textId="6EBBF2AA" w:rsidR="007D7929" w:rsidRPr="00C04EA2" w:rsidRDefault="007D7929" w:rsidP="005A30C7">
      <w:pPr>
        <w:spacing w:line="360" w:lineRule="auto"/>
        <w:rPr>
          <w:rFonts w:ascii="Times New Roman" w:hAnsi="Times New Roman" w:cs="Times New Roman"/>
          <w:b/>
          <w:sz w:val="24"/>
          <w:szCs w:val="24"/>
        </w:rPr>
      </w:pPr>
      <w:r w:rsidRPr="00C04EA2">
        <w:rPr>
          <w:rFonts w:ascii="Times New Roman" w:hAnsi="Times New Roman" w:cs="Times New Roman"/>
          <w:b/>
          <w:noProof/>
          <w:sz w:val="24"/>
          <w:szCs w:val="24"/>
        </w:rPr>
        <w:lastRenderedPageBreak/>
        <w:drawing>
          <wp:inline distT="0" distB="0" distL="0" distR="0" wp14:anchorId="66744002" wp14:editId="5F983F29">
            <wp:extent cx="4147185" cy="181800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47185" cy="1818005"/>
                    </a:xfrm>
                    <a:prstGeom prst="rect">
                      <a:avLst/>
                    </a:prstGeom>
                    <a:noFill/>
                    <a:ln>
                      <a:noFill/>
                    </a:ln>
                  </pic:spPr>
                </pic:pic>
              </a:graphicData>
            </a:graphic>
          </wp:inline>
        </w:drawing>
      </w:r>
    </w:p>
    <w:p w14:paraId="23506AC0" w14:textId="679D9639" w:rsidR="000333A3" w:rsidRPr="00C04EA2" w:rsidRDefault="007D7929" w:rsidP="005A30C7">
      <w:pPr>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The AIC lag selection criterion was used to choose the appropriate lag before applying the ARDL test.</w:t>
      </w:r>
      <w:r w:rsidR="006D6D79" w:rsidRPr="00C04EA2">
        <w:rPr>
          <w:rFonts w:ascii="Times New Roman" w:hAnsi="Times New Roman" w:cs="Times New Roman"/>
          <w:sz w:val="24"/>
          <w:szCs w:val="24"/>
        </w:rPr>
        <w:t xml:space="preserve"> The results show that</w:t>
      </w:r>
      <w:r w:rsidR="00227ADD" w:rsidRPr="00C04EA2">
        <w:rPr>
          <w:rFonts w:ascii="Times New Roman" w:hAnsi="Times New Roman" w:cs="Times New Roman"/>
          <w:sz w:val="24"/>
          <w:szCs w:val="24"/>
        </w:rPr>
        <w:t xml:space="preserve">, </w:t>
      </w:r>
      <w:r w:rsidR="006D6D79" w:rsidRPr="00C04EA2">
        <w:rPr>
          <w:rFonts w:ascii="Times New Roman" w:hAnsi="Times New Roman" w:cs="Times New Roman"/>
          <w:sz w:val="24"/>
          <w:szCs w:val="24"/>
        </w:rPr>
        <w:t>the “*” symbols are</w:t>
      </w:r>
      <w:r w:rsidR="00227ADD" w:rsidRPr="00C04EA2">
        <w:rPr>
          <w:rFonts w:ascii="Times New Roman" w:hAnsi="Times New Roman" w:cs="Times New Roman"/>
          <w:sz w:val="24"/>
          <w:szCs w:val="24"/>
        </w:rPr>
        <w:t xml:space="preserve"> mostly</w:t>
      </w:r>
      <w:r w:rsidR="006D6D79" w:rsidRPr="00C04EA2">
        <w:rPr>
          <w:rFonts w:ascii="Times New Roman" w:hAnsi="Times New Roman" w:cs="Times New Roman"/>
          <w:sz w:val="24"/>
          <w:szCs w:val="24"/>
        </w:rPr>
        <w:t xml:space="preserve"> located on the first lag. Therefore,</w:t>
      </w:r>
      <w:r w:rsidR="00227ADD" w:rsidRPr="00C04EA2">
        <w:rPr>
          <w:rFonts w:ascii="Times New Roman" w:hAnsi="Times New Roman" w:cs="Times New Roman"/>
          <w:sz w:val="24"/>
          <w:szCs w:val="24"/>
        </w:rPr>
        <w:t xml:space="preserve"> i</w:t>
      </w:r>
      <w:r w:rsidRPr="00C04EA2">
        <w:rPr>
          <w:rFonts w:ascii="Times New Roman" w:hAnsi="Times New Roman" w:cs="Times New Roman"/>
          <w:sz w:val="24"/>
          <w:szCs w:val="24"/>
        </w:rPr>
        <w:t>t was discovered that, lag-1 was appropriate</w:t>
      </w:r>
      <w:r w:rsidR="00956FBC" w:rsidRPr="00C04EA2">
        <w:rPr>
          <w:rFonts w:ascii="Times New Roman" w:hAnsi="Times New Roman" w:cs="Times New Roman"/>
          <w:sz w:val="24"/>
          <w:szCs w:val="24"/>
        </w:rPr>
        <w:t xml:space="preserve"> and optimal</w:t>
      </w:r>
      <w:r w:rsidRPr="00C04EA2">
        <w:rPr>
          <w:rFonts w:ascii="Times New Roman" w:hAnsi="Times New Roman" w:cs="Times New Roman"/>
          <w:sz w:val="24"/>
          <w:szCs w:val="24"/>
        </w:rPr>
        <w:t>.</w:t>
      </w:r>
    </w:p>
    <w:p w14:paraId="0A3FE39F" w14:textId="2F7C66D3" w:rsidR="006443A1" w:rsidRPr="00C04EA2" w:rsidRDefault="00C53C63" w:rsidP="005A30C7">
      <w:pPr>
        <w:tabs>
          <w:tab w:val="left" w:pos="3108"/>
        </w:tabs>
        <w:spacing w:after="0"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ARDL Test</w:t>
      </w:r>
    </w:p>
    <w:p w14:paraId="4E9968E2" w14:textId="6A57D3CB" w:rsidR="000333A3" w:rsidRDefault="00C53C63" w:rsidP="005A30C7">
      <w:pPr>
        <w:spacing w:after="0" w:line="360" w:lineRule="auto"/>
        <w:jc w:val="both"/>
        <w:rPr>
          <w:rStyle w:val="fontstyle01"/>
          <w:rFonts w:ascii="Times New Roman" w:hAnsi="Times New Roman" w:cs="Times New Roman"/>
        </w:rPr>
      </w:pPr>
      <w:r w:rsidRPr="00C04EA2">
        <w:rPr>
          <w:rStyle w:val="fontstyle01"/>
          <w:rFonts w:ascii="Times New Roman" w:hAnsi="Times New Roman" w:cs="Times New Roman"/>
        </w:rPr>
        <w:t>The</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estimates ARDL long-run form and bound</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 xml:space="preserve">test are presented in Table </w:t>
      </w:r>
      <w:r w:rsidR="00390F4E">
        <w:rPr>
          <w:rStyle w:val="fontstyle01"/>
          <w:rFonts w:ascii="Times New Roman" w:hAnsi="Times New Roman" w:cs="Times New Roman"/>
        </w:rPr>
        <w:t>9</w:t>
      </w:r>
      <w:r w:rsidRPr="00C04EA2">
        <w:rPr>
          <w:rStyle w:val="fontstyle01"/>
          <w:rFonts w:ascii="Times New Roman" w:hAnsi="Times New Roman" w:cs="Times New Roman"/>
        </w:rPr>
        <w:t>. The guidelines</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 xml:space="preserve">are that once the </w:t>
      </w:r>
      <w:r w:rsidRPr="00C04EA2">
        <w:rPr>
          <w:rStyle w:val="fontstyle21"/>
          <w:rFonts w:ascii="Times New Roman" w:hAnsi="Times New Roman" w:cs="Times New Roman"/>
          <w:i w:val="0"/>
        </w:rPr>
        <w:t>F</w:t>
      </w:r>
      <w:r w:rsidRPr="00C04EA2">
        <w:rPr>
          <w:rStyle w:val="fontstyle01"/>
          <w:rFonts w:ascii="Times New Roman" w:hAnsi="Times New Roman" w:cs="Times New Roman"/>
        </w:rPr>
        <w:t>-statistic is computed, it is</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compared to two asymptotic critical values</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corresponding to polar cases of all variables</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being purely I</w:t>
      </w:r>
      <w:r w:rsidR="00956FBC" w:rsidRPr="00C04EA2">
        <w:rPr>
          <w:rStyle w:val="fontstyle01"/>
          <w:rFonts w:ascii="Times New Roman" w:hAnsi="Times New Roman" w:cs="Times New Roman"/>
        </w:rPr>
        <w:t xml:space="preserve"> </w:t>
      </w:r>
      <w:r w:rsidRPr="00C04EA2">
        <w:rPr>
          <w:rStyle w:val="fontstyle01"/>
          <w:rFonts w:ascii="Times New Roman" w:hAnsi="Times New Roman" w:cs="Times New Roman"/>
        </w:rPr>
        <w:t>(0) or purely I</w:t>
      </w:r>
      <w:r w:rsidR="00956FBC" w:rsidRPr="00C04EA2">
        <w:rPr>
          <w:rStyle w:val="fontstyle01"/>
          <w:rFonts w:ascii="Times New Roman" w:hAnsi="Times New Roman" w:cs="Times New Roman"/>
        </w:rPr>
        <w:t xml:space="preserve"> </w:t>
      </w:r>
      <w:r w:rsidRPr="00C04EA2">
        <w:rPr>
          <w:rStyle w:val="fontstyle01"/>
          <w:rFonts w:ascii="Times New Roman" w:hAnsi="Times New Roman" w:cs="Times New Roman"/>
        </w:rPr>
        <w:t>(1). If the test statistic is below the lower critical value, accept</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the null hypothesis of no cointegration. In</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contrast, if the test statistic is above the upper</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critical value, reject the null and conclude</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that there is existence of cointegration between the variables. Alternatively, if the test</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statistic falls between the lower and upper</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critical values, testing is inconclusive.</w:t>
      </w:r>
    </w:p>
    <w:p w14:paraId="16F9CADA" w14:textId="77777777" w:rsidR="000B7941" w:rsidRPr="00C04EA2" w:rsidRDefault="000B7941" w:rsidP="005A30C7">
      <w:pPr>
        <w:spacing w:after="0" w:line="360" w:lineRule="auto"/>
        <w:jc w:val="both"/>
        <w:rPr>
          <w:rStyle w:val="fontstyle01"/>
          <w:rFonts w:ascii="Times New Roman" w:hAnsi="Times New Roman" w:cs="Times New Roman"/>
        </w:rPr>
      </w:pPr>
    </w:p>
    <w:p w14:paraId="15BCEC8D" w14:textId="39E84B94" w:rsidR="00C53C63" w:rsidRPr="00C04EA2" w:rsidRDefault="00C53C63" w:rsidP="005A30C7">
      <w:pPr>
        <w:tabs>
          <w:tab w:val="left" w:pos="3108"/>
        </w:tabs>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t xml:space="preserve">Table </w:t>
      </w:r>
      <w:r w:rsidR="000B7941">
        <w:rPr>
          <w:rFonts w:ascii="Times New Roman" w:hAnsi="Times New Roman" w:cs="Times New Roman"/>
          <w:sz w:val="24"/>
          <w:szCs w:val="24"/>
        </w:rPr>
        <w:t>9</w:t>
      </w:r>
      <w:r w:rsidRPr="00C04EA2">
        <w:rPr>
          <w:rFonts w:ascii="Times New Roman" w:hAnsi="Times New Roman" w:cs="Times New Roman"/>
          <w:sz w:val="24"/>
          <w:szCs w:val="24"/>
        </w:rPr>
        <w:t>: Results of Bounds F-test for Long-run Relationship</w:t>
      </w:r>
    </w:p>
    <w:tbl>
      <w:tblPr>
        <w:tblStyle w:val="TableGrid"/>
        <w:tblW w:w="9445" w:type="dxa"/>
        <w:tblLook w:val="04A0" w:firstRow="1" w:lastRow="0" w:firstColumn="1" w:lastColumn="0" w:noHBand="0" w:noVBand="1"/>
      </w:tblPr>
      <w:tblGrid>
        <w:gridCol w:w="1435"/>
        <w:gridCol w:w="1350"/>
        <w:gridCol w:w="1620"/>
        <w:gridCol w:w="1800"/>
        <w:gridCol w:w="1620"/>
        <w:gridCol w:w="1620"/>
      </w:tblGrid>
      <w:tr w:rsidR="00C21D99" w:rsidRPr="00C04EA2" w14:paraId="279FDA90" w14:textId="77777777" w:rsidTr="00C53E4E">
        <w:tc>
          <w:tcPr>
            <w:tcW w:w="1435" w:type="dxa"/>
          </w:tcPr>
          <w:p w14:paraId="1F50D0B3" w14:textId="1ED82E6E"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Sample Banks</w:t>
            </w:r>
          </w:p>
        </w:tc>
        <w:tc>
          <w:tcPr>
            <w:tcW w:w="1350" w:type="dxa"/>
          </w:tcPr>
          <w:p w14:paraId="7A632363" w14:textId="16C3CBB4"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Lag</w:t>
            </w:r>
          </w:p>
        </w:tc>
        <w:tc>
          <w:tcPr>
            <w:tcW w:w="1620" w:type="dxa"/>
          </w:tcPr>
          <w:p w14:paraId="48518E4A" w14:textId="28399CB9"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F-statistic</w:t>
            </w:r>
          </w:p>
        </w:tc>
        <w:tc>
          <w:tcPr>
            <w:tcW w:w="1800" w:type="dxa"/>
          </w:tcPr>
          <w:p w14:paraId="7BCC9A80" w14:textId="050215B9"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Sig. level (%)</w:t>
            </w:r>
          </w:p>
        </w:tc>
        <w:tc>
          <w:tcPr>
            <w:tcW w:w="1620" w:type="dxa"/>
          </w:tcPr>
          <w:p w14:paraId="735016BC" w14:textId="50567963"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 (0)</w:t>
            </w:r>
          </w:p>
        </w:tc>
        <w:tc>
          <w:tcPr>
            <w:tcW w:w="1620" w:type="dxa"/>
          </w:tcPr>
          <w:p w14:paraId="62851C69" w14:textId="2CCC673D"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 (1)</w:t>
            </w:r>
          </w:p>
        </w:tc>
      </w:tr>
      <w:tr w:rsidR="00C21D99" w:rsidRPr="00C04EA2" w14:paraId="6CFD69EE" w14:textId="77777777" w:rsidTr="00C53E4E">
        <w:trPr>
          <w:trHeight w:val="881"/>
        </w:trPr>
        <w:tc>
          <w:tcPr>
            <w:tcW w:w="1435" w:type="dxa"/>
          </w:tcPr>
          <w:p w14:paraId="3A9087CD" w14:textId="5E552B5B"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FSIBL</w:t>
            </w:r>
          </w:p>
        </w:tc>
        <w:tc>
          <w:tcPr>
            <w:tcW w:w="1350" w:type="dxa"/>
          </w:tcPr>
          <w:p w14:paraId="55B693DF" w14:textId="046D18E8"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5853A807" w14:textId="203E3ECE" w:rsidR="00D63792" w:rsidRPr="00C04EA2" w:rsidRDefault="008D0582"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3.241240</w:t>
            </w:r>
          </w:p>
        </w:tc>
        <w:tc>
          <w:tcPr>
            <w:tcW w:w="1800" w:type="dxa"/>
          </w:tcPr>
          <w:p w14:paraId="5B7C30F9" w14:textId="6D325588"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1F45066C"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1C620277" w14:textId="55BCCE8C"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649A545C" w14:textId="3ABC2964" w:rsidR="009B105C"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5F8CB4DF" w14:textId="75990F64" w:rsidR="009B105C"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7705549C" w14:textId="1003E99B" w:rsidR="009B320A"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1F121AEE" w14:textId="7777777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2563D85F"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228BEC85" w14:textId="1FE5E715"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6315F1AD" w14:textId="77777777" w:rsidTr="00C53E4E">
        <w:trPr>
          <w:trHeight w:val="800"/>
        </w:trPr>
        <w:tc>
          <w:tcPr>
            <w:tcW w:w="1435" w:type="dxa"/>
          </w:tcPr>
          <w:p w14:paraId="50D5B177" w14:textId="41197666"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IBBL</w:t>
            </w:r>
          </w:p>
        </w:tc>
        <w:tc>
          <w:tcPr>
            <w:tcW w:w="1350" w:type="dxa"/>
          </w:tcPr>
          <w:p w14:paraId="3106128D" w14:textId="6CBFEEFB"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5102696A" w14:textId="5BD993B4"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5.329820</w:t>
            </w:r>
          </w:p>
        </w:tc>
        <w:tc>
          <w:tcPr>
            <w:tcW w:w="1800" w:type="dxa"/>
          </w:tcPr>
          <w:p w14:paraId="482DE522" w14:textId="7777777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47803F5B"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6492D834" w14:textId="368D1F2A"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2CFD0A7C"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02881550" w14:textId="77777777" w:rsidR="009B320A"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707D34C7" w14:textId="39A63E82"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2CDB6ABE"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789AC6C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0E5EBA18" w14:textId="64C88C45"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11387584" w14:textId="77777777" w:rsidTr="00C53E4E">
        <w:tc>
          <w:tcPr>
            <w:tcW w:w="1435" w:type="dxa"/>
          </w:tcPr>
          <w:p w14:paraId="5BE55436" w14:textId="36192432"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AIB</w:t>
            </w:r>
            <w:r w:rsidR="00371016" w:rsidRPr="00C04EA2">
              <w:rPr>
                <w:rFonts w:ascii="Times New Roman" w:hAnsi="Times New Roman" w:cs="Times New Roman"/>
                <w:sz w:val="24"/>
                <w:szCs w:val="24"/>
              </w:rPr>
              <w:t>L</w:t>
            </w:r>
          </w:p>
        </w:tc>
        <w:tc>
          <w:tcPr>
            <w:tcW w:w="1350" w:type="dxa"/>
          </w:tcPr>
          <w:p w14:paraId="07DC77B5" w14:textId="1A3FF8B7"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2FE9174C" w14:textId="629D3EB8"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6.982378</w:t>
            </w:r>
          </w:p>
        </w:tc>
        <w:tc>
          <w:tcPr>
            <w:tcW w:w="1800" w:type="dxa"/>
          </w:tcPr>
          <w:p w14:paraId="4FC449A3"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3849E4D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5</w:t>
            </w:r>
          </w:p>
          <w:p w14:paraId="1C2F8F76" w14:textId="05DD7BF4"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6FEDC8BC"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2.54</w:t>
            </w:r>
          </w:p>
          <w:p w14:paraId="103AD21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1.97</w:t>
            </w:r>
          </w:p>
          <w:p w14:paraId="679F54F7" w14:textId="3B9B0863"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5A8806B5"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3.91</w:t>
            </w:r>
          </w:p>
          <w:p w14:paraId="2F763E8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3.18</w:t>
            </w:r>
          </w:p>
          <w:p w14:paraId="668B8349" w14:textId="664967C7"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73144244" w14:textId="77777777" w:rsidTr="00C53E4E">
        <w:tc>
          <w:tcPr>
            <w:tcW w:w="1435" w:type="dxa"/>
          </w:tcPr>
          <w:p w14:paraId="3E01154E" w14:textId="7298C4E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lastRenderedPageBreak/>
              <w:t>SJIBL</w:t>
            </w:r>
          </w:p>
        </w:tc>
        <w:tc>
          <w:tcPr>
            <w:tcW w:w="1350" w:type="dxa"/>
          </w:tcPr>
          <w:p w14:paraId="4A9B2EB2" w14:textId="23353CC1"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3E5B48F1" w14:textId="605653E1"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251.4649</w:t>
            </w:r>
          </w:p>
        </w:tc>
        <w:tc>
          <w:tcPr>
            <w:tcW w:w="1800" w:type="dxa"/>
          </w:tcPr>
          <w:p w14:paraId="7B2331EA"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103ED3A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4F0A1D11" w14:textId="554A41AC"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7BCDB9B6"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1E5A65AB"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5209F502" w14:textId="0CFB0FFD"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291F39FA"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2DFFE8E3"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630933C7" w14:textId="4D9627B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r w:rsidR="00C21D99" w:rsidRPr="00C04EA2" w14:paraId="4DAB773C" w14:textId="77777777" w:rsidTr="00C53E4E">
        <w:tc>
          <w:tcPr>
            <w:tcW w:w="1435" w:type="dxa"/>
          </w:tcPr>
          <w:p w14:paraId="6B3F16E6" w14:textId="0BF0B1F8"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SIBL</w:t>
            </w:r>
          </w:p>
        </w:tc>
        <w:tc>
          <w:tcPr>
            <w:tcW w:w="1350" w:type="dxa"/>
          </w:tcPr>
          <w:p w14:paraId="6E5E5A7B" w14:textId="4C687B66" w:rsidR="00D63792" w:rsidRPr="00C04EA2" w:rsidRDefault="009B320A"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tc>
        <w:tc>
          <w:tcPr>
            <w:tcW w:w="1620" w:type="dxa"/>
          </w:tcPr>
          <w:p w14:paraId="34C2144D" w14:textId="07624695" w:rsidR="00D63792" w:rsidRPr="00C04EA2" w:rsidRDefault="009B105C"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5.512573</w:t>
            </w:r>
          </w:p>
        </w:tc>
        <w:tc>
          <w:tcPr>
            <w:tcW w:w="1800" w:type="dxa"/>
          </w:tcPr>
          <w:p w14:paraId="1CC6506F"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w:t>
            </w:r>
          </w:p>
          <w:p w14:paraId="7F0869D8"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5</w:t>
            </w:r>
          </w:p>
          <w:p w14:paraId="14918BF1" w14:textId="00D1742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10</w:t>
            </w:r>
          </w:p>
        </w:tc>
        <w:tc>
          <w:tcPr>
            <w:tcW w:w="1620" w:type="dxa"/>
          </w:tcPr>
          <w:p w14:paraId="16A11F99"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2.54</w:t>
            </w:r>
          </w:p>
          <w:p w14:paraId="3E45FD62"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1.97</w:t>
            </w:r>
          </w:p>
          <w:p w14:paraId="2EB25858" w14:textId="1E167969"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1.7</w:t>
            </w:r>
          </w:p>
        </w:tc>
        <w:tc>
          <w:tcPr>
            <w:tcW w:w="1620" w:type="dxa"/>
          </w:tcPr>
          <w:p w14:paraId="147EED8E"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3.91</w:t>
            </w:r>
          </w:p>
          <w:p w14:paraId="646C1209" w14:textId="77777777" w:rsidR="006443A1"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3.18</w:t>
            </w:r>
          </w:p>
          <w:p w14:paraId="0AF3FFDD" w14:textId="20FCDEFA" w:rsidR="00D63792" w:rsidRPr="00C04EA2" w:rsidRDefault="006443A1" w:rsidP="005A30C7">
            <w:pPr>
              <w:tabs>
                <w:tab w:val="left" w:pos="3108"/>
              </w:tabs>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2.83</w:t>
            </w:r>
          </w:p>
        </w:tc>
      </w:tr>
    </w:tbl>
    <w:p w14:paraId="2C81A057" w14:textId="77777777" w:rsidR="00F52303" w:rsidRPr="00C04EA2" w:rsidRDefault="00F52303" w:rsidP="005A30C7">
      <w:pPr>
        <w:spacing w:line="360" w:lineRule="auto"/>
        <w:rPr>
          <w:rFonts w:ascii="Times New Roman" w:hAnsi="Times New Roman" w:cs="Times New Roman"/>
          <w:sz w:val="24"/>
          <w:szCs w:val="24"/>
        </w:rPr>
      </w:pPr>
    </w:p>
    <w:p w14:paraId="52395272" w14:textId="0B1E95E2" w:rsidR="000333A3" w:rsidRPr="00C04EA2" w:rsidRDefault="00773EF0" w:rsidP="005A30C7">
      <w:pPr>
        <w:tabs>
          <w:tab w:val="left" w:pos="3108"/>
        </w:tabs>
        <w:spacing w:line="360" w:lineRule="auto"/>
        <w:jc w:val="both"/>
        <w:rPr>
          <w:rFonts w:ascii="Times New Roman" w:hAnsi="Times New Roman" w:cs="Times New Roman"/>
          <w:color w:val="000000"/>
          <w:sz w:val="24"/>
          <w:szCs w:val="24"/>
        </w:rPr>
      </w:pPr>
      <w:r w:rsidRPr="00C04EA2">
        <w:rPr>
          <w:rStyle w:val="fontstyle01"/>
          <w:rFonts w:ascii="Times New Roman" w:hAnsi="Times New Roman" w:cs="Times New Roman"/>
        </w:rPr>
        <w:t xml:space="preserve">Observe from Table </w:t>
      </w:r>
      <w:r w:rsidR="00390F4E">
        <w:rPr>
          <w:rStyle w:val="fontstyle01"/>
          <w:rFonts w:ascii="Times New Roman" w:hAnsi="Times New Roman" w:cs="Times New Roman"/>
        </w:rPr>
        <w:t>09</w:t>
      </w:r>
      <w:r w:rsidRPr="00C04EA2">
        <w:rPr>
          <w:rStyle w:val="fontstyle01"/>
          <w:rFonts w:ascii="Times New Roman" w:hAnsi="Times New Roman" w:cs="Times New Roman"/>
        </w:rPr>
        <w:t xml:space="preserve"> that</w:t>
      </w:r>
      <w:r w:rsidR="00F10146" w:rsidRPr="00C04EA2">
        <w:rPr>
          <w:rStyle w:val="fontstyle01"/>
          <w:rFonts w:ascii="Times New Roman" w:hAnsi="Times New Roman" w:cs="Times New Roman"/>
        </w:rPr>
        <w:t>,</w:t>
      </w:r>
      <w:r w:rsidRPr="00C04EA2">
        <w:rPr>
          <w:rStyle w:val="fontstyle01"/>
          <w:rFonts w:ascii="Times New Roman" w:hAnsi="Times New Roman" w:cs="Times New Roman"/>
        </w:rPr>
        <w:t xml:space="preserve"> the </w:t>
      </w:r>
      <w:r w:rsidRPr="00C04EA2">
        <w:rPr>
          <w:rStyle w:val="fontstyle21"/>
          <w:rFonts w:ascii="Times New Roman" w:hAnsi="Times New Roman" w:cs="Times New Roman"/>
          <w:i w:val="0"/>
        </w:rPr>
        <w:t>F</w:t>
      </w:r>
      <w:r w:rsidRPr="00C04EA2">
        <w:rPr>
          <w:rStyle w:val="fontstyle01"/>
          <w:rFonts w:ascii="Times New Roman" w:hAnsi="Times New Roman" w:cs="Times New Roman"/>
        </w:rPr>
        <w:t xml:space="preserve">-statistics are </w:t>
      </w:r>
      <w:r w:rsidR="00F10146" w:rsidRPr="00C04EA2">
        <w:rPr>
          <w:rStyle w:val="fontstyle01"/>
          <w:rFonts w:ascii="Times New Roman" w:hAnsi="Times New Roman" w:cs="Times New Roman"/>
        </w:rPr>
        <w:t xml:space="preserve">3.241240, </w:t>
      </w:r>
      <w:r w:rsidR="00F10146" w:rsidRPr="00C04EA2">
        <w:rPr>
          <w:rFonts w:ascii="Times New Roman" w:hAnsi="Times New Roman" w:cs="Times New Roman"/>
          <w:sz w:val="24"/>
          <w:szCs w:val="24"/>
        </w:rPr>
        <w:t>5.329820, 6.982378, 251.4649, and 5.512573</w:t>
      </w:r>
      <w:r w:rsidR="00F76ED8" w:rsidRPr="00C04EA2">
        <w:rPr>
          <w:rStyle w:val="fontstyle01"/>
          <w:rFonts w:ascii="Times New Roman" w:hAnsi="Times New Roman" w:cs="Times New Roman"/>
        </w:rPr>
        <w:t xml:space="preserve"> for FSIBL, IBBL, AIBL, SJIBL, and SIBL respectively.</w:t>
      </w:r>
      <w:r w:rsidRPr="00C04EA2">
        <w:rPr>
          <w:rStyle w:val="fontstyle01"/>
          <w:rFonts w:ascii="Times New Roman" w:hAnsi="Times New Roman" w:cs="Times New Roman"/>
        </w:rPr>
        <w:t xml:space="preserve"> </w:t>
      </w:r>
      <w:r w:rsidR="00473B8F" w:rsidRPr="00C04EA2">
        <w:rPr>
          <w:rStyle w:val="fontstyle01"/>
          <w:rFonts w:ascii="Times New Roman" w:hAnsi="Times New Roman" w:cs="Times New Roman"/>
        </w:rPr>
        <w:t>W</w:t>
      </w:r>
      <w:r w:rsidRPr="00C04EA2">
        <w:rPr>
          <w:rStyle w:val="fontstyle01"/>
          <w:rFonts w:ascii="Times New Roman" w:hAnsi="Times New Roman" w:cs="Times New Roman"/>
        </w:rPr>
        <w:t>hich, when compared with the asymptotic critical values, lower bound and upper bound that corresponds to the polar cases</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of all variables being purely I (0) or purely</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I</w:t>
      </w:r>
      <w:r w:rsidR="00F76ED8" w:rsidRPr="00C04EA2">
        <w:rPr>
          <w:rStyle w:val="fontstyle01"/>
          <w:rFonts w:ascii="Times New Roman" w:hAnsi="Times New Roman" w:cs="Times New Roman"/>
        </w:rPr>
        <w:t xml:space="preserve"> (1</w:t>
      </w:r>
      <w:r w:rsidRPr="00C04EA2">
        <w:rPr>
          <w:rStyle w:val="fontstyle01"/>
          <w:rFonts w:ascii="Times New Roman" w:hAnsi="Times New Roman" w:cs="Times New Roman"/>
        </w:rPr>
        <w:t>) respectively, is higher than the upper</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bound I</w:t>
      </w:r>
      <w:r w:rsidR="00677BE3" w:rsidRPr="00C04EA2">
        <w:rPr>
          <w:rStyle w:val="fontstyle01"/>
          <w:rFonts w:ascii="Times New Roman" w:hAnsi="Times New Roman" w:cs="Times New Roman"/>
        </w:rPr>
        <w:t xml:space="preserve"> </w:t>
      </w:r>
      <w:r w:rsidRPr="00C04EA2">
        <w:rPr>
          <w:rStyle w:val="fontstyle01"/>
          <w:rFonts w:ascii="Times New Roman" w:hAnsi="Times New Roman" w:cs="Times New Roman"/>
        </w:rPr>
        <w:t>(1)</w:t>
      </w:r>
      <w:r w:rsidR="00F76ED8" w:rsidRPr="00C04EA2">
        <w:rPr>
          <w:rStyle w:val="fontstyle01"/>
          <w:rFonts w:ascii="Times New Roman" w:hAnsi="Times New Roman" w:cs="Times New Roman"/>
        </w:rPr>
        <w:t xml:space="preserve"> in case o</w:t>
      </w:r>
      <w:r w:rsidR="00473B8F" w:rsidRPr="00C04EA2">
        <w:rPr>
          <w:rStyle w:val="fontstyle01"/>
          <w:rFonts w:ascii="Times New Roman" w:hAnsi="Times New Roman" w:cs="Times New Roman"/>
        </w:rPr>
        <w:t xml:space="preserve">f IBBL, AIBL, SJIBL, and SIBL at 1%, 5% and 10% significance level. Besides, in case of FSIBL, the </w:t>
      </w:r>
      <w:r w:rsidR="00473B8F" w:rsidRPr="00C04EA2">
        <w:rPr>
          <w:rStyle w:val="fontstyle21"/>
          <w:rFonts w:ascii="Times New Roman" w:hAnsi="Times New Roman" w:cs="Times New Roman"/>
          <w:i w:val="0"/>
        </w:rPr>
        <w:t>F</w:t>
      </w:r>
      <w:r w:rsidR="00473B8F" w:rsidRPr="00C04EA2">
        <w:rPr>
          <w:rStyle w:val="fontstyle01"/>
          <w:rFonts w:ascii="Times New Roman" w:hAnsi="Times New Roman" w:cs="Times New Roman"/>
        </w:rPr>
        <w:t xml:space="preserve">-statistic is </w:t>
      </w:r>
      <w:r w:rsidR="00F76ED8" w:rsidRPr="00C04EA2">
        <w:rPr>
          <w:rStyle w:val="fontstyle01"/>
          <w:rFonts w:ascii="Times New Roman" w:hAnsi="Times New Roman" w:cs="Times New Roman"/>
        </w:rPr>
        <w:t xml:space="preserve">lower than the </w:t>
      </w:r>
      <w:r w:rsidR="00473B8F" w:rsidRPr="00C04EA2">
        <w:rPr>
          <w:rStyle w:val="fontstyle01"/>
          <w:rFonts w:ascii="Times New Roman" w:hAnsi="Times New Roman" w:cs="Times New Roman"/>
        </w:rPr>
        <w:t>upper</w:t>
      </w:r>
      <w:r w:rsidR="00F76ED8" w:rsidRPr="00C04EA2">
        <w:rPr>
          <w:rStyle w:val="fontstyle01"/>
          <w:rFonts w:ascii="Times New Roman" w:hAnsi="Times New Roman" w:cs="Times New Roman"/>
        </w:rPr>
        <w:t xml:space="preserve"> bound</w:t>
      </w:r>
      <w:r w:rsidR="00473B8F" w:rsidRPr="00C04EA2">
        <w:rPr>
          <w:rStyle w:val="fontstyle01"/>
          <w:rFonts w:ascii="Times New Roman" w:hAnsi="Times New Roman" w:cs="Times New Roman"/>
        </w:rPr>
        <w:t xml:space="preserve"> at 1% significance level and higher than the upper bound at 5% and 10% significance level.</w:t>
      </w:r>
      <w:r w:rsidRPr="00C04EA2">
        <w:rPr>
          <w:rStyle w:val="fontstyle01"/>
          <w:rFonts w:ascii="Times New Roman" w:hAnsi="Times New Roman" w:cs="Times New Roman"/>
        </w:rPr>
        <w:t xml:space="preserve"> Hence, the results indicate evidence of long-run relationship among the variables</w:t>
      </w:r>
      <w:r w:rsidR="00F76ED8" w:rsidRPr="00C04EA2">
        <w:rPr>
          <w:rStyle w:val="fontstyle01"/>
          <w:rFonts w:ascii="Times New Roman" w:hAnsi="Times New Roman" w:cs="Times New Roman"/>
        </w:rPr>
        <w:t xml:space="preserve"> of</w:t>
      </w:r>
      <w:r w:rsidR="00C53C63" w:rsidRPr="00C04EA2">
        <w:rPr>
          <w:rStyle w:val="fontstyle01"/>
          <w:rFonts w:ascii="Times New Roman" w:hAnsi="Times New Roman" w:cs="Times New Roman"/>
        </w:rPr>
        <w:t xml:space="preserve"> </w:t>
      </w:r>
      <w:r w:rsidR="00473B8F" w:rsidRPr="00C04EA2">
        <w:rPr>
          <w:rStyle w:val="fontstyle01"/>
          <w:rFonts w:ascii="Times New Roman" w:hAnsi="Times New Roman" w:cs="Times New Roman"/>
        </w:rPr>
        <w:t>FSIBL, IBBL, AIBL, SJIBL, and SIBL</w:t>
      </w:r>
      <w:r w:rsidR="00C53C63" w:rsidRPr="00C04EA2">
        <w:rPr>
          <w:rStyle w:val="fontstyle01"/>
          <w:rFonts w:ascii="Times New Roman" w:hAnsi="Times New Roman" w:cs="Times New Roman"/>
        </w:rPr>
        <w:t>, except</w:t>
      </w:r>
      <w:r w:rsidR="00F76ED8" w:rsidRPr="00C04EA2">
        <w:rPr>
          <w:rStyle w:val="fontstyle01"/>
          <w:rFonts w:ascii="Times New Roman" w:hAnsi="Times New Roman" w:cs="Times New Roman"/>
        </w:rPr>
        <w:t xml:space="preserve"> a short run relationship among the variables of FSIBL</w:t>
      </w:r>
      <w:r w:rsidR="00C53C63" w:rsidRPr="00C04EA2">
        <w:rPr>
          <w:rStyle w:val="fontstyle01"/>
          <w:rFonts w:ascii="Times New Roman" w:hAnsi="Times New Roman" w:cs="Times New Roman"/>
        </w:rPr>
        <w:t xml:space="preserve"> only at 1% significance level</w:t>
      </w:r>
      <w:r w:rsidRPr="00C04EA2">
        <w:rPr>
          <w:rStyle w:val="fontstyle01"/>
          <w:rFonts w:ascii="Times New Roman" w:hAnsi="Times New Roman" w:cs="Times New Roman"/>
        </w:rPr>
        <w:t xml:space="preserve">. </w:t>
      </w:r>
      <w:r w:rsidR="0030192A" w:rsidRPr="00C04EA2">
        <w:rPr>
          <w:rFonts w:ascii="Times New Roman" w:hAnsi="Times New Roman" w:cs="Times New Roman"/>
          <w:sz w:val="24"/>
          <w:szCs w:val="24"/>
        </w:rPr>
        <w:t>There is evidence of a long-term relationship between Islamic banks' financial performances and economic growth of Bangladesh, as shown by the overall F-statistic, which indicates that the null hypothesis of no cointegration between Islamic banks' financing is rejected at various levels of significance.</w:t>
      </w:r>
    </w:p>
    <w:p w14:paraId="5F4BF344" w14:textId="400F32EF" w:rsidR="008810B3" w:rsidRPr="00C04EA2" w:rsidRDefault="00371016" w:rsidP="005A30C7">
      <w:pPr>
        <w:spacing w:after="0" w:line="360" w:lineRule="auto"/>
        <w:rPr>
          <w:rFonts w:ascii="Times New Roman" w:hAnsi="Times New Roman" w:cs="Times New Roman"/>
          <w:b/>
          <w:sz w:val="24"/>
          <w:szCs w:val="24"/>
        </w:rPr>
      </w:pPr>
      <w:r w:rsidRPr="00C04EA2">
        <w:rPr>
          <w:rFonts w:ascii="Times New Roman" w:hAnsi="Times New Roman" w:cs="Times New Roman"/>
          <w:b/>
          <w:sz w:val="24"/>
          <w:szCs w:val="24"/>
        </w:rPr>
        <w:t xml:space="preserve">Granger Causality </w:t>
      </w:r>
      <w:r w:rsidR="00303710" w:rsidRPr="00C04EA2">
        <w:rPr>
          <w:rFonts w:ascii="Times New Roman" w:hAnsi="Times New Roman" w:cs="Times New Roman"/>
          <w:b/>
          <w:sz w:val="24"/>
          <w:szCs w:val="24"/>
        </w:rPr>
        <w:t>Analysis</w:t>
      </w:r>
    </w:p>
    <w:p w14:paraId="3BD7EBD3" w14:textId="4236F261" w:rsidR="000333A3" w:rsidRPr="00C04EA2" w:rsidRDefault="006D6D79" w:rsidP="005A30C7">
      <w:pPr>
        <w:spacing w:after="0" w:line="360" w:lineRule="auto"/>
        <w:jc w:val="both"/>
        <w:rPr>
          <w:rStyle w:val="fontstyle01"/>
          <w:rFonts w:ascii="Times New Roman" w:hAnsi="Times New Roman" w:cs="Times New Roman"/>
        </w:rPr>
      </w:pPr>
      <w:r w:rsidRPr="00C04EA2">
        <w:rPr>
          <w:rStyle w:val="fontstyle01"/>
          <w:rFonts w:ascii="Times New Roman" w:hAnsi="Times New Roman" w:cs="Times New Roman"/>
        </w:rPr>
        <w:t>This section displays result of the</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pairwise Granger causality test conducted to</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investigate whether any causal relationship</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exist between Islamic banks performance and</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Economic growth of Bangladesh. The maximum number of lag</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 xml:space="preserve">length included in the test is 1, and the </w:t>
      </w:r>
      <w:r w:rsidRPr="00C04EA2">
        <w:rPr>
          <w:rStyle w:val="fontstyle21"/>
          <w:rFonts w:ascii="Times New Roman" w:hAnsi="Times New Roman" w:cs="Times New Roman"/>
          <w:i w:val="0"/>
        </w:rPr>
        <w:t>F</w:t>
      </w:r>
      <w:r w:rsidRPr="00C04EA2">
        <w:rPr>
          <w:rStyle w:val="fontstyle01"/>
          <w:rFonts w:ascii="Times New Roman" w:hAnsi="Times New Roman" w:cs="Times New Roman"/>
        </w:rPr>
        <w:t>-statistics with the corresponding p-values were</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used to determine whether to accept or reject</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the null hypothesis. The decision rule is to reject the null hypothesis of causal relationship between GDP and</w:t>
      </w:r>
      <w:r w:rsidRPr="00C04EA2">
        <w:rPr>
          <w:rFonts w:ascii="Times New Roman" w:hAnsi="Times New Roman" w:cs="Times New Roman"/>
          <w:color w:val="000000"/>
          <w:sz w:val="24"/>
          <w:szCs w:val="24"/>
        </w:rPr>
        <w:t xml:space="preserve"> </w:t>
      </w:r>
      <w:r w:rsidR="00227ADD" w:rsidRPr="00C04EA2">
        <w:rPr>
          <w:rStyle w:val="fontstyle01"/>
          <w:rFonts w:ascii="Times New Roman" w:hAnsi="Times New Roman" w:cs="Times New Roman"/>
        </w:rPr>
        <w:t xml:space="preserve">ROA, </w:t>
      </w:r>
      <w:r w:rsidR="00941DDB" w:rsidRPr="00C04EA2">
        <w:rPr>
          <w:rStyle w:val="fontstyle01"/>
          <w:rFonts w:ascii="Times New Roman" w:hAnsi="Times New Roman" w:cs="Times New Roman"/>
        </w:rPr>
        <w:t>GDP and EPS in case of FSIBL and IBBL respectively, and between GDP and AU in case of AIBL, SJIBL and SIBL,</w:t>
      </w:r>
      <w:r w:rsidRPr="00C04EA2">
        <w:rPr>
          <w:rStyle w:val="fontstyle01"/>
          <w:rFonts w:ascii="Times New Roman" w:hAnsi="Times New Roman" w:cs="Times New Roman"/>
        </w:rPr>
        <w:t xml:space="preserve"> if the p-value is</w:t>
      </w:r>
      <w:r w:rsidRPr="00C04EA2">
        <w:rPr>
          <w:rFonts w:ascii="Times New Roman" w:hAnsi="Times New Roman" w:cs="Times New Roman"/>
          <w:color w:val="000000"/>
          <w:sz w:val="24"/>
          <w:szCs w:val="24"/>
        </w:rPr>
        <w:t xml:space="preserve"> </w:t>
      </w:r>
      <w:r w:rsidRPr="00C04EA2">
        <w:rPr>
          <w:rStyle w:val="fontstyle01"/>
          <w:rFonts w:ascii="Times New Roman" w:hAnsi="Times New Roman" w:cs="Times New Roman"/>
        </w:rPr>
        <w:t>less than 0.05 (P &lt; 5%) significant level.</w:t>
      </w:r>
    </w:p>
    <w:p w14:paraId="63415C59" w14:textId="77777777" w:rsidR="000B7941" w:rsidRDefault="000B7941" w:rsidP="005A30C7">
      <w:pPr>
        <w:spacing w:line="360" w:lineRule="auto"/>
        <w:rPr>
          <w:rFonts w:ascii="Times New Roman" w:hAnsi="Times New Roman" w:cs="Times New Roman"/>
          <w:sz w:val="24"/>
          <w:szCs w:val="24"/>
        </w:rPr>
      </w:pPr>
    </w:p>
    <w:p w14:paraId="402A5E3D" w14:textId="6FA2AF74" w:rsidR="00356FF4" w:rsidRPr="00C04EA2" w:rsidRDefault="00227ADD" w:rsidP="005A30C7">
      <w:pPr>
        <w:spacing w:line="360" w:lineRule="auto"/>
        <w:jc w:val="center"/>
        <w:rPr>
          <w:rFonts w:ascii="Times New Roman" w:hAnsi="Times New Roman" w:cs="Times New Roman"/>
          <w:sz w:val="24"/>
          <w:szCs w:val="24"/>
        </w:rPr>
      </w:pPr>
      <w:r w:rsidRPr="00C04EA2">
        <w:rPr>
          <w:rFonts w:ascii="Times New Roman" w:hAnsi="Times New Roman" w:cs="Times New Roman"/>
          <w:sz w:val="24"/>
          <w:szCs w:val="24"/>
        </w:rPr>
        <w:lastRenderedPageBreak/>
        <w:t xml:space="preserve">Table </w:t>
      </w:r>
      <w:r w:rsidR="000B7941">
        <w:rPr>
          <w:rFonts w:ascii="Times New Roman" w:hAnsi="Times New Roman" w:cs="Times New Roman"/>
          <w:sz w:val="24"/>
          <w:szCs w:val="24"/>
        </w:rPr>
        <w:t>10</w:t>
      </w:r>
      <w:r w:rsidRPr="00C04EA2">
        <w:rPr>
          <w:rFonts w:ascii="Times New Roman" w:hAnsi="Times New Roman" w:cs="Times New Roman"/>
          <w:sz w:val="24"/>
          <w:szCs w:val="24"/>
        </w:rPr>
        <w:t>: Results of Granger Causality Analysis</w:t>
      </w:r>
    </w:p>
    <w:tbl>
      <w:tblPr>
        <w:tblStyle w:val="TableGrid"/>
        <w:tblW w:w="10080" w:type="dxa"/>
        <w:tblInd w:w="-275" w:type="dxa"/>
        <w:tblLayout w:type="fixed"/>
        <w:tblLook w:val="04A0" w:firstRow="1" w:lastRow="0" w:firstColumn="1" w:lastColumn="0" w:noHBand="0" w:noVBand="1"/>
      </w:tblPr>
      <w:tblGrid>
        <w:gridCol w:w="1016"/>
        <w:gridCol w:w="784"/>
        <w:gridCol w:w="3690"/>
        <w:gridCol w:w="540"/>
        <w:gridCol w:w="1080"/>
        <w:gridCol w:w="990"/>
        <w:gridCol w:w="1980"/>
      </w:tblGrid>
      <w:tr w:rsidR="00997034" w:rsidRPr="00C04EA2" w14:paraId="0D1A1088" w14:textId="22CBF339" w:rsidTr="000333A3">
        <w:tc>
          <w:tcPr>
            <w:tcW w:w="1016" w:type="dxa"/>
          </w:tcPr>
          <w:p w14:paraId="692F3A72" w14:textId="77777777" w:rsidR="00997034" w:rsidRPr="00C04EA2" w:rsidRDefault="00997034" w:rsidP="005A30C7">
            <w:pPr>
              <w:spacing w:line="360" w:lineRule="auto"/>
              <w:rPr>
                <w:rFonts w:ascii="Times New Roman" w:hAnsi="Times New Roman" w:cs="Times New Roman"/>
                <w:sz w:val="24"/>
                <w:szCs w:val="24"/>
              </w:rPr>
            </w:pPr>
          </w:p>
        </w:tc>
        <w:tc>
          <w:tcPr>
            <w:tcW w:w="784" w:type="dxa"/>
          </w:tcPr>
          <w:p w14:paraId="53E21B67" w14:textId="44E5B43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Pair</w:t>
            </w:r>
          </w:p>
        </w:tc>
        <w:tc>
          <w:tcPr>
            <w:tcW w:w="3690" w:type="dxa"/>
          </w:tcPr>
          <w:p w14:paraId="24421F27" w14:textId="32C8CFEF"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Null Hypothesis</w:t>
            </w:r>
          </w:p>
        </w:tc>
        <w:tc>
          <w:tcPr>
            <w:tcW w:w="540" w:type="dxa"/>
          </w:tcPr>
          <w:p w14:paraId="17B1E1C1" w14:textId="019E8CC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Obs.</w:t>
            </w:r>
          </w:p>
        </w:tc>
        <w:tc>
          <w:tcPr>
            <w:tcW w:w="1080" w:type="dxa"/>
          </w:tcPr>
          <w:p w14:paraId="1E2E60A3" w14:textId="621B4DF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F-statistic</w:t>
            </w:r>
          </w:p>
        </w:tc>
        <w:tc>
          <w:tcPr>
            <w:tcW w:w="990" w:type="dxa"/>
          </w:tcPr>
          <w:p w14:paraId="743E178A" w14:textId="5FE4A00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Prob.</w:t>
            </w:r>
          </w:p>
        </w:tc>
        <w:tc>
          <w:tcPr>
            <w:tcW w:w="1980" w:type="dxa"/>
          </w:tcPr>
          <w:p w14:paraId="053EA4A8" w14:textId="288F2A05"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Causal Relationship</w:t>
            </w:r>
          </w:p>
        </w:tc>
      </w:tr>
      <w:tr w:rsidR="00997034" w:rsidRPr="00C04EA2" w14:paraId="07EA1463" w14:textId="4F3F776E" w:rsidTr="000333A3">
        <w:trPr>
          <w:trHeight w:val="764"/>
        </w:trPr>
        <w:tc>
          <w:tcPr>
            <w:tcW w:w="1016" w:type="dxa"/>
          </w:tcPr>
          <w:p w14:paraId="3BF8ED93" w14:textId="35EFE3E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FSIBL</w:t>
            </w:r>
          </w:p>
        </w:tc>
        <w:tc>
          <w:tcPr>
            <w:tcW w:w="784" w:type="dxa"/>
          </w:tcPr>
          <w:p w14:paraId="57BEF4C5" w14:textId="4CD9899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GDP/ROA</w:t>
            </w:r>
          </w:p>
        </w:tc>
        <w:tc>
          <w:tcPr>
            <w:tcW w:w="3690" w:type="dxa"/>
          </w:tcPr>
          <w:p w14:paraId="7E60C32A" w14:textId="47AD4D1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ROA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72A8D151" w14:textId="6480307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ROA</w:t>
            </w:r>
          </w:p>
          <w:p w14:paraId="53C117A3" w14:textId="2B94968F" w:rsidR="00997034" w:rsidRPr="00C04EA2" w:rsidRDefault="00997034" w:rsidP="005A30C7">
            <w:pPr>
              <w:spacing w:line="360" w:lineRule="auto"/>
              <w:rPr>
                <w:rFonts w:ascii="Times New Roman" w:hAnsi="Times New Roman" w:cs="Times New Roman"/>
                <w:sz w:val="24"/>
                <w:szCs w:val="24"/>
              </w:rPr>
            </w:pPr>
          </w:p>
        </w:tc>
        <w:tc>
          <w:tcPr>
            <w:tcW w:w="540" w:type="dxa"/>
          </w:tcPr>
          <w:p w14:paraId="31B49B89" w14:textId="3822809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6E209809"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33.6724</w:t>
            </w:r>
          </w:p>
          <w:p w14:paraId="78BFB002" w14:textId="435DF80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2.31370</w:t>
            </w:r>
          </w:p>
        </w:tc>
        <w:tc>
          <w:tcPr>
            <w:tcW w:w="990" w:type="dxa"/>
          </w:tcPr>
          <w:p w14:paraId="52EFB8EE" w14:textId="5E0C730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0.0088</w:t>
            </w:r>
          </w:p>
          <w:p w14:paraId="6CD02360" w14:textId="4D2F9E4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0.2467</w:t>
            </w:r>
          </w:p>
        </w:tc>
        <w:tc>
          <w:tcPr>
            <w:tcW w:w="1980" w:type="dxa"/>
          </w:tcPr>
          <w:p w14:paraId="180A4C46"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50D58BDB" w14:textId="3D40247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31EA3753" w14:textId="2B6322AE" w:rsidTr="000333A3">
        <w:tc>
          <w:tcPr>
            <w:tcW w:w="1016" w:type="dxa"/>
          </w:tcPr>
          <w:p w14:paraId="3A1CCCD8" w14:textId="431E37C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IBBL</w:t>
            </w:r>
          </w:p>
        </w:tc>
        <w:tc>
          <w:tcPr>
            <w:tcW w:w="784" w:type="dxa"/>
          </w:tcPr>
          <w:p w14:paraId="7DEB3AC1" w14:textId="50E3BC8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GDP/EPS</w:t>
            </w:r>
          </w:p>
        </w:tc>
        <w:tc>
          <w:tcPr>
            <w:tcW w:w="3690" w:type="dxa"/>
          </w:tcPr>
          <w:p w14:paraId="528A9F8F" w14:textId="4D92930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EPS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2B181F65" w14:textId="4C8C276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EPS</w:t>
            </w:r>
          </w:p>
          <w:p w14:paraId="4439F879"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7EFE0542" w14:textId="2AB63895"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02D226D1" w14:textId="64962F6D"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15.3552</w:t>
            </w:r>
          </w:p>
          <w:p w14:paraId="721CA3DE" w14:textId="5D8DC97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1.99531</w:t>
            </w:r>
          </w:p>
        </w:tc>
        <w:tc>
          <w:tcPr>
            <w:tcW w:w="990" w:type="dxa"/>
          </w:tcPr>
          <w:p w14:paraId="53EC4A71" w14:textId="29C37AA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0.0265</w:t>
            </w:r>
          </w:p>
          <w:p w14:paraId="4FC77542" w14:textId="2B26109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0.2811</w:t>
            </w:r>
          </w:p>
        </w:tc>
        <w:tc>
          <w:tcPr>
            <w:tcW w:w="1980" w:type="dxa"/>
          </w:tcPr>
          <w:p w14:paraId="7D96038A"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15364A0D" w14:textId="7B1DF78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43863643" w14:textId="5EC38A38" w:rsidTr="000333A3">
        <w:tc>
          <w:tcPr>
            <w:tcW w:w="1016" w:type="dxa"/>
          </w:tcPr>
          <w:p w14:paraId="01593689" w14:textId="0338A88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AIBL</w:t>
            </w:r>
          </w:p>
        </w:tc>
        <w:tc>
          <w:tcPr>
            <w:tcW w:w="784" w:type="dxa"/>
          </w:tcPr>
          <w:p w14:paraId="568DCEE7" w14:textId="15A3214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5779357D" w14:textId="438A0C1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6005E768" w14:textId="6B18B912"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19476969"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63A398E4" w14:textId="0217DD16"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1A98E126" w14:textId="102079B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16.4731</w:t>
            </w:r>
          </w:p>
          <w:p w14:paraId="162D4211" w14:textId="21EA2ED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1.34567</w:t>
            </w:r>
          </w:p>
        </w:tc>
        <w:tc>
          <w:tcPr>
            <w:tcW w:w="990" w:type="dxa"/>
          </w:tcPr>
          <w:p w14:paraId="2ABA4273" w14:textId="153E7BA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0.0241</w:t>
            </w:r>
          </w:p>
          <w:p w14:paraId="614C347B" w14:textId="0163BB7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0.3827</w:t>
            </w:r>
          </w:p>
        </w:tc>
        <w:tc>
          <w:tcPr>
            <w:tcW w:w="1980" w:type="dxa"/>
          </w:tcPr>
          <w:p w14:paraId="5CF532ED"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0E9A7AB6" w14:textId="791FD15F"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22A4FE7A" w14:textId="57624EF7" w:rsidTr="000333A3">
        <w:tc>
          <w:tcPr>
            <w:tcW w:w="1016" w:type="dxa"/>
          </w:tcPr>
          <w:p w14:paraId="0EDC918B" w14:textId="056A463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SJIBL</w:t>
            </w:r>
          </w:p>
        </w:tc>
        <w:tc>
          <w:tcPr>
            <w:tcW w:w="784" w:type="dxa"/>
          </w:tcPr>
          <w:p w14:paraId="3EC835DF" w14:textId="64215DC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5D8B694E" w14:textId="1E53634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4853BE16" w14:textId="42B054D4"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21C78494"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7E35F010" w14:textId="3374F31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51625200" w14:textId="56599A8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6.02411</w:t>
            </w:r>
          </w:p>
          <w:p w14:paraId="76478EE5" w14:textId="57CE9110"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0.18563</w:t>
            </w:r>
          </w:p>
        </w:tc>
        <w:tc>
          <w:tcPr>
            <w:tcW w:w="990" w:type="dxa"/>
          </w:tcPr>
          <w:p w14:paraId="180FCCF6" w14:textId="4304A46C"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0.0495</w:t>
            </w:r>
          </w:p>
          <w:p w14:paraId="3241D569" w14:textId="7C7279F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0.6816</w:t>
            </w:r>
          </w:p>
        </w:tc>
        <w:tc>
          <w:tcPr>
            <w:tcW w:w="1980" w:type="dxa"/>
          </w:tcPr>
          <w:p w14:paraId="6BF631A0"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717C3211" w14:textId="0254A4A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r w:rsidR="00997034" w:rsidRPr="00C04EA2" w14:paraId="45CFC063" w14:textId="4499BC4C" w:rsidTr="000333A3">
        <w:tc>
          <w:tcPr>
            <w:tcW w:w="1016" w:type="dxa"/>
          </w:tcPr>
          <w:p w14:paraId="2EC3664A" w14:textId="561D8D7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SIBL</w:t>
            </w:r>
          </w:p>
        </w:tc>
        <w:tc>
          <w:tcPr>
            <w:tcW w:w="784" w:type="dxa"/>
          </w:tcPr>
          <w:p w14:paraId="1937E1CD" w14:textId="6AF1EC9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GDP/AU</w:t>
            </w:r>
          </w:p>
        </w:tc>
        <w:tc>
          <w:tcPr>
            <w:tcW w:w="3690" w:type="dxa"/>
          </w:tcPr>
          <w:p w14:paraId="4FB02948" w14:textId="500AEDD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AU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GDP</w:t>
            </w:r>
          </w:p>
          <w:p w14:paraId="342CA073" w14:textId="6A9D2C51"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GDP does not Gran</w:t>
            </w:r>
            <w:r w:rsidR="00677BE3" w:rsidRPr="00C04EA2">
              <w:rPr>
                <w:rFonts w:ascii="Times New Roman" w:hAnsi="Times New Roman" w:cs="Times New Roman"/>
                <w:sz w:val="24"/>
                <w:szCs w:val="24"/>
              </w:rPr>
              <w:t>g</w:t>
            </w:r>
            <w:r w:rsidRPr="00C04EA2">
              <w:rPr>
                <w:rFonts w:ascii="Times New Roman" w:hAnsi="Times New Roman" w:cs="Times New Roman"/>
                <w:sz w:val="24"/>
                <w:szCs w:val="24"/>
              </w:rPr>
              <w:t>er Cause AU</w:t>
            </w:r>
          </w:p>
          <w:p w14:paraId="0FDE42CD" w14:textId="77777777" w:rsidR="00997034" w:rsidRPr="00C04EA2" w:rsidRDefault="00997034" w:rsidP="005A30C7">
            <w:pPr>
              <w:spacing w:line="360" w:lineRule="auto"/>
              <w:rPr>
                <w:rFonts w:ascii="Times New Roman" w:hAnsi="Times New Roman" w:cs="Times New Roman"/>
                <w:sz w:val="24"/>
                <w:szCs w:val="24"/>
              </w:rPr>
            </w:pPr>
          </w:p>
        </w:tc>
        <w:tc>
          <w:tcPr>
            <w:tcW w:w="540" w:type="dxa"/>
          </w:tcPr>
          <w:p w14:paraId="5CB57755" w14:textId="72E35E2A"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8</w:t>
            </w:r>
          </w:p>
        </w:tc>
        <w:tc>
          <w:tcPr>
            <w:tcW w:w="1080" w:type="dxa"/>
          </w:tcPr>
          <w:p w14:paraId="416D6E53" w14:textId="205D38EB"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0.13167</w:t>
            </w:r>
          </w:p>
          <w:p w14:paraId="38AFCEF2" w14:textId="18C6E6AE"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58.8854</w:t>
            </w:r>
          </w:p>
        </w:tc>
        <w:tc>
          <w:tcPr>
            <w:tcW w:w="990" w:type="dxa"/>
          </w:tcPr>
          <w:p w14:paraId="2A0A7692" w14:textId="3151BD63"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0.8814</w:t>
            </w:r>
          </w:p>
          <w:p w14:paraId="4BA2F64D" w14:textId="360C5AC2"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0.0039</w:t>
            </w:r>
          </w:p>
        </w:tc>
        <w:tc>
          <w:tcPr>
            <w:tcW w:w="1980" w:type="dxa"/>
          </w:tcPr>
          <w:p w14:paraId="7AA819B7" w14:textId="77777777"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Exists</w:t>
            </w:r>
          </w:p>
          <w:p w14:paraId="58D98ED8" w14:textId="3DD4DFA9" w:rsidR="00997034" w:rsidRPr="00C04EA2" w:rsidRDefault="00997034" w:rsidP="005A30C7">
            <w:pPr>
              <w:spacing w:line="360" w:lineRule="auto"/>
              <w:rPr>
                <w:rFonts w:ascii="Times New Roman" w:hAnsi="Times New Roman" w:cs="Times New Roman"/>
                <w:sz w:val="24"/>
                <w:szCs w:val="24"/>
              </w:rPr>
            </w:pPr>
            <w:r w:rsidRPr="00C04EA2">
              <w:rPr>
                <w:rFonts w:ascii="Times New Roman" w:hAnsi="Times New Roman" w:cs="Times New Roman"/>
                <w:sz w:val="24"/>
                <w:szCs w:val="24"/>
              </w:rPr>
              <w:t>(unid</w:t>
            </w:r>
            <w:r w:rsidR="00677BE3" w:rsidRPr="00C04EA2">
              <w:rPr>
                <w:rFonts w:ascii="Times New Roman" w:hAnsi="Times New Roman" w:cs="Times New Roman"/>
                <w:sz w:val="24"/>
                <w:szCs w:val="24"/>
              </w:rPr>
              <w:t>i</w:t>
            </w:r>
            <w:r w:rsidRPr="00C04EA2">
              <w:rPr>
                <w:rFonts w:ascii="Times New Roman" w:hAnsi="Times New Roman" w:cs="Times New Roman"/>
                <w:sz w:val="24"/>
                <w:szCs w:val="24"/>
              </w:rPr>
              <w:t>rectional)</w:t>
            </w:r>
          </w:p>
        </w:tc>
      </w:tr>
    </w:tbl>
    <w:p w14:paraId="49FBCA45" w14:textId="77777777" w:rsidR="000333A3" w:rsidRPr="00C04EA2" w:rsidRDefault="000333A3" w:rsidP="005A30C7">
      <w:pPr>
        <w:spacing w:line="360" w:lineRule="auto"/>
        <w:jc w:val="both"/>
        <w:rPr>
          <w:rFonts w:ascii="Times New Roman" w:hAnsi="Times New Roman" w:cs="Times New Roman"/>
          <w:sz w:val="24"/>
          <w:szCs w:val="24"/>
        </w:rPr>
      </w:pPr>
    </w:p>
    <w:p w14:paraId="3EAEACFA" w14:textId="4E72A5B5" w:rsidR="00356FF4" w:rsidRPr="00C04EA2" w:rsidRDefault="00941DDB" w:rsidP="005A30C7">
      <w:pPr>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 results of granger causality </w:t>
      </w:r>
      <w:r w:rsidR="00956FBC" w:rsidRPr="00C04EA2">
        <w:rPr>
          <w:rFonts w:ascii="Times New Roman" w:hAnsi="Times New Roman" w:cs="Times New Roman"/>
          <w:sz w:val="24"/>
          <w:szCs w:val="24"/>
        </w:rPr>
        <w:t>analysis</w:t>
      </w:r>
      <w:r w:rsidR="00C82735">
        <w:rPr>
          <w:rFonts w:ascii="Times New Roman" w:hAnsi="Times New Roman" w:cs="Times New Roman"/>
          <w:sz w:val="24"/>
          <w:szCs w:val="24"/>
        </w:rPr>
        <w:t xml:space="preserve"> in table 10</w:t>
      </w:r>
      <w:r w:rsidR="00AB6B94" w:rsidRPr="00C04EA2">
        <w:rPr>
          <w:rFonts w:ascii="Times New Roman" w:hAnsi="Times New Roman" w:cs="Times New Roman"/>
          <w:sz w:val="24"/>
          <w:szCs w:val="24"/>
        </w:rPr>
        <w:t>,</w:t>
      </w:r>
      <w:r w:rsidRPr="00C04EA2">
        <w:rPr>
          <w:rFonts w:ascii="Times New Roman" w:hAnsi="Times New Roman" w:cs="Times New Roman"/>
          <w:sz w:val="24"/>
          <w:szCs w:val="24"/>
        </w:rPr>
        <w:t xml:space="preserve"> show that</w:t>
      </w:r>
      <w:r w:rsidR="00AB6B94" w:rsidRPr="00C04EA2">
        <w:rPr>
          <w:rFonts w:ascii="Times New Roman" w:hAnsi="Times New Roman" w:cs="Times New Roman"/>
          <w:sz w:val="24"/>
          <w:szCs w:val="24"/>
        </w:rPr>
        <w:t>,</w:t>
      </w:r>
      <w:r w:rsidRPr="00C04EA2">
        <w:rPr>
          <w:rFonts w:ascii="Times New Roman" w:hAnsi="Times New Roman" w:cs="Times New Roman"/>
          <w:sz w:val="24"/>
          <w:szCs w:val="24"/>
        </w:rPr>
        <w:t xml:space="preserve"> we cannot reject</w:t>
      </w:r>
      <w:r w:rsidR="00AA7A27" w:rsidRPr="00C04EA2">
        <w:rPr>
          <w:rFonts w:ascii="Times New Roman" w:hAnsi="Times New Roman" w:cs="Times New Roman"/>
          <w:sz w:val="24"/>
          <w:szCs w:val="24"/>
        </w:rPr>
        <w:t xml:space="preserve"> the causal</w:t>
      </w:r>
      <w:r w:rsidRPr="00C04EA2">
        <w:rPr>
          <w:rFonts w:ascii="Times New Roman" w:hAnsi="Times New Roman" w:cs="Times New Roman"/>
          <w:sz w:val="24"/>
          <w:szCs w:val="24"/>
        </w:rPr>
        <w:t xml:space="preserve"> relation</w:t>
      </w:r>
      <w:r w:rsidR="00AA7A27" w:rsidRPr="00C04EA2">
        <w:rPr>
          <w:rFonts w:ascii="Times New Roman" w:hAnsi="Times New Roman" w:cs="Times New Roman"/>
          <w:sz w:val="24"/>
          <w:szCs w:val="24"/>
        </w:rPr>
        <w:t>ship</w:t>
      </w:r>
      <w:r w:rsidRPr="00C04EA2">
        <w:rPr>
          <w:rFonts w:ascii="Times New Roman" w:hAnsi="Times New Roman" w:cs="Times New Roman"/>
          <w:sz w:val="24"/>
          <w:szCs w:val="24"/>
        </w:rPr>
        <w:t xml:space="preserve"> between GDP and </w:t>
      </w:r>
      <w:r w:rsidR="00AA7A27" w:rsidRPr="00C04EA2">
        <w:rPr>
          <w:rFonts w:ascii="Times New Roman" w:hAnsi="Times New Roman" w:cs="Times New Roman"/>
          <w:sz w:val="24"/>
          <w:szCs w:val="24"/>
        </w:rPr>
        <w:t>ROA</w:t>
      </w:r>
      <w:r w:rsidR="00AB6B94" w:rsidRPr="00C04EA2">
        <w:rPr>
          <w:rFonts w:ascii="Times New Roman" w:hAnsi="Times New Roman" w:cs="Times New Roman"/>
          <w:sz w:val="24"/>
          <w:szCs w:val="24"/>
        </w:rPr>
        <w:t xml:space="preserve">; </w:t>
      </w:r>
      <w:r w:rsidR="00AA7A27" w:rsidRPr="00C04EA2">
        <w:rPr>
          <w:rFonts w:ascii="Times New Roman" w:hAnsi="Times New Roman" w:cs="Times New Roman"/>
          <w:sz w:val="24"/>
          <w:szCs w:val="24"/>
        </w:rPr>
        <w:t>return on assets</w:t>
      </w:r>
      <w:r w:rsidRPr="00C04EA2">
        <w:rPr>
          <w:rFonts w:ascii="Times New Roman" w:hAnsi="Times New Roman" w:cs="Times New Roman"/>
          <w:sz w:val="24"/>
          <w:szCs w:val="24"/>
        </w:rPr>
        <w:t xml:space="preserve"> lead</w:t>
      </w:r>
      <w:r w:rsidR="00E06D87" w:rsidRPr="00C04EA2">
        <w:rPr>
          <w:rFonts w:ascii="Times New Roman" w:hAnsi="Times New Roman" w:cs="Times New Roman"/>
          <w:sz w:val="24"/>
          <w:szCs w:val="24"/>
        </w:rPr>
        <w:t xml:space="preserve"> to</w:t>
      </w:r>
      <w:r w:rsidRPr="00C04EA2">
        <w:rPr>
          <w:rFonts w:ascii="Times New Roman" w:hAnsi="Times New Roman" w:cs="Times New Roman"/>
          <w:sz w:val="24"/>
          <w:szCs w:val="24"/>
        </w:rPr>
        <w:t xml:space="preserve"> GDP in case of</w:t>
      </w:r>
      <w:r w:rsidR="00AA7A27" w:rsidRPr="00C04EA2">
        <w:rPr>
          <w:rFonts w:ascii="Times New Roman" w:hAnsi="Times New Roman" w:cs="Times New Roman"/>
          <w:sz w:val="24"/>
          <w:szCs w:val="24"/>
        </w:rPr>
        <w:t xml:space="preserve"> FSIBL</w:t>
      </w:r>
      <w:r w:rsidRPr="00C04EA2">
        <w:rPr>
          <w:rFonts w:ascii="Times New Roman" w:hAnsi="Times New Roman" w:cs="Times New Roman"/>
          <w:sz w:val="24"/>
          <w:szCs w:val="24"/>
        </w:rPr>
        <w:t>.</w:t>
      </w:r>
      <w:r w:rsidR="00AA7A27" w:rsidRPr="00C04EA2">
        <w:rPr>
          <w:rFonts w:ascii="Times New Roman" w:hAnsi="Times New Roman" w:cs="Times New Roman"/>
          <w:sz w:val="24"/>
          <w:szCs w:val="24"/>
        </w:rPr>
        <w:t xml:space="preserve"> Besides, we can reject the null hypothesis and accept the causal relationship between GDP and EPS</w:t>
      </w:r>
      <w:r w:rsidR="00AB6B94" w:rsidRPr="00C04EA2">
        <w:rPr>
          <w:rFonts w:ascii="Times New Roman" w:hAnsi="Times New Roman" w:cs="Times New Roman"/>
          <w:sz w:val="24"/>
          <w:szCs w:val="24"/>
        </w:rPr>
        <w:t>;</w:t>
      </w:r>
      <w:r w:rsidR="00AA7A27" w:rsidRPr="00C04EA2">
        <w:rPr>
          <w:rFonts w:ascii="Times New Roman" w:hAnsi="Times New Roman" w:cs="Times New Roman"/>
          <w:sz w:val="24"/>
          <w:szCs w:val="24"/>
        </w:rPr>
        <w:t xml:space="preserve"> earning per share lead to GDP in case of IBBL.</w:t>
      </w:r>
      <w:r w:rsidRPr="00C04EA2">
        <w:rPr>
          <w:rFonts w:ascii="Times New Roman" w:hAnsi="Times New Roman" w:cs="Times New Roman"/>
          <w:sz w:val="24"/>
          <w:szCs w:val="24"/>
        </w:rPr>
        <w:t xml:space="preserve"> On other hand</w:t>
      </w:r>
      <w:r w:rsidR="00AA7A27" w:rsidRPr="00C04EA2">
        <w:rPr>
          <w:rFonts w:ascii="Times New Roman" w:hAnsi="Times New Roman" w:cs="Times New Roman"/>
          <w:sz w:val="24"/>
          <w:szCs w:val="24"/>
        </w:rPr>
        <w:t xml:space="preserve">, in case of AIBL and SJIBL, </w:t>
      </w:r>
      <w:r w:rsidR="00AB6B94" w:rsidRPr="00C04EA2">
        <w:rPr>
          <w:rFonts w:ascii="Times New Roman" w:hAnsi="Times New Roman" w:cs="Times New Roman"/>
          <w:sz w:val="24"/>
          <w:szCs w:val="24"/>
        </w:rPr>
        <w:t>we can see the causal relationship between GDP and AU, and can reject the null hypothesis; asset utilization lead to GDP. In the contrary, in case of SIBL, we can reject null hypothesis and can accept the causal relationship between GDP and AU; GDP lead to asset utilization.</w:t>
      </w:r>
      <w:r w:rsidR="000333A3" w:rsidRPr="00C04EA2">
        <w:rPr>
          <w:rFonts w:ascii="Times New Roman" w:hAnsi="Times New Roman" w:cs="Times New Roman"/>
          <w:sz w:val="24"/>
          <w:szCs w:val="24"/>
        </w:rPr>
        <w:t xml:space="preserve"> </w:t>
      </w:r>
      <w:r w:rsidR="00CE2140" w:rsidRPr="00C04EA2">
        <w:rPr>
          <w:rFonts w:ascii="Times New Roman" w:hAnsi="Times New Roman" w:cs="Times New Roman"/>
          <w:sz w:val="24"/>
          <w:szCs w:val="24"/>
        </w:rPr>
        <w:t xml:space="preserve">In every case, we can identify that, there is </w:t>
      </w:r>
      <w:r w:rsidR="00DF6416" w:rsidRPr="00C04EA2">
        <w:rPr>
          <w:rFonts w:ascii="Times New Roman" w:hAnsi="Times New Roman" w:cs="Times New Roman"/>
          <w:sz w:val="24"/>
          <w:szCs w:val="24"/>
        </w:rPr>
        <w:t xml:space="preserve">a </w:t>
      </w:r>
      <w:r w:rsidR="00CE2140" w:rsidRPr="00C04EA2">
        <w:rPr>
          <w:rFonts w:ascii="Times New Roman" w:hAnsi="Times New Roman" w:cs="Times New Roman"/>
          <w:sz w:val="24"/>
          <w:szCs w:val="24"/>
        </w:rPr>
        <w:t>unidirectional relationship between GDP and financial ratios.</w:t>
      </w:r>
      <w:r w:rsidR="000333A3" w:rsidRPr="00C04EA2">
        <w:rPr>
          <w:rFonts w:ascii="Times New Roman" w:hAnsi="Times New Roman" w:cs="Times New Roman"/>
          <w:color w:val="000000"/>
          <w:sz w:val="24"/>
          <w:szCs w:val="24"/>
        </w:rPr>
        <w:t xml:space="preserve"> </w:t>
      </w:r>
      <w:r w:rsidR="00C55570" w:rsidRPr="00C04EA2">
        <w:rPr>
          <w:rStyle w:val="fontstyle01"/>
          <w:rFonts w:ascii="Times New Roman" w:hAnsi="Times New Roman" w:cs="Times New Roman"/>
        </w:rPr>
        <w:t xml:space="preserve">Observe from </w:t>
      </w:r>
      <w:r w:rsidR="00C55570" w:rsidRPr="00C04EA2">
        <w:rPr>
          <w:rStyle w:val="fontstyle21"/>
          <w:rFonts w:ascii="Times New Roman" w:hAnsi="Times New Roman" w:cs="Times New Roman"/>
          <w:i w:val="0"/>
        </w:rPr>
        <w:t xml:space="preserve">Table </w:t>
      </w:r>
      <w:r w:rsidR="00C82735">
        <w:rPr>
          <w:rStyle w:val="fontstyle01"/>
          <w:rFonts w:ascii="Times New Roman" w:hAnsi="Times New Roman" w:cs="Times New Roman"/>
        </w:rPr>
        <w:t>10</w:t>
      </w:r>
      <w:r w:rsidR="00C55570" w:rsidRPr="00C04EA2">
        <w:rPr>
          <w:rStyle w:val="fontstyle01"/>
          <w:rFonts w:ascii="Times New Roman" w:hAnsi="Times New Roman" w:cs="Times New Roman"/>
        </w:rPr>
        <w:t xml:space="preserve"> that</w:t>
      </w:r>
      <w:r w:rsidR="00CE2140" w:rsidRPr="00C04EA2">
        <w:rPr>
          <w:rStyle w:val="fontstyle01"/>
          <w:rFonts w:ascii="Times New Roman" w:hAnsi="Times New Roman" w:cs="Times New Roman"/>
        </w:rPr>
        <w:t>,</w:t>
      </w:r>
      <w:r w:rsidR="00C55570" w:rsidRPr="00C04EA2">
        <w:rPr>
          <w:rStyle w:val="fontstyle01"/>
          <w:rFonts w:ascii="Times New Roman" w:hAnsi="Times New Roman" w:cs="Times New Roman"/>
        </w:rPr>
        <w:t xml:space="preserve"> there is </w:t>
      </w:r>
      <w:r w:rsidR="00DF6416" w:rsidRPr="00C04EA2">
        <w:rPr>
          <w:rStyle w:val="fontstyle01"/>
          <w:rFonts w:ascii="Times New Roman" w:hAnsi="Times New Roman" w:cs="Times New Roman"/>
        </w:rPr>
        <w:t xml:space="preserve">a </w:t>
      </w:r>
      <w:r w:rsidR="00AA7A27" w:rsidRPr="00C04EA2">
        <w:rPr>
          <w:rStyle w:val="fontstyle01"/>
          <w:rFonts w:ascii="Times New Roman" w:hAnsi="Times New Roman" w:cs="Times New Roman"/>
        </w:rPr>
        <w:t xml:space="preserve">significant </w:t>
      </w:r>
      <w:r w:rsidR="00C55570" w:rsidRPr="00C04EA2">
        <w:rPr>
          <w:rStyle w:val="fontstyle01"/>
          <w:rFonts w:ascii="Times New Roman" w:hAnsi="Times New Roman" w:cs="Times New Roman"/>
        </w:rPr>
        <w:t>causal relationship b</w:t>
      </w:r>
      <w:r w:rsidR="001F3569" w:rsidRPr="00C04EA2">
        <w:rPr>
          <w:rStyle w:val="fontstyle01"/>
          <w:rFonts w:ascii="Times New Roman" w:hAnsi="Times New Roman" w:cs="Times New Roman"/>
        </w:rPr>
        <w:t xml:space="preserve">etween GDP and </w:t>
      </w:r>
      <w:r w:rsidRPr="00C04EA2">
        <w:rPr>
          <w:rStyle w:val="fontstyle01"/>
          <w:rFonts w:ascii="Times New Roman" w:hAnsi="Times New Roman" w:cs="Times New Roman"/>
        </w:rPr>
        <w:t xml:space="preserve">financial ratio of Islamic </w:t>
      </w:r>
      <w:r w:rsidR="00DF6416" w:rsidRPr="00C04EA2">
        <w:rPr>
          <w:rStyle w:val="fontstyle01"/>
          <w:rFonts w:ascii="Times New Roman" w:hAnsi="Times New Roman" w:cs="Times New Roman"/>
        </w:rPr>
        <w:t>banks</w:t>
      </w:r>
      <w:r w:rsidRPr="00C04EA2">
        <w:rPr>
          <w:rStyle w:val="fontstyle01"/>
          <w:rFonts w:ascii="Times New Roman" w:hAnsi="Times New Roman" w:cs="Times New Roman"/>
        </w:rPr>
        <w:t xml:space="preserve"> of Bangladesh</w:t>
      </w:r>
      <w:r w:rsidR="00C55570" w:rsidRPr="00C04EA2">
        <w:rPr>
          <w:rStyle w:val="fontstyle01"/>
          <w:rFonts w:ascii="Times New Roman" w:hAnsi="Times New Roman" w:cs="Times New Roman"/>
        </w:rPr>
        <w:t>. This is evident in</w:t>
      </w:r>
      <w:r w:rsidR="00C55570" w:rsidRPr="00C04EA2">
        <w:rPr>
          <w:rFonts w:ascii="Times New Roman" w:hAnsi="Times New Roman" w:cs="Times New Roman"/>
          <w:color w:val="000000"/>
          <w:sz w:val="24"/>
          <w:szCs w:val="24"/>
        </w:rPr>
        <w:t xml:space="preserve"> </w:t>
      </w:r>
      <w:r w:rsidR="00C55570" w:rsidRPr="00C04EA2">
        <w:rPr>
          <w:rStyle w:val="fontstyle01"/>
          <w:rFonts w:ascii="Times New Roman" w:hAnsi="Times New Roman" w:cs="Times New Roman"/>
        </w:rPr>
        <w:t xml:space="preserve">the p-value being </w:t>
      </w:r>
      <w:r w:rsidRPr="00C04EA2">
        <w:rPr>
          <w:rStyle w:val="fontstyle01"/>
          <w:rFonts w:ascii="Times New Roman" w:hAnsi="Times New Roman" w:cs="Times New Roman"/>
        </w:rPr>
        <w:t>less</w:t>
      </w:r>
      <w:r w:rsidR="00C55570" w:rsidRPr="00C04EA2">
        <w:rPr>
          <w:rStyle w:val="fontstyle01"/>
          <w:rFonts w:ascii="Times New Roman" w:hAnsi="Times New Roman" w:cs="Times New Roman"/>
        </w:rPr>
        <w:t xml:space="preserve"> than any conventional level of signifi</w:t>
      </w:r>
      <w:r w:rsidR="001F3569" w:rsidRPr="00C04EA2">
        <w:rPr>
          <w:rStyle w:val="fontstyle01"/>
          <w:rFonts w:ascii="Times New Roman" w:hAnsi="Times New Roman" w:cs="Times New Roman"/>
        </w:rPr>
        <w:t xml:space="preserve">cance. GDP and </w:t>
      </w:r>
      <w:r w:rsidRPr="00C04EA2">
        <w:rPr>
          <w:rStyle w:val="fontstyle01"/>
          <w:rFonts w:ascii="Times New Roman" w:hAnsi="Times New Roman" w:cs="Times New Roman"/>
        </w:rPr>
        <w:t>financial ratio</w:t>
      </w:r>
      <w:r w:rsidR="00AA7A27" w:rsidRPr="00C04EA2">
        <w:rPr>
          <w:rStyle w:val="fontstyle01"/>
          <w:rFonts w:ascii="Times New Roman" w:hAnsi="Times New Roman" w:cs="Times New Roman"/>
        </w:rPr>
        <w:t>s</w:t>
      </w:r>
      <w:r w:rsidR="00C55570" w:rsidRPr="00C04EA2">
        <w:rPr>
          <w:rStyle w:val="fontstyle01"/>
          <w:rFonts w:ascii="Times New Roman" w:hAnsi="Times New Roman" w:cs="Times New Roman"/>
        </w:rPr>
        <w:t xml:space="preserve"> appear therefore to be statistically dependent</w:t>
      </w:r>
      <w:r w:rsidR="00C55570" w:rsidRPr="00C04EA2">
        <w:rPr>
          <w:rFonts w:ascii="Times New Roman" w:hAnsi="Times New Roman" w:cs="Times New Roman"/>
          <w:color w:val="000000"/>
          <w:sz w:val="24"/>
          <w:szCs w:val="24"/>
        </w:rPr>
        <w:t xml:space="preserve"> </w:t>
      </w:r>
      <w:r w:rsidR="00C55570" w:rsidRPr="00C04EA2">
        <w:rPr>
          <w:rStyle w:val="fontstyle01"/>
          <w:rFonts w:ascii="Times New Roman" w:hAnsi="Times New Roman" w:cs="Times New Roman"/>
        </w:rPr>
        <w:t>for the st</w:t>
      </w:r>
      <w:r w:rsidR="001F3569" w:rsidRPr="00C04EA2">
        <w:rPr>
          <w:rStyle w:val="fontstyle01"/>
          <w:rFonts w:ascii="Times New Roman" w:hAnsi="Times New Roman" w:cs="Times New Roman"/>
        </w:rPr>
        <w:t>udy period</w:t>
      </w:r>
      <w:r w:rsidRPr="00C04EA2">
        <w:rPr>
          <w:rStyle w:val="fontstyle01"/>
          <w:rFonts w:ascii="Times New Roman" w:hAnsi="Times New Roman" w:cs="Times New Roman"/>
        </w:rPr>
        <w:t xml:space="preserve"> from </w:t>
      </w:r>
      <w:r w:rsidRPr="00C04EA2">
        <w:rPr>
          <w:rStyle w:val="fontstyle01"/>
          <w:rFonts w:ascii="Times New Roman" w:hAnsi="Times New Roman" w:cs="Times New Roman"/>
        </w:rPr>
        <w:lastRenderedPageBreak/>
        <w:t>2010 to 2019</w:t>
      </w:r>
      <w:r w:rsidR="001F3569" w:rsidRPr="00C04EA2">
        <w:rPr>
          <w:rStyle w:val="fontstyle01"/>
          <w:rFonts w:ascii="Times New Roman" w:hAnsi="Times New Roman" w:cs="Times New Roman"/>
        </w:rPr>
        <w:t>.</w:t>
      </w:r>
      <w:r w:rsidR="00CE2140" w:rsidRPr="00C04EA2">
        <w:rPr>
          <w:rStyle w:val="fontstyle01"/>
          <w:rFonts w:ascii="Times New Roman" w:hAnsi="Times New Roman" w:cs="Times New Roman"/>
        </w:rPr>
        <w:t xml:space="preserve"> It is also evident that the performances of Islamic </w:t>
      </w:r>
      <w:r w:rsidR="006836BC">
        <w:rPr>
          <w:rStyle w:val="fontstyle01"/>
          <w:rFonts w:ascii="Times New Roman" w:hAnsi="Times New Roman" w:cs="Times New Roman"/>
        </w:rPr>
        <w:t>banks</w:t>
      </w:r>
      <w:r w:rsidR="00CE2140" w:rsidRPr="00C04EA2">
        <w:rPr>
          <w:rStyle w:val="fontstyle01"/>
          <w:rFonts w:ascii="Times New Roman" w:hAnsi="Times New Roman" w:cs="Times New Roman"/>
        </w:rPr>
        <w:t xml:space="preserve"> affect positively and significantly on the economic growth of Bangladesh.</w:t>
      </w:r>
    </w:p>
    <w:p w14:paraId="4D9DA4D0" w14:textId="09C52AA4" w:rsidR="00371016" w:rsidRDefault="00371016" w:rsidP="005A30C7">
      <w:pPr>
        <w:spacing w:line="360" w:lineRule="auto"/>
        <w:rPr>
          <w:rFonts w:ascii="Times New Roman" w:hAnsi="Times New Roman" w:cs="Times New Roman"/>
          <w:sz w:val="24"/>
          <w:szCs w:val="24"/>
        </w:rPr>
      </w:pPr>
    </w:p>
    <w:p w14:paraId="6C018C0C" w14:textId="0F0F2311" w:rsidR="00C82735" w:rsidRDefault="00C82735" w:rsidP="00C82735">
      <w:pPr>
        <w:spacing w:line="360" w:lineRule="auto"/>
        <w:jc w:val="center"/>
        <w:rPr>
          <w:rFonts w:ascii="Times New Roman" w:hAnsi="Times New Roman" w:cs="Times New Roman"/>
          <w:b/>
          <w:sz w:val="24"/>
          <w:szCs w:val="24"/>
        </w:rPr>
      </w:pPr>
      <w:r w:rsidRPr="00C82735">
        <w:rPr>
          <w:rFonts w:ascii="Times New Roman" w:hAnsi="Times New Roman" w:cs="Times New Roman"/>
          <w:b/>
          <w:sz w:val="24"/>
          <w:szCs w:val="24"/>
        </w:rPr>
        <w:t>DISCUSSION</w:t>
      </w:r>
    </w:p>
    <w:p w14:paraId="6D928C48" w14:textId="06369572" w:rsidR="00C82735" w:rsidRDefault="00C82735" w:rsidP="00C82735">
      <w:pPr>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 xml:space="preserve">The ARDL test's findings indicate that there is a long-term relationship between GDP and the sample banks' financial ratios, which means that, Islamic banks' performance significantly influenced Bangladesh's economic growth. As a result of </w:t>
      </w:r>
      <w:r w:rsidR="006836BC">
        <w:rPr>
          <w:rFonts w:ascii="Times New Roman" w:hAnsi="Times New Roman" w:cs="Times New Roman"/>
          <w:sz w:val="24"/>
          <w:szCs w:val="24"/>
        </w:rPr>
        <w:t xml:space="preserve">the </w:t>
      </w:r>
      <w:r w:rsidRPr="00C04EA2">
        <w:rPr>
          <w:rFonts w:ascii="Times New Roman" w:hAnsi="Times New Roman" w:cs="Times New Roman"/>
          <w:sz w:val="24"/>
          <w:szCs w:val="24"/>
        </w:rPr>
        <w:t>Granger Causality Analysis, it was also determined that there is a causal link between Bangladesh's economic growth and the performance of Islamic banks. In other words, Bangladesh's Islamic banking sector is a factor in the country's economic growth.</w:t>
      </w:r>
      <w:r w:rsidR="006836BC">
        <w:rPr>
          <w:rFonts w:ascii="Times New Roman" w:hAnsi="Times New Roman" w:cs="Times New Roman"/>
          <w:sz w:val="24"/>
          <w:szCs w:val="24"/>
        </w:rPr>
        <w:t xml:space="preserve"> The findings are similar to the outcomes found by </w:t>
      </w:r>
      <w:proofErr w:type="spellStart"/>
      <w:r w:rsidR="006836BC" w:rsidRPr="00C04EA2">
        <w:rPr>
          <w:rFonts w:ascii="Times New Roman" w:hAnsi="Times New Roman" w:cs="Times New Roman"/>
          <w:sz w:val="24"/>
          <w:szCs w:val="24"/>
        </w:rPr>
        <w:t>Furqani</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Mulyayn</w:t>
      </w:r>
      <w:proofErr w:type="spellEnd"/>
      <w:r w:rsidR="006836BC" w:rsidRPr="00C04EA2">
        <w:rPr>
          <w:rFonts w:ascii="Times New Roman" w:hAnsi="Times New Roman" w:cs="Times New Roman"/>
          <w:sz w:val="24"/>
          <w:szCs w:val="24"/>
        </w:rPr>
        <w:t xml:space="preserve"> (2009)</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Abduh</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Omar (2012), </w:t>
      </w:r>
      <w:proofErr w:type="spellStart"/>
      <w:r w:rsidR="006836BC" w:rsidRPr="00C04EA2">
        <w:rPr>
          <w:rFonts w:ascii="Times New Roman" w:hAnsi="Times New Roman" w:cs="Times New Roman"/>
          <w:sz w:val="24"/>
          <w:szCs w:val="24"/>
        </w:rPr>
        <w:t>Tabash</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Dhankar</w:t>
      </w:r>
      <w:proofErr w:type="spellEnd"/>
      <w:r w:rsidR="006836BC" w:rsidRPr="00C04EA2">
        <w:rPr>
          <w:rFonts w:ascii="Times New Roman" w:hAnsi="Times New Roman" w:cs="Times New Roman"/>
          <w:sz w:val="24"/>
          <w:szCs w:val="24"/>
        </w:rPr>
        <w:t xml:space="preserve"> (2014a), </w:t>
      </w:r>
      <w:r w:rsidR="006836BC">
        <w:rPr>
          <w:rFonts w:ascii="Times New Roman" w:hAnsi="Times New Roman" w:cs="Times New Roman"/>
          <w:sz w:val="24"/>
          <w:szCs w:val="24"/>
        </w:rPr>
        <w:t>&amp;</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Tabash</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Dhankar</w:t>
      </w:r>
      <w:proofErr w:type="spellEnd"/>
      <w:r w:rsidR="006836BC" w:rsidRPr="00C04EA2">
        <w:rPr>
          <w:rFonts w:ascii="Times New Roman" w:hAnsi="Times New Roman" w:cs="Times New Roman"/>
          <w:sz w:val="24"/>
          <w:szCs w:val="24"/>
        </w:rPr>
        <w:t xml:space="preserve"> (2014c), </w:t>
      </w:r>
      <w:proofErr w:type="spellStart"/>
      <w:r w:rsidR="006836BC" w:rsidRPr="00C04EA2">
        <w:rPr>
          <w:rFonts w:ascii="Times New Roman" w:hAnsi="Times New Roman" w:cs="Times New Roman"/>
          <w:sz w:val="24"/>
          <w:szCs w:val="24"/>
        </w:rPr>
        <w:t>Abduh</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Chowdhury (2012), </w:t>
      </w:r>
      <w:proofErr w:type="spellStart"/>
      <w:r w:rsidR="006836BC" w:rsidRPr="00C04EA2">
        <w:rPr>
          <w:rFonts w:ascii="Times New Roman" w:hAnsi="Times New Roman" w:cs="Times New Roman"/>
          <w:sz w:val="24"/>
          <w:szCs w:val="24"/>
        </w:rPr>
        <w:t>Yazdan</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Dastan (2013), </w:t>
      </w:r>
      <w:proofErr w:type="spellStart"/>
      <w:r w:rsidR="006836BC" w:rsidRPr="00C04EA2">
        <w:rPr>
          <w:rFonts w:ascii="Times New Roman" w:hAnsi="Times New Roman" w:cs="Times New Roman"/>
          <w:sz w:val="24"/>
          <w:szCs w:val="24"/>
        </w:rPr>
        <w:t>Tabash</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Dhankar</w:t>
      </w:r>
      <w:proofErr w:type="spellEnd"/>
      <w:r w:rsidR="006836BC" w:rsidRPr="00C04EA2">
        <w:rPr>
          <w:rFonts w:ascii="Times New Roman" w:hAnsi="Times New Roman" w:cs="Times New Roman"/>
          <w:sz w:val="24"/>
          <w:szCs w:val="24"/>
        </w:rPr>
        <w:t xml:space="preserve"> (2014b), </w:t>
      </w:r>
      <w:proofErr w:type="spellStart"/>
      <w:r w:rsidR="006836BC" w:rsidRPr="00C04EA2">
        <w:rPr>
          <w:rFonts w:ascii="Times New Roman" w:hAnsi="Times New Roman" w:cs="Times New Roman"/>
          <w:sz w:val="24"/>
          <w:szCs w:val="24"/>
        </w:rPr>
        <w:t>Atici</w:t>
      </w:r>
      <w:proofErr w:type="spellEnd"/>
      <w:r w:rsidR="006836BC" w:rsidRPr="00C04EA2">
        <w:rPr>
          <w:rFonts w:ascii="Times New Roman" w:hAnsi="Times New Roman" w:cs="Times New Roman"/>
          <w:sz w:val="24"/>
          <w:szCs w:val="24"/>
        </w:rPr>
        <w:t xml:space="preserve"> (2018), </w:t>
      </w:r>
      <w:r w:rsidR="006836BC">
        <w:rPr>
          <w:rFonts w:ascii="Times New Roman" w:hAnsi="Times New Roman" w:cs="Times New Roman"/>
          <w:sz w:val="24"/>
          <w:szCs w:val="24"/>
        </w:rPr>
        <w:t>&amp;</w:t>
      </w:r>
      <w:r w:rsidR="006836BC" w:rsidRPr="00C04EA2">
        <w:rPr>
          <w:rFonts w:ascii="Times New Roman" w:hAnsi="Times New Roman" w:cs="Times New Roman"/>
          <w:sz w:val="24"/>
          <w:szCs w:val="24"/>
        </w:rPr>
        <w:t xml:space="preserve"> Jawad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Christian (2019</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Kassim</w:t>
      </w:r>
      <w:proofErr w:type="spellEnd"/>
      <w:r w:rsidR="006836BC" w:rsidRPr="00C04EA2">
        <w:rPr>
          <w:rFonts w:ascii="Times New Roman" w:hAnsi="Times New Roman" w:cs="Times New Roman"/>
          <w:sz w:val="24"/>
          <w:szCs w:val="24"/>
        </w:rPr>
        <w:t xml:space="preserve"> (2016), </w:t>
      </w:r>
      <w:proofErr w:type="spellStart"/>
      <w:r w:rsidR="006836BC" w:rsidRPr="00C04EA2">
        <w:rPr>
          <w:rFonts w:ascii="Times New Roman" w:hAnsi="Times New Roman" w:cs="Times New Roman"/>
          <w:sz w:val="24"/>
          <w:szCs w:val="24"/>
        </w:rPr>
        <w:t>Yazdan</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Sadr (2012), M. Anwar et. al. (2020)</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Sarwer</w:t>
      </w:r>
      <w:proofErr w:type="spellEnd"/>
      <w:r w:rsidR="006836BC" w:rsidRPr="00C04EA2">
        <w:rPr>
          <w:rFonts w:ascii="Times New Roman" w:hAnsi="Times New Roman" w:cs="Times New Roman"/>
          <w:sz w:val="24"/>
          <w:szCs w:val="24"/>
        </w:rPr>
        <w:t xml:space="preserve"> et. al. (2013), Yusof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Bahlous</w:t>
      </w:r>
      <w:proofErr w:type="spellEnd"/>
      <w:r w:rsidR="006836BC" w:rsidRPr="00C04EA2">
        <w:rPr>
          <w:rFonts w:ascii="Times New Roman" w:hAnsi="Times New Roman" w:cs="Times New Roman"/>
          <w:sz w:val="24"/>
          <w:szCs w:val="24"/>
        </w:rPr>
        <w:t xml:space="preserve"> (2013) </w:t>
      </w:r>
      <w:r w:rsidR="006836BC">
        <w:rPr>
          <w:rFonts w:ascii="Times New Roman" w:hAnsi="Times New Roman" w:cs="Times New Roman"/>
          <w:sz w:val="24"/>
          <w:szCs w:val="24"/>
        </w:rPr>
        <w:t>and many more. On the other hand, the findings are dissimilar with the investigation done by</w:t>
      </w:r>
      <w:r w:rsidR="006836BC" w:rsidRPr="00C04EA2">
        <w:rPr>
          <w:rFonts w:ascii="Times New Roman" w:hAnsi="Times New Roman" w:cs="Times New Roman"/>
          <w:sz w:val="24"/>
          <w:szCs w:val="24"/>
        </w:rPr>
        <w:t xml:space="preserve"> Johnson (2013)</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Lebdaoui</w:t>
      </w:r>
      <w:proofErr w:type="spellEnd"/>
      <w:r w:rsidR="006836BC" w:rsidRPr="00C04EA2">
        <w:rPr>
          <w:rFonts w:ascii="Times New Roman" w:hAnsi="Times New Roman" w:cs="Times New Roman"/>
          <w:sz w:val="24"/>
          <w:szCs w:val="24"/>
        </w:rPr>
        <w:t xml:space="preserve"> and Wild (2016), </w:t>
      </w:r>
      <w:proofErr w:type="spellStart"/>
      <w:r w:rsidR="006836BC" w:rsidRPr="00C04EA2">
        <w:rPr>
          <w:rFonts w:ascii="Times New Roman" w:hAnsi="Times New Roman" w:cs="Times New Roman"/>
          <w:sz w:val="24"/>
          <w:szCs w:val="24"/>
        </w:rPr>
        <w:t>Tajgardoon</w:t>
      </w:r>
      <w:proofErr w:type="spellEnd"/>
      <w:r w:rsidR="006836BC" w:rsidRPr="00C04EA2">
        <w:rPr>
          <w:rFonts w:ascii="Times New Roman" w:hAnsi="Times New Roman" w:cs="Times New Roman"/>
          <w:sz w:val="24"/>
          <w:szCs w:val="24"/>
        </w:rPr>
        <w:t xml:space="preserve"> et. al. (2013), Wahab et. al. (2016)</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Hachicha</w:t>
      </w:r>
      <w:proofErr w:type="spellEnd"/>
      <w:r w:rsidR="006836BC" w:rsidRPr="00C04EA2">
        <w:rPr>
          <w:rFonts w:ascii="Times New Roman" w:hAnsi="Times New Roman" w:cs="Times New Roman"/>
          <w:sz w:val="24"/>
          <w:szCs w:val="24"/>
        </w:rPr>
        <w:t xml:space="preserve"> and Amar (2015</w:t>
      </w:r>
      <w:r w:rsidR="006836BC">
        <w:rPr>
          <w:rFonts w:ascii="Times New Roman" w:hAnsi="Times New Roman" w:cs="Times New Roman"/>
          <w:sz w:val="24"/>
          <w:szCs w:val="24"/>
        </w:rPr>
        <w:t xml:space="preserve">, </w:t>
      </w:r>
      <w:proofErr w:type="spellStart"/>
      <w:r w:rsidR="006836BC" w:rsidRPr="00C04EA2">
        <w:rPr>
          <w:rFonts w:ascii="Times New Roman" w:hAnsi="Times New Roman" w:cs="Times New Roman"/>
          <w:sz w:val="24"/>
          <w:szCs w:val="24"/>
        </w:rPr>
        <w:t>Afandi</w:t>
      </w:r>
      <w:proofErr w:type="spellEnd"/>
      <w:r w:rsidR="006836BC" w:rsidRPr="00C04EA2">
        <w:rPr>
          <w:rFonts w:ascii="Times New Roman" w:hAnsi="Times New Roman" w:cs="Times New Roman"/>
          <w:sz w:val="24"/>
          <w:szCs w:val="24"/>
        </w:rPr>
        <w:t xml:space="preserve"> </w:t>
      </w:r>
      <w:r w:rsidR="006836BC">
        <w:rPr>
          <w:rFonts w:ascii="Times New Roman" w:hAnsi="Times New Roman" w:cs="Times New Roman"/>
          <w:sz w:val="24"/>
          <w:szCs w:val="24"/>
        </w:rPr>
        <w:t>and</w:t>
      </w:r>
      <w:r w:rsidR="006836BC" w:rsidRPr="00C04EA2">
        <w:rPr>
          <w:rFonts w:ascii="Times New Roman" w:hAnsi="Times New Roman" w:cs="Times New Roman"/>
          <w:sz w:val="24"/>
          <w:szCs w:val="24"/>
        </w:rPr>
        <w:t xml:space="preserve"> Amin (2019). </w:t>
      </w:r>
    </w:p>
    <w:p w14:paraId="770FE936" w14:textId="77777777" w:rsidR="006836BC" w:rsidRPr="00C82735" w:rsidRDefault="006836BC" w:rsidP="00C82735">
      <w:pPr>
        <w:spacing w:line="360" w:lineRule="auto"/>
        <w:jc w:val="both"/>
        <w:rPr>
          <w:rFonts w:ascii="Times New Roman" w:hAnsi="Times New Roman" w:cs="Times New Roman"/>
          <w:sz w:val="24"/>
          <w:szCs w:val="24"/>
        </w:rPr>
      </w:pPr>
    </w:p>
    <w:p w14:paraId="0D3BDD85" w14:textId="7866CCCD" w:rsidR="007D5371" w:rsidRPr="00C04EA2" w:rsidRDefault="007D5371" w:rsidP="005A30C7">
      <w:pPr>
        <w:spacing w:line="360" w:lineRule="auto"/>
        <w:jc w:val="center"/>
        <w:rPr>
          <w:rFonts w:ascii="Times New Roman" w:hAnsi="Times New Roman" w:cs="Times New Roman"/>
          <w:b/>
          <w:sz w:val="24"/>
          <w:szCs w:val="24"/>
        </w:rPr>
      </w:pPr>
      <w:r w:rsidRPr="00C04EA2">
        <w:rPr>
          <w:rFonts w:ascii="Times New Roman" w:hAnsi="Times New Roman" w:cs="Times New Roman"/>
          <w:b/>
          <w:sz w:val="24"/>
          <w:szCs w:val="24"/>
        </w:rPr>
        <w:t>CONCLUSION</w:t>
      </w:r>
    </w:p>
    <w:p w14:paraId="70FA4B40" w14:textId="77777777" w:rsidR="00C82735" w:rsidRDefault="00EF053B" w:rsidP="005A30C7">
      <w:pPr>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Islamic banking is becoming more and more well-liked almost everywhere. The structure of this banking system is influenced by a wide range of factors. It is necessary to have a banking system without interest, for instance, because Muslims are sensitive to Islamic laws. A new banking system without interest is also necessary because many researchers think that interest worsens income inequality between individuals. A majority-Muslim nation, Bangladesh has a large number of Islamic banks that operate there. Compared to traditional banks, their percentage is high, and their popularity has increased significantly most recently.</w:t>
      </w:r>
      <w:r w:rsidR="00C82735">
        <w:rPr>
          <w:rFonts w:ascii="Times New Roman" w:hAnsi="Times New Roman" w:cs="Times New Roman"/>
          <w:sz w:val="24"/>
          <w:szCs w:val="24"/>
        </w:rPr>
        <w:t xml:space="preserve"> </w:t>
      </w:r>
      <w:r w:rsidR="00FB5129" w:rsidRPr="00C04EA2">
        <w:rPr>
          <w:rFonts w:ascii="Times New Roman" w:hAnsi="Times New Roman" w:cs="Times New Roman"/>
          <w:sz w:val="24"/>
          <w:szCs w:val="24"/>
        </w:rPr>
        <w:t xml:space="preserve">Examining whether Islamic banking performance supports Bangladesh's economic growth is the main goal of this study. Panel data were considered within this scope for the </w:t>
      </w:r>
      <w:r w:rsidR="00C82735">
        <w:rPr>
          <w:rFonts w:ascii="Times New Roman" w:hAnsi="Times New Roman" w:cs="Times New Roman"/>
          <w:sz w:val="24"/>
          <w:szCs w:val="24"/>
        </w:rPr>
        <w:t>periods</w:t>
      </w:r>
      <w:r w:rsidR="00FB5129" w:rsidRPr="00C04EA2">
        <w:rPr>
          <w:rFonts w:ascii="Times New Roman" w:hAnsi="Times New Roman" w:cs="Times New Roman"/>
          <w:sz w:val="24"/>
          <w:szCs w:val="24"/>
        </w:rPr>
        <w:t xml:space="preserve"> from 20</w:t>
      </w:r>
      <w:r w:rsidR="00540022" w:rsidRPr="00C04EA2">
        <w:rPr>
          <w:rFonts w:ascii="Times New Roman" w:hAnsi="Times New Roman" w:cs="Times New Roman"/>
          <w:sz w:val="24"/>
          <w:szCs w:val="24"/>
        </w:rPr>
        <w:t>10</w:t>
      </w:r>
      <w:r w:rsidR="00FB5129" w:rsidRPr="00C04EA2">
        <w:rPr>
          <w:rFonts w:ascii="Times New Roman" w:hAnsi="Times New Roman" w:cs="Times New Roman"/>
          <w:sz w:val="24"/>
          <w:szCs w:val="24"/>
        </w:rPr>
        <w:t xml:space="preserve"> to 2019. To accomplish this, additional methods such as the </w:t>
      </w:r>
      <w:r w:rsidR="00C82735" w:rsidRPr="00C04EA2">
        <w:rPr>
          <w:rFonts w:ascii="Times New Roman" w:hAnsi="Times New Roman" w:cs="Times New Roman"/>
          <w:sz w:val="24"/>
          <w:szCs w:val="24"/>
        </w:rPr>
        <w:t xml:space="preserve">unit root test, ARDL test, and </w:t>
      </w:r>
      <w:r w:rsidR="00C82735">
        <w:rPr>
          <w:rFonts w:ascii="Times New Roman" w:hAnsi="Times New Roman" w:cs="Times New Roman"/>
          <w:sz w:val="24"/>
          <w:szCs w:val="24"/>
        </w:rPr>
        <w:t>Granger</w:t>
      </w:r>
      <w:r w:rsidR="00C82735" w:rsidRPr="00C04EA2">
        <w:rPr>
          <w:rFonts w:ascii="Times New Roman" w:hAnsi="Times New Roman" w:cs="Times New Roman"/>
          <w:sz w:val="24"/>
          <w:szCs w:val="24"/>
        </w:rPr>
        <w:t xml:space="preserve"> causality analysis </w:t>
      </w:r>
      <w:r w:rsidR="00FB5129" w:rsidRPr="00C04EA2">
        <w:rPr>
          <w:rFonts w:ascii="Times New Roman" w:hAnsi="Times New Roman" w:cs="Times New Roman"/>
          <w:sz w:val="24"/>
          <w:szCs w:val="24"/>
        </w:rPr>
        <w:t xml:space="preserve">were used. </w:t>
      </w:r>
    </w:p>
    <w:p w14:paraId="03A9F7FA" w14:textId="77777777" w:rsidR="00C82735" w:rsidRPr="00C82735" w:rsidRDefault="00C82735" w:rsidP="00C82735">
      <w:pPr>
        <w:spacing w:after="0" w:line="360" w:lineRule="auto"/>
        <w:jc w:val="both"/>
        <w:rPr>
          <w:rFonts w:ascii="Times New Roman" w:eastAsia="Times New Roman" w:hAnsi="Times New Roman" w:cs="Times New Roman"/>
          <w:sz w:val="24"/>
          <w:szCs w:val="24"/>
        </w:rPr>
      </w:pPr>
      <w:r w:rsidRPr="00C82735">
        <w:rPr>
          <w:rFonts w:ascii="Times New Roman" w:eastAsia="Times New Roman" w:hAnsi="Times New Roman" w:cs="Times New Roman"/>
          <w:sz w:val="24"/>
          <w:szCs w:val="24"/>
        </w:rPr>
        <w:lastRenderedPageBreak/>
        <w:t>The results show that the financial ratios of the sample banks and GDP had a long-term relationship, indicating that the performance of Islamic banks had a major impact on Bangladesh's economic growth. Furthermore, a causal relationship between the performance of Islamic banks and Bangladesh's economic growth was established. Put differently, the growth of Bangladesh's economy is influenced by the Islamic banking industry.</w:t>
      </w:r>
    </w:p>
    <w:p w14:paraId="0BCE04D3" w14:textId="77777777" w:rsidR="00C82735" w:rsidRPr="00C04EA2" w:rsidRDefault="00C82735" w:rsidP="005A30C7">
      <w:pPr>
        <w:spacing w:line="360" w:lineRule="auto"/>
        <w:jc w:val="both"/>
        <w:rPr>
          <w:rFonts w:ascii="Times New Roman" w:hAnsi="Times New Roman" w:cs="Times New Roman"/>
          <w:sz w:val="24"/>
          <w:szCs w:val="24"/>
        </w:rPr>
      </w:pPr>
    </w:p>
    <w:p w14:paraId="4F9C659E" w14:textId="2DAA9DA3" w:rsidR="00FB5129" w:rsidRPr="00C04EA2" w:rsidRDefault="00FB5129" w:rsidP="005A30C7">
      <w:pPr>
        <w:spacing w:line="360" w:lineRule="auto"/>
        <w:jc w:val="both"/>
        <w:rPr>
          <w:rFonts w:ascii="Times New Roman" w:hAnsi="Times New Roman" w:cs="Times New Roman"/>
          <w:sz w:val="24"/>
          <w:szCs w:val="24"/>
        </w:rPr>
      </w:pPr>
      <w:r w:rsidRPr="00C04EA2">
        <w:rPr>
          <w:rFonts w:ascii="Times New Roman" w:hAnsi="Times New Roman" w:cs="Times New Roman"/>
          <w:sz w:val="24"/>
          <w:szCs w:val="24"/>
        </w:rPr>
        <w:t>It will therefore be preferable to conduct this analysis once Bangladesh's Islamic banks have increased</w:t>
      </w:r>
      <w:r w:rsidR="006755BC" w:rsidRPr="00C04EA2">
        <w:rPr>
          <w:rFonts w:ascii="Times New Roman" w:hAnsi="Times New Roman" w:cs="Times New Roman"/>
          <w:sz w:val="24"/>
          <w:szCs w:val="24"/>
        </w:rPr>
        <w:t xml:space="preserve"> </w:t>
      </w:r>
      <w:r w:rsidRPr="00C04EA2">
        <w:rPr>
          <w:rFonts w:ascii="Times New Roman" w:hAnsi="Times New Roman" w:cs="Times New Roman"/>
          <w:sz w:val="24"/>
          <w:szCs w:val="24"/>
        </w:rPr>
        <w:t xml:space="preserve">in size. </w:t>
      </w:r>
      <w:r w:rsidR="00C82735">
        <w:rPr>
          <w:rFonts w:ascii="Times New Roman" w:hAnsi="Times New Roman" w:cs="Times New Roman"/>
          <w:sz w:val="24"/>
          <w:szCs w:val="24"/>
        </w:rPr>
        <w:t>Even though</w:t>
      </w:r>
      <w:r w:rsidRPr="00C04EA2">
        <w:rPr>
          <w:rFonts w:ascii="Times New Roman" w:hAnsi="Times New Roman" w:cs="Times New Roman"/>
          <w:sz w:val="24"/>
          <w:szCs w:val="24"/>
        </w:rPr>
        <w:t xml:space="preserve"> many studies have examined the connection between Islamic banks and economic </w:t>
      </w:r>
      <w:r w:rsidR="006755BC" w:rsidRPr="00C04EA2">
        <w:rPr>
          <w:rFonts w:ascii="Times New Roman" w:hAnsi="Times New Roman" w:cs="Times New Roman"/>
          <w:sz w:val="24"/>
          <w:szCs w:val="24"/>
        </w:rPr>
        <w:t>growth</w:t>
      </w:r>
      <w:r w:rsidRPr="00C04EA2">
        <w:rPr>
          <w:rFonts w:ascii="Times New Roman" w:hAnsi="Times New Roman" w:cs="Times New Roman"/>
          <w:sz w:val="24"/>
          <w:szCs w:val="24"/>
        </w:rPr>
        <w:t xml:space="preserve">, </w:t>
      </w:r>
      <w:r w:rsidR="00C82735">
        <w:rPr>
          <w:rFonts w:ascii="Times New Roman" w:hAnsi="Times New Roman" w:cs="Times New Roman"/>
          <w:sz w:val="24"/>
          <w:szCs w:val="24"/>
        </w:rPr>
        <w:t>none specifically examine</w:t>
      </w:r>
      <w:r w:rsidRPr="00C04EA2">
        <w:rPr>
          <w:rFonts w:ascii="Times New Roman" w:hAnsi="Times New Roman" w:cs="Times New Roman"/>
          <w:sz w:val="24"/>
          <w:szCs w:val="24"/>
        </w:rPr>
        <w:t xml:space="preserve"> the impact of Islamic banks' performance on economic growth. By taking this factor into account during the analysis, this study contributes significantly to the literature. However, a new study that concentrates on large banks with a longer time horizon will be more helpful.</w:t>
      </w:r>
    </w:p>
    <w:p w14:paraId="37064ABB" w14:textId="076DAB26" w:rsidR="00FB5129" w:rsidRPr="00C04EA2" w:rsidRDefault="00FB5129" w:rsidP="005A30C7">
      <w:pPr>
        <w:spacing w:line="360" w:lineRule="auto"/>
        <w:rPr>
          <w:rFonts w:ascii="Times New Roman" w:hAnsi="Times New Roman" w:cs="Times New Roman"/>
          <w:sz w:val="24"/>
          <w:szCs w:val="24"/>
        </w:rPr>
      </w:pPr>
    </w:p>
    <w:p w14:paraId="21873569" w14:textId="51536F1B" w:rsidR="008810B3" w:rsidRPr="00C04EA2" w:rsidRDefault="00C82735" w:rsidP="005A30C7">
      <w:pPr>
        <w:spacing w:line="360" w:lineRule="auto"/>
        <w:jc w:val="both"/>
        <w:rPr>
          <w:rFonts w:ascii="Times New Roman" w:hAnsi="Times New Roman" w:cs="Times New Roman"/>
          <w:b/>
          <w:sz w:val="24"/>
          <w:szCs w:val="24"/>
        </w:rPr>
      </w:pPr>
      <w:r w:rsidRPr="00C04EA2">
        <w:rPr>
          <w:rFonts w:ascii="Times New Roman" w:hAnsi="Times New Roman" w:cs="Times New Roman"/>
          <w:b/>
          <w:sz w:val="24"/>
          <w:szCs w:val="24"/>
        </w:rPr>
        <w:t>References</w:t>
      </w:r>
    </w:p>
    <w:p w14:paraId="3BFBED92"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M., &amp; Azmi Omar, M. (2012). Islamic banking and economic growth: The Indonesian experience. </w:t>
      </w:r>
      <w:r w:rsidRPr="000B7941">
        <w:rPr>
          <w:rFonts w:ascii="Times New Roman" w:hAnsi="Times New Roman" w:cs="Times New Roman"/>
          <w:i/>
          <w:iCs/>
          <w:sz w:val="24"/>
          <w:szCs w:val="24"/>
        </w:rPr>
        <w:t>International Journal of Islamic and Middle Eastern Finance and Management</w:t>
      </w:r>
      <w:r w:rsidRPr="000B7941">
        <w:rPr>
          <w:rFonts w:ascii="Times New Roman" w:hAnsi="Times New Roman" w:cs="Times New Roman"/>
          <w:i/>
          <w:sz w:val="24"/>
          <w:szCs w:val="24"/>
        </w:rPr>
        <w:t xml:space="preserve">, </w:t>
      </w:r>
      <w:r w:rsidRPr="000B7941">
        <w:rPr>
          <w:rFonts w:ascii="Times New Roman" w:hAnsi="Times New Roman" w:cs="Times New Roman"/>
          <w:i/>
          <w:iCs/>
          <w:sz w:val="24"/>
          <w:szCs w:val="24"/>
        </w:rPr>
        <w:t>5</w:t>
      </w:r>
      <w:r w:rsidRPr="00C04EA2">
        <w:rPr>
          <w:rFonts w:ascii="Times New Roman" w:hAnsi="Times New Roman" w:cs="Times New Roman"/>
          <w:sz w:val="24"/>
          <w:szCs w:val="24"/>
        </w:rPr>
        <w:t xml:space="preserve">(1), 35–47. </w:t>
      </w:r>
      <w:hyperlink r:id="rId14" w:history="1">
        <w:r w:rsidRPr="00C04EA2">
          <w:rPr>
            <w:rStyle w:val="Hyperlink"/>
            <w:rFonts w:ascii="Times New Roman" w:hAnsi="Times New Roman" w:cs="Times New Roman"/>
            <w:color w:val="auto"/>
            <w:sz w:val="24"/>
            <w:szCs w:val="24"/>
          </w:rPr>
          <w:t>https://doi.org/10.1108/17538391211216811</w:t>
        </w:r>
      </w:hyperlink>
    </w:p>
    <w:p w14:paraId="4AD5D18E" w14:textId="355DED9B"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Abduh</w:t>
      </w:r>
      <w:proofErr w:type="spellEnd"/>
      <w:r w:rsidRPr="00C04EA2">
        <w:rPr>
          <w:rFonts w:ascii="Times New Roman" w:hAnsi="Times New Roman" w:cs="Times New Roman"/>
          <w:sz w:val="24"/>
          <w:szCs w:val="24"/>
        </w:rPr>
        <w:t xml:space="preserve">, M., &amp; Chowdhury, N. T. (2012). </w:t>
      </w:r>
      <w:r w:rsidRPr="00C04EA2">
        <w:rPr>
          <w:rFonts w:ascii="Times New Roman" w:hAnsi="Times New Roman" w:cs="Times New Roman"/>
          <w:iCs/>
          <w:sz w:val="24"/>
          <w:szCs w:val="24"/>
        </w:rPr>
        <w:t>Does Islamic Banking Matter for Economic Growth in Bangladesh?</w:t>
      </w:r>
      <w:r w:rsidRPr="00C04EA2">
        <w:rPr>
          <w:rFonts w:ascii="Times New Roman" w:hAnsi="Times New Roman" w:cs="Times New Roman"/>
          <w:sz w:val="24"/>
          <w:szCs w:val="24"/>
        </w:rPr>
        <w:t xml:space="preserve"> </w:t>
      </w:r>
    </w:p>
    <w:p w14:paraId="07D5146C" w14:textId="77777777" w:rsidR="000B7941" w:rsidRPr="00C04EA2" w:rsidRDefault="000B7941" w:rsidP="005A30C7">
      <w:pPr>
        <w:spacing w:line="360" w:lineRule="auto"/>
        <w:ind w:left="720" w:hanging="720"/>
        <w:jc w:val="both"/>
        <w:rPr>
          <w:rFonts w:ascii="Times New Roman" w:hAnsi="Times New Roman" w:cs="Times New Roman"/>
          <w:color w:val="FF0000"/>
          <w:sz w:val="24"/>
          <w:szCs w:val="24"/>
        </w:rPr>
      </w:pPr>
      <w:proofErr w:type="spellStart"/>
      <w:r w:rsidRPr="00C04EA2">
        <w:rPr>
          <w:rFonts w:ascii="Times New Roman" w:hAnsi="Times New Roman" w:cs="Times New Roman"/>
          <w:sz w:val="24"/>
          <w:szCs w:val="24"/>
        </w:rPr>
        <w:t>Abedifar</w:t>
      </w:r>
      <w:proofErr w:type="spellEnd"/>
      <w:r w:rsidRPr="00C04EA2">
        <w:rPr>
          <w:rFonts w:ascii="Times New Roman" w:hAnsi="Times New Roman" w:cs="Times New Roman"/>
          <w:sz w:val="24"/>
          <w:szCs w:val="24"/>
        </w:rPr>
        <w:t xml:space="preserve">, P., Hasan, I., &amp; </w:t>
      </w:r>
      <w:proofErr w:type="spellStart"/>
      <w:r w:rsidRPr="00C04EA2">
        <w:rPr>
          <w:rFonts w:ascii="Times New Roman" w:hAnsi="Times New Roman" w:cs="Times New Roman"/>
          <w:sz w:val="24"/>
          <w:szCs w:val="24"/>
        </w:rPr>
        <w:t>Tarazi</w:t>
      </w:r>
      <w:proofErr w:type="spellEnd"/>
      <w:r w:rsidRPr="00C04EA2">
        <w:rPr>
          <w:rFonts w:ascii="Times New Roman" w:hAnsi="Times New Roman" w:cs="Times New Roman"/>
          <w:sz w:val="24"/>
          <w:szCs w:val="24"/>
        </w:rPr>
        <w:t xml:space="preserve">, A. (2016). Finance-growth nexus and dual-banking systems: Relative importance of Islamic banks. </w:t>
      </w:r>
      <w:r w:rsidRPr="000B7941">
        <w:rPr>
          <w:rFonts w:ascii="Times New Roman" w:hAnsi="Times New Roman" w:cs="Times New Roman"/>
          <w:i/>
          <w:iCs/>
          <w:sz w:val="24"/>
          <w:szCs w:val="24"/>
        </w:rPr>
        <w:t>Journal of Economic Behavior &amp; Organization</w:t>
      </w:r>
      <w:r w:rsidRPr="000B7941">
        <w:rPr>
          <w:rFonts w:ascii="Times New Roman" w:hAnsi="Times New Roman" w:cs="Times New Roman"/>
          <w:i/>
          <w:sz w:val="24"/>
          <w:szCs w:val="24"/>
        </w:rPr>
        <w:t xml:space="preserve">, </w:t>
      </w:r>
      <w:r w:rsidRPr="000B7941">
        <w:rPr>
          <w:rFonts w:ascii="Times New Roman" w:hAnsi="Times New Roman" w:cs="Times New Roman"/>
          <w:i/>
          <w:iCs/>
          <w:sz w:val="24"/>
          <w:szCs w:val="24"/>
        </w:rPr>
        <w:t>132</w:t>
      </w:r>
      <w:r w:rsidRPr="00C04EA2">
        <w:rPr>
          <w:rFonts w:ascii="Times New Roman" w:hAnsi="Times New Roman" w:cs="Times New Roman"/>
          <w:sz w:val="24"/>
          <w:szCs w:val="24"/>
        </w:rPr>
        <w:t xml:space="preserve">, 198–215. </w:t>
      </w:r>
      <w:hyperlink r:id="rId15" w:history="1">
        <w:r w:rsidRPr="00C04EA2">
          <w:rPr>
            <w:rStyle w:val="Hyperlink"/>
            <w:rFonts w:ascii="Times New Roman" w:hAnsi="Times New Roman" w:cs="Times New Roman"/>
            <w:color w:val="auto"/>
            <w:sz w:val="24"/>
            <w:szCs w:val="24"/>
          </w:rPr>
          <w:t>https://doi.org/10.1016/j.jebo.2016.03.005</w:t>
        </w:r>
      </w:hyperlink>
    </w:p>
    <w:p w14:paraId="147D32ED"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Afandi</w:t>
      </w:r>
      <w:proofErr w:type="spellEnd"/>
      <w:r w:rsidRPr="00C04EA2">
        <w:rPr>
          <w:rFonts w:ascii="Times New Roman" w:hAnsi="Times New Roman" w:cs="Times New Roman"/>
          <w:sz w:val="24"/>
          <w:szCs w:val="24"/>
          <w:shd w:val="clear" w:color="auto" w:fill="FFFFFF"/>
        </w:rPr>
        <w:t>, M. A., &amp; Amin, M. (2019). Islamic bank financing and its effects on economic growth: A cross province analysis. </w:t>
      </w:r>
      <w:proofErr w:type="spellStart"/>
      <w:r w:rsidRPr="000B7941">
        <w:rPr>
          <w:rFonts w:ascii="Times New Roman" w:hAnsi="Times New Roman" w:cs="Times New Roman"/>
          <w:i/>
          <w:iCs/>
          <w:sz w:val="24"/>
          <w:szCs w:val="24"/>
          <w:shd w:val="clear" w:color="auto" w:fill="FFFFFF"/>
        </w:rPr>
        <w:t>Signifikan</w:t>
      </w:r>
      <w:proofErr w:type="spellEnd"/>
      <w:r w:rsidRPr="000B7941">
        <w:rPr>
          <w:rFonts w:ascii="Times New Roman" w:hAnsi="Times New Roman" w:cs="Times New Roman"/>
          <w:i/>
          <w:iCs/>
          <w:sz w:val="24"/>
          <w:szCs w:val="24"/>
          <w:shd w:val="clear" w:color="auto" w:fill="FFFFFF"/>
        </w:rPr>
        <w:t xml:space="preserve">: </w:t>
      </w:r>
      <w:proofErr w:type="spellStart"/>
      <w:r w:rsidRPr="000B7941">
        <w:rPr>
          <w:rFonts w:ascii="Times New Roman" w:hAnsi="Times New Roman" w:cs="Times New Roman"/>
          <w:i/>
          <w:iCs/>
          <w:sz w:val="24"/>
          <w:szCs w:val="24"/>
          <w:shd w:val="clear" w:color="auto" w:fill="FFFFFF"/>
        </w:rPr>
        <w:t>Jurnal</w:t>
      </w:r>
      <w:proofErr w:type="spellEnd"/>
      <w:r w:rsidRPr="000B7941">
        <w:rPr>
          <w:rFonts w:ascii="Times New Roman" w:hAnsi="Times New Roman" w:cs="Times New Roman"/>
          <w:i/>
          <w:iCs/>
          <w:sz w:val="24"/>
          <w:szCs w:val="24"/>
          <w:shd w:val="clear" w:color="auto" w:fill="FFFFFF"/>
        </w:rPr>
        <w:t xml:space="preserve"> </w:t>
      </w:r>
      <w:proofErr w:type="spellStart"/>
      <w:r w:rsidRPr="000B7941">
        <w:rPr>
          <w:rFonts w:ascii="Times New Roman" w:hAnsi="Times New Roman" w:cs="Times New Roman"/>
          <w:i/>
          <w:iCs/>
          <w:sz w:val="24"/>
          <w:szCs w:val="24"/>
          <w:shd w:val="clear" w:color="auto" w:fill="FFFFFF"/>
        </w:rPr>
        <w:t>Ilmu</w:t>
      </w:r>
      <w:proofErr w:type="spellEnd"/>
      <w:r w:rsidRPr="000B7941">
        <w:rPr>
          <w:rFonts w:ascii="Times New Roman" w:hAnsi="Times New Roman" w:cs="Times New Roman"/>
          <w:i/>
          <w:iCs/>
          <w:sz w:val="24"/>
          <w:szCs w:val="24"/>
          <w:shd w:val="clear" w:color="auto" w:fill="FFFFFF"/>
        </w:rPr>
        <w:t xml:space="preserve"> </w:t>
      </w:r>
      <w:proofErr w:type="spellStart"/>
      <w:r w:rsidRPr="000B7941">
        <w:rPr>
          <w:rFonts w:ascii="Times New Roman" w:hAnsi="Times New Roman" w:cs="Times New Roman"/>
          <w:i/>
          <w:iCs/>
          <w:sz w:val="24"/>
          <w:szCs w:val="24"/>
          <w:shd w:val="clear" w:color="auto" w:fill="FFFFFF"/>
        </w:rPr>
        <w:t>Ekonomi</w:t>
      </w:r>
      <w:proofErr w:type="spellEnd"/>
      <w:r w:rsidRPr="000B7941">
        <w:rPr>
          <w:rFonts w:ascii="Times New Roman" w:hAnsi="Times New Roman" w:cs="Times New Roman"/>
          <w:i/>
          <w:sz w:val="24"/>
          <w:szCs w:val="24"/>
          <w:shd w:val="clear" w:color="auto" w:fill="FFFFFF"/>
        </w:rPr>
        <w:t>, </w:t>
      </w:r>
      <w:r w:rsidRPr="000B7941">
        <w:rPr>
          <w:rFonts w:ascii="Times New Roman" w:hAnsi="Times New Roman" w:cs="Times New Roman"/>
          <w:i/>
          <w:iCs/>
          <w:sz w:val="24"/>
          <w:szCs w:val="24"/>
          <w:shd w:val="clear" w:color="auto" w:fill="FFFFFF"/>
        </w:rPr>
        <w:t>8</w:t>
      </w:r>
      <w:r w:rsidRPr="00C04EA2">
        <w:rPr>
          <w:rFonts w:ascii="Times New Roman" w:hAnsi="Times New Roman" w:cs="Times New Roman"/>
          <w:sz w:val="24"/>
          <w:szCs w:val="24"/>
          <w:shd w:val="clear" w:color="auto" w:fill="FFFFFF"/>
        </w:rPr>
        <w:t>(2), 243-250.</w:t>
      </w:r>
    </w:p>
    <w:p w14:paraId="221770B6" w14:textId="43F9716D" w:rsidR="000B7941" w:rsidRPr="00C04EA2"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rPr>
        <w:t>Ahmed, A. (2010). Global Financial Crisis: An Islamic Finance Perspective</w:t>
      </w:r>
      <w:r>
        <w:rPr>
          <w:rFonts w:ascii="Times New Roman" w:hAnsi="Times New Roman" w:cs="Times New Roman"/>
          <w:sz w:val="24"/>
          <w:szCs w:val="24"/>
        </w:rPr>
        <w:t>.</w:t>
      </w:r>
      <w:r w:rsidRPr="00C04EA2">
        <w:rPr>
          <w:rFonts w:ascii="Times New Roman" w:hAnsi="Times New Roman" w:cs="Times New Roman"/>
          <w:sz w:val="24"/>
          <w:szCs w:val="24"/>
        </w:rPr>
        <w:t xml:space="preserve"> </w:t>
      </w:r>
      <w:r w:rsidRPr="000B7941">
        <w:rPr>
          <w:rFonts w:ascii="Times New Roman" w:hAnsi="Times New Roman" w:cs="Times New Roman"/>
          <w:i/>
          <w:sz w:val="24"/>
          <w:szCs w:val="24"/>
        </w:rPr>
        <w:t>International Journal of Islamic and Middle Eastern Finance and Management, 3</w:t>
      </w:r>
      <w:r w:rsidRPr="00C04EA2">
        <w:rPr>
          <w:rFonts w:ascii="Times New Roman" w:hAnsi="Times New Roman" w:cs="Times New Roman"/>
          <w:sz w:val="24"/>
          <w:szCs w:val="24"/>
        </w:rPr>
        <w:t>(4), pp. 306-320.</w:t>
      </w:r>
    </w:p>
    <w:p w14:paraId="784BBBF2"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lastRenderedPageBreak/>
        <w:t>Atici</w:t>
      </w:r>
      <w:proofErr w:type="spellEnd"/>
      <w:r w:rsidRPr="00C04EA2">
        <w:rPr>
          <w:rFonts w:ascii="Times New Roman" w:hAnsi="Times New Roman" w:cs="Times New Roman"/>
          <w:sz w:val="24"/>
          <w:szCs w:val="24"/>
        </w:rPr>
        <w:t xml:space="preserve">, G. (2018). Islamic (Participation) Banking and Economic Growth: Empirical Focus on Turkey. </w:t>
      </w:r>
      <w:r w:rsidRPr="000B7941">
        <w:rPr>
          <w:rFonts w:ascii="Times New Roman" w:hAnsi="Times New Roman" w:cs="Times New Roman"/>
          <w:i/>
          <w:iCs/>
          <w:sz w:val="24"/>
          <w:szCs w:val="24"/>
        </w:rPr>
        <w:t>Asian Economic and Financial Review</w:t>
      </w:r>
      <w:r w:rsidRPr="000B7941">
        <w:rPr>
          <w:rFonts w:ascii="Times New Roman" w:hAnsi="Times New Roman" w:cs="Times New Roman"/>
          <w:i/>
          <w:sz w:val="24"/>
          <w:szCs w:val="24"/>
        </w:rPr>
        <w:t xml:space="preserve">, </w:t>
      </w:r>
      <w:r w:rsidRPr="000B7941">
        <w:rPr>
          <w:rFonts w:ascii="Times New Roman" w:hAnsi="Times New Roman" w:cs="Times New Roman"/>
          <w:i/>
          <w:iCs/>
          <w:sz w:val="24"/>
          <w:szCs w:val="24"/>
        </w:rPr>
        <w:t>8</w:t>
      </w:r>
      <w:r w:rsidRPr="00C04EA2">
        <w:rPr>
          <w:rFonts w:ascii="Times New Roman" w:hAnsi="Times New Roman" w:cs="Times New Roman"/>
          <w:sz w:val="24"/>
          <w:szCs w:val="24"/>
        </w:rPr>
        <w:t xml:space="preserve">(11), 1354–1364. </w:t>
      </w:r>
      <w:hyperlink r:id="rId16" w:history="1">
        <w:r w:rsidRPr="00C04EA2">
          <w:rPr>
            <w:rStyle w:val="Hyperlink"/>
            <w:rFonts w:ascii="Times New Roman" w:hAnsi="Times New Roman" w:cs="Times New Roman"/>
            <w:color w:val="auto"/>
            <w:sz w:val="24"/>
            <w:szCs w:val="24"/>
          </w:rPr>
          <w:t>https://doi.org/10.18488/journal.aefr.2018.811.1354.1364</w:t>
        </w:r>
      </w:hyperlink>
    </w:p>
    <w:p w14:paraId="0C763E36"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Bendriouch</w:t>
      </w:r>
      <w:proofErr w:type="spellEnd"/>
      <w:r w:rsidRPr="00C04EA2">
        <w:rPr>
          <w:rFonts w:ascii="Times New Roman" w:hAnsi="Times New Roman" w:cs="Times New Roman"/>
          <w:sz w:val="24"/>
          <w:szCs w:val="24"/>
        </w:rPr>
        <w:t xml:space="preserve">, F. Z., </w:t>
      </w:r>
      <w:proofErr w:type="spellStart"/>
      <w:r w:rsidRPr="00C04EA2">
        <w:rPr>
          <w:rFonts w:ascii="Times New Roman" w:hAnsi="Times New Roman" w:cs="Times New Roman"/>
          <w:sz w:val="24"/>
          <w:szCs w:val="24"/>
        </w:rPr>
        <w:t>Satt</w:t>
      </w:r>
      <w:proofErr w:type="spellEnd"/>
      <w:r w:rsidRPr="00C04EA2">
        <w:rPr>
          <w:rFonts w:ascii="Times New Roman" w:hAnsi="Times New Roman" w:cs="Times New Roman"/>
          <w:sz w:val="24"/>
          <w:szCs w:val="24"/>
        </w:rPr>
        <w:t xml:space="preserve">, H., &amp; </w:t>
      </w:r>
      <w:proofErr w:type="spellStart"/>
      <w:r w:rsidRPr="00C04EA2">
        <w:rPr>
          <w:rFonts w:ascii="Times New Roman" w:hAnsi="Times New Roman" w:cs="Times New Roman"/>
          <w:sz w:val="24"/>
          <w:szCs w:val="24"/>
        </w:rPr>
        <w:t>M’hamdi</w:t>
      </w:r>
      <w:proofErr w:type="spellEnd"/>
      <w:r w:rsidRPr="00C04EA2">
        <w:rPr>
          <w:rFonts w:ascii="Times New Roman" w:hAnsi="Times New Roman" w:cs="Times New Roman"/>
          <w:sz w:val="24"/>
          <w:szCs w:val="24"/>
        </w:rPr>
        <w:t xml:space="preserve">, M. (2020). </w:t>
      </w:r>
      <w:r w:rsidRPr="00C04EA2">
        <w:rPr>
          <w:rFonts w:ascii="Times New Roman" w:hAnsi="Times New Roman" w:cs="Times New Roman"/>
          <w:iCs/>
          <w:sz w:val="24"/>
          <w:szCs w:val="24"/>
        </w:rPr>
        <w:t>Do Islamic Banks Contribute to Economic Growth? Evidence from the GCC Countries</w:t>
      </w:r>
      <w:r w:rsidRPr="00C04EA2">
        <w:rPr>
          <w:rFonts w:ascii="Times New Roman" w:hAnsi="Times New Roman" w:cs="Times New Roman"/>
          <w:sz w:val="24"/>
          <w:szCs w:val="24"/>
        </w:rPr>
        <w:t xml:space="preserve">. </w:t>
      </w:r>
      <w:r w:rsidRPr="005A30C7">
        <w:rPr>
          <w:rFonts w:ascii="Times New Roman" w:hAnsi="Times New Roman" w:cs="Times New Roman"/>
          <w:i/>
          <w:iCs/>
          <w:sz w:val="24"/>
          <w:szCs w:val="24"/>
        </w:rPr>
        <w:t>10</w:t>
      </w:r>
      <w:r w:rsidRPr="00C04EA2">
        <w:rPr>
          <w:rFonts w:ascii="Times New Roman" w:hAnsi="Times New Roman" w:cs="Times New Roman"/>
          <w:sz w:val="24"/>
          <w:szCs w:val="24"/>
        </w:rPr>
        <w:t>(5), 9.</w:t>
      </w:r>
    </w:p>
    <w:p w14:paraId="2F3D4482"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Boukhatem</w:t>
      </w:r>
      <w:proofErr w:type="spellEnd"/>
      <w:r w:rsidRPr="00C04EA2">
        <w:rPr>
          <w:rFonts w:ascii="Times New Roman" w:hAnsi="Times New Roman" w:cs="Times New Roman"/>
          <w:sz w:val="24"/>
          <w:szCs w:val="24"/>
        </w:rPr>
        <w:t>, J., &amp; Ben Moussa, F. (2018). The effect of Islamic banks on GDP growth: Some evidence from selected MENA countries</w:t>
      </w:r>
      <w:r w:rsidRPr="005A30C7">
        <w:rPr>
          <w:rFonts w:ascii="Times New Roman" w:hAnsi="Times New Roman" w:cs="Times New Roman"/>
          <w:i/>
          <w:sz w:val="24"/>
          <w:szCs w:val="24"/>
        </w:rPr>
        <w:t xml:space="preserve">. </w:t>
      </w:r>
      <w:proofErr w:type="spellStart"/>
      <w:r w:rsidRPr="005A30C7">
        <w:rPr>
          <w:rFonts w:ascii="Times New Roman" w:hAnsi="Times New Roman" w:cs="Times New Roman"/>
          <w:i/>
          <w:iCs/>
          <w:sz w:val="24"/>
          <w:szCs w:val="24"/>
        </w:rPr>
        <w:t>Borsa</w:t>
      </w:r>
      <w:proofErr w:type="spellEnd"/>
      <w:r w:rsidRPr="005A30C7">
        <w:rPr>
          <w:rFonts w:ascii="Times New Roman" w:hAnsi="Times New Roman" w:cs="Times New Roman"/>
          <w:i/>
          <w:iCs/>
          <w:sz w:val="24"/>
          <w:szCs w:val="24"/>
        </w:rPr>
        <w:t xml:space="preserve"> Istanbul Review</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18</w:t>
      </w:r>
      <w:r w:rsidRPr="00C04EA2">
        <w:rPr>
          <w:rFonts w:ascii="Times New Roman" w:hAnsi="Times New Roman" w:cs="Times New Roman"/>
          <w:sz w:val="24"/>
          <w:szCs w:val="24"/>
        </w:rPr>
        <w:t xml:space="preserve">(3), 231–247. </w:t>
      </w:r>
      <w:hyperlink r:id="rId17" w:history="1">
        <w:r w:rsidRPr="00C04EA2">
          <w:rPr>
            <w:rStyle w:val="Hyperlink"/>
            <w:rFonts w:ascii="Times New Roman" w:hAnsi="Times New Roman" w:cs="Times New Roman"/>
            <w:color w:val="auto"/>
            <w:sz w:val="24"/>
            <w:szCs w:val="24"/>
          </w:rPr>
          <w:t>https://doi.org/10.1016/j.bir.2017.11.004</w:t>
        </w:r>
      </w:hyperlink>
    </w:p>
    <w:p w14:paraId="5C79ED1E" w14:textId="77777777" w:rsidR="000B7941" w:rsidRPr="00C04EA2" w:rsidRDefault="000B7941" w:rsidP="005A30C7">
      <w:pPr>
        <w:spacing w:line="360" w:lineRule="auto"/>
        <w:ind w:left="720" w:hanging="720"/>
        <w:jc w:val="both"/>
        <w:rPr>
          <w:rFonts w:ascii="Times New Roman" w:hAnsi="Times New Roman" w:cs="Times New Roman"/>
          <w:color w:val="222222"/>
          <w:sz w:val="24"/>
          <w:szCs w:val="24"/>
          <w:shd w:val="clear" w:color="auto" w:fill="FFFFFF"/>
        </w:rPr>
      </w:pPr>
      <w:r w:rsidRPr="00C04EA2">
        <w:rPr>
          <w:rFonts w:ascii="Times New Roman" w:hAnsi="Times New Roman" w:cs="Times New Roman"/>
          <w:color w:val="222222"/>
          <w:sz w:val="24"/>
          <w:szCs w:val="24"/>
          <w:shd w:val="clear" w:color="auto" w:fill="FFFFFF"/>
        </w:rPr>
        <w:t>Bourke, P. (1989). Concentration and other determinants of bank profitability in Europe, North America and Australia. </w:t>
      </w:r>
      <w:r w:rsidRPr="005A30C7">
        <w:rPr>
          <w:rFonts w:ascii="Times New Roman" w:hAnsi="Times New Roman" w:cs="Times New Roman"/>
          <w:i/>
          <w:iCs/>
          <w:color w:val="222222"/>
          <w:sz w:val="24"/>
          <w:szCs w:val="24"/>
          <w:shd w:val="clear" w:color="auto" w:fill="FFFFFF"/>
        </w:rPr>
        <w:t>Journal of Banking &amp; Finance</w:t>
      </w:r>
      <w:r w:rsidRPr="005A30C7">
        <w:rPr>
          <w:rFonts w:ascii="Times New Roman" w:hAnsi="Times New Roman" w:cs="Times New Roman"/>
          <w:i/>
          <w:color w:val="222222"/>
          <w:sz w:val="24"/>
          <w:szCs w:val="24"/>
          <w:shd w:val="clear" w:color="auto" w:fill="FFFFFF"/>
        </w:rPr>
        <w:t>, </w:t>
      </w:r>
      <w:r w:rsidRPr="005A30C7">
        <w:rPr>
          <w:rFonts w:ascii="Times New Roman" w:hAnsi="Times New Roman" w:cs="Times New Roman"/>
          <w:i/>
          <w:iCs/>
          <w:color w:val="222222"/>
          <w:sz w:val="24"/>
          <w:szCs w:val="24"/>
          <w:shd w:val="clear" w:color="auto" w:fill="FFFFFF"/>
        </w:rPr>
        <w:t>13</w:t>
      </w:r>
      <w:r w:rsidRPr="00C04EA2">
        <w:rPr>
          <w:rFonts w:ascii="Times New Roman" w:hAnsi="Times New Roman" w:cs="Times New Roman"/>
          <w:color w:val="222222"/>
          <w:sz w:val="24"/>
          <w:szCs w:val="24"/>
          <w:shd w:val="clear" w:color="auto" w:fill="FFFFFF"/>
        </w:rPr>
        <w:t>(1), 65-79.</w:t>
      </w:r>
    </w:p>
    <w:p w14:paraId="4C8A7316"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Furqani</w:t>
      </w:r>
      <w:proofErr w:type="spellEnd"/>
      <w:r w:rsidRPr="00C04EA2">
        <w:rPr>
          <w:rFonts w:ascii="Times New Roman" w:hAnsi="Times New Roman" w:cs="Times New Roman"/>
          <w:sz w:val="24"/>
          <w:szCs w:val="24"/>
        </w:rPr>
        <w:t xml:space="preserve">, H., &amp; </w:t>
      </w:r>
      <w:proofErr w:type="spellStart"/>
      <w:r w:rsidRPr="00C04EA2">
        <w:rPr>
          <w:rFonts w:ascii="Times New Roman" w:hAnsi="Times New Roman" w:cs="Times New Roman"/>
          <w:sz w:val="24"/>
          <w:szCs w:val="24"/>
        </w:rPr>
        <w:t>Mulyany</w:t>
      </w:r>
      <w:proofErr w:type="spellEnd"/>
      <w:r w:rsidRPr="00C04EA2">
        <w:rPr>
          <w:rFonts w:ascii="Times New Roman" w:hAnsi="Times New Roman" w:cs="Times New Roman"/>
          <w:sz w:val="24"/>
          <w:szCs w:val="24"/>
        </w:rPr>
        <w:t xml:space="preserve">, R. (2009). Islamic banking and economic growth: Empirical evidence from Malaysia. </w:t>
      </w:r>
      <w:r w:rsidRPr="005A30C7">
        <w:rPr>
          <w:rFonts w:ascii="Times New Roman" w:hAnsi="Times New Roman" w:cs="Times New Roman"/>
          <w:i/>
          <w:sz w:val="24"/>
          <w:szCs w:val="24"/>
        </w:rPr>
        <w:t>Journal of Economic Cooperation and Development, 30</w:t>
      </w:r>
      <w:r w:rsidRPr="00C04EA2">
        <w:rPr>
          <w:rFonts w:ascii="Times New Roman" w:hAnsi="Times New Roman" w:cs="Times New Roman"/>
          <w:sz w:val="24"/>
          <w:szCs w:val="24"/>
        </w:rPr>
        <w:t>(2): 59-74.</w:t>
      </w:r>
    </w:p>
    <w:p w14:paraId="766DEF00"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Gheeraert</w:t>
      </w:r>
      <w:proofErr w:type="spellEnd"/>
      <w:r w:rsidRPr="00C04EA2">
        <w:rPr>
          <w:rFonts w:ascii="Times New Roman" w:hAnsi="Times New Roman" w:cs="Times New Roman"/>
          <w:sz w:val="24"/>
          <w:szCs w:val="24"/>
        </w:rPr>
        <w:t xml:space="preserve">, L., &amp; Weill, L. (2015). Does Islamic banking development favor macroeconomic efficiency? Evidence on the Islamic finance-growth nexus. </w:t>
      </w:r>
      <w:r w:rsidRPr="005A30C7">
        <w:rPr>
          <w:rFonts w:ascii="Times New Roman" w:hAnsi="Times New Roman" w:cs="Times New Roman"/>
          <w:i/>
          <w:iCs/>
          <w:sz w:val="24"/>
          <w:szCs w:val="24"/>
        </w:rPr>
        <w:t>Economic Modelling</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47</w:t>
      </w:r>
      <w:r w:rsidRPr="00C04EA2">
        <w:rPr>
          <w:rFonts w:ascii="Times New Roman" w:hAnsi="Times New Roman" w:cs="Times New Roman"/>
          <w:sz w:val="24"/>
          <w:szCs w:val="24"/>
        </w:rPr>
        <w:t xml:space="preserve">, 32–39. </w:t>
      </w:r>
      <w:hyperlink r:id="rId18" w:history="1">
        <w:r w:rsidRPr="00C04EA2">
          <w:rPr>
            <w:rStyle w:val="Hyperlink"/>
            <w:rFonts w:ascii="Times New Roman" w:hAnsi="Times New Roman" w:cs="Times New Roman"/>
            <w:color w:val="auto"/>
            <w:sz w:val="24"/>
            <w:szCs w:val="24"/>
          </w:rPr>
          <w:t>https://doi.org/10.1016/j.econmod.2015.02.012</w:t>
        </w:r>
      </w:hyperlink>
    </w:p>
    <w:p w14:paraId="7276D54C" w14:textId="77777777" w:rsidR="000B7941" w:rsidRPr="00C04EA2" w:rsidRDefault="000B7941" w:rsidP="005A30C7">
      <w:pPr>
        <w:spacing w:line="360" w:lineRule="auto"/>
        <w:ind w:left="720" w:hanging="720"/>
        <w:jc w:val="both"/>
        <w:rPr>
          <w:rStyle w:val="Hyperlink"/>
          <w:rFonts w:ascii="Times New Roman" w:hAnsi="Times New Roman" w:cs="Times New Roman"/>
          <w:color w:val="FF0000"/>
          <w:sz w:val="24"/>
          <w:szCs w:val="24"/>
        </w:rPr>
      </w:pPr>
      <w:proofErr w:type="spellStart"/>
      <w:r w:rsidRPr="00C04EA2">
        <w:rPr>
          <w:rFonts w:ascii="Times New Roman" w:hAnsi="Times New Roman" w:cs="Times New Roman"/>
          <w:sz w:val="24"/>
          <w:szCs w:val="24"/>
        </w:rPr>
        <w:t>Hachicha</w:t>
      </w:r>
      <w:proofErr w:type="spellEnd"/>
      <w:r w:rsidRPr="00C04EA2">
        <w:rPr>
          <w:rFonts w:ascii="Times New Roman" w:hAnsi="Times New Roman" w:cs="Times New Roman"/>
          <w:sz w:val="24"/>
          <w:szCs w:val="24"/>
        </w:rPr>
        <w:t xml:space="preserve">, N., &amp; Ben Amar, A. (2015). Does Islamic bank financing contribute to economic growth? The Malaysian case. </w:t>
      </w:r>
      <w:r w:rsidRPr="005A30C7">
        <w:rPr>
          <w:rFonts w:ascii="Times New Roman" w:hAnsi="Times New Roman" w:cs="Times New Roman"/>
          <w:i/>
          <w:iCs/>
          <w:sz w:val="24"/>
          <w:szCs w:val="24"/>
        </w:rPr>
        <w:t>International Journal of Islamic and Middle Eastern Finance and Management</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8</w:t>
      </w:r>
      <w:r w:rsidRPr="00C04EA2">
        <w:rPr>
          <w:rFonts w:ascii="Times New Roman" w:hAnsi="Times New Roman" w:cs="Times New Roman"/>
          <w:sz w:val="24"/>
          <w:szCs w:val="24"/>
        </w:rPr>
        <w:t xml:space="preserve">(3), 349–368. </w:t>
      </w:r>
      <w:hyperlink r:id="rId19" w:history="1">
        <w:r w:rsidRPr="00C04EA2">
          <w:rPr>
            <w:rStyle w:val="Hyperlink"/>
            <w:rFonts w:ascii="Times New Roman" w:hAnsi="Times New Roman" w:cs="Times New Roman"/>
            <w:color w:val="auto"/>
            <w:sz w:val="24"/>
            <w:szCs w:val="24"/>
          </w:rPr>
          <w:t>https://doi.org/10.1108/IMEFM-07-2014-0063</w:t>
        </w:r>
      </w:hyperlink>
    </w:p>
    <w:p w14:paraId="53E1C004" w14:textId="77777777" w:rsidR="000B7941" w:rsidRPr="00C04EA2"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rPr>
        <w:t xml:space="preserve">Hassan, M. K. &amp; Bashir, A. H. M. (2003). </w:t>
      </w:r>
      <w:r w:rsidRPr="005A30C7">
        <w:rPr>
          <w:rFonts w:ascii="Times New Roman" w:hAnsi="Times New Roman" w:cs="Times New Roman"/>
          <w:i/>
          <w:sz w:val="24"/>
          <w:szCs w:val="24"/>
        </w:rPr>
        <w:t>Determinants of Islamic banking profitability.</w:t>
      </w:r>
      <w:r w:rsidRPr="00C04EA2">
        <w:rPr>
          <w:rFonts w:ascii="Times New Roman" w:hAnsi="Times New Roman" w:cs="Times New Roman"/>
          <w:sz w:val="24"/>
          <w:szCs w:val="24"/>
        </w:rPr>
        <w:t xml:space="preserve"> In 10th ERF annual conference, Morocco (pp. 16-18).</w:t>
      </w:r>
    </w:p>
    <w:p w14:paraId="16903997" w14:textId="77777777" w:rsidR="000B7941" w:rsidRPr="00C04EA2"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shd w:val="clear" w:color="auto" w:fill="FFFFFF"/>
        </w:rPr>
        <w:t>Jawad, A., &amp; Christian, K. (2019). Islamic banking and economic growth: applying the conventional hypothesis. </w:t>
      </w:r>
      <w:r w:rsidRPr="005A30C7">
        <w:rPr>
          <w:rFonts w:ascii="Times New Roman" w:hAnsi="Times New Roman" w:cs="Times New Roman"/>
          <w:i/>
          <w:iCs/>
          <w:sz w:val="24"/>
          <w:szCs w:val="24"/>
          <w:shd w:val="clear" w:color="auto" w:fill="FFFFFF"/>
        </w:rPr>
        <w:t>Journal of Islamic Monetary Economics and Finance</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5</w:t>
      </w:r>
      <w:r w:rsidRPr="00C04EA2">
        <w:rPr>
          <w:rFonts w:ascii="Times New Roman" w:hAnsi="Times New Roman" w:cs="Times New Roman"/>
          <w:sz w:val="24"/>
          <w:szCs w:val="24"/>
          <w:shd w:val="clear" w:color="auto" w:fill="FFFFFF"/>
        </w:rPr>
        <w:t>(1), 37-62.</w:t>
      </w:r>
    </w:p>
    <w:p w14:paraId="35FE0B0E" w14:textId="59E0CD60" w:rsidR="000B7941" w:rsidRPr="00C04EA2"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rPr>
        <w:t xml:space="preserve">Johnson, K. (2013). </w:t>
      </w:r>
      <w:r w:rsidRPr="00C04EA2">
        <w:rPr>
          <w:rFonts w:ascii="Times New Roman" w:hAnsi="Times New Roman" w:cs="Times New Roman"/>
          <w:iCs/>
          <w:sz w:val="24"/>
          <w:szCs w:val="24"/>
        </w:rPr>
        <w:t>The Role of Islamic Banking in Economic Growth</w:t>
      </w:r>
      <w:r w:rsidRPr="00C04EA2">
        <w:rPr>
          <w:rFonts w:ascii="Times New Roman" w:hAnsi="Times New Roman" w:cs="Times New Roman"/>
          <w:sz w:val="24"/>
          <w:szCs w:val="24"/>
        </w:rPr>
        <w:t>.</w:t>
      </w:r>
    </w:p>
    <w:p w14:paraId="6DFAF093" w14:textId="77777777" w:rsidR="000B7941" w:rsidRPr="00C04EA2" w:rsidRDefault="000B7941" w:rsidP="005A30C7">
      <w:pPr>
        <w:spacing w:line="360" w:lineRule="auto"/>
        <w:ind w:left="720" w:hanging="720"/>
        <w:jc w:val="both"/>
        <w:rPr>
          <w:rFonts w:ascii="Times New Roman" w:hAnsi="Times New Roman" w:cs="Times New Roman"/>
          <w:color w:val="FF0000"/>
          <w:sz w:val="24"/>
          <w:szCs w:val="24"/>
        </w:rPr>
      </w:pPr>
      <w:proofErr w:type="spellStart"/>
      <w:r w:rsidRPr="00C04EA2">
        <w:rPr>
          <w:rFonts w:ascii="Times New Roman" w:hAnsi="Times New Roman" w:cs="Times New Roman"/>
          <w:sz w:val="24"/>
          <w:szCs w:val="24"/>
        </w:rPr>
        <w:t>Kassim</w:t>
      </w:r>
      <w:proofErr w:type="spellEnd"/>
      <w:r w:rsidRPr="00C04EA2">
        <w:rPr>
          <w:rFonts w:ascii="Times New Roman" w:hAnsi="Times New Roman" w:cs="Times New Roman"/>
          <w:sz w:val="24"/>
          <w:szCs w:val="24"/>
        </w:rPr>
        <w:t xml:space="preserve">, S. (2016). Islamic finance and economic growth: The Malaysian experience. </w:t>
      </w:r>
      <w:r w:rsidRPr="005A30C7">
        <w:rPr>
          <w:rFonts w:ascii="Times New Roman" w:hAnsi="Times New Roman" w:cs="Times New Roman"/>
          <w:i/>
          <w:iCs/>
          <w:sz w:val="24"/>
          <w:szCs w:val="24"/>
        </w:rPr>
        <w:t>Global Finance Journal</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30</w:t>
      </w:r>
      <w:r w:rsidRPr="00C04EA2">
        <w:rPr>
          <w:rFonts w:ascii="Times New Roman" w:hAnsi="Times New Roman" w:cs="Times New Roman"/>
          <w:sz w:val="24"/>
          <w:szCs w:val="24"/>
        </w:rPr>
        <w:t xml:space="preserve">, 66–76. </w:t>
      </w:r>
      <w:hyperlink r:id="rId20" w:history="1">
        <w:r w:rsidRPr="00C04EA2">
          <w:rPr>
            <w:rStyle w:val="Hyperlink"/>
            <w:rFonts w:ascii="Times New Roman" w:hAnsi="Times New Roman" w:cs="Times New Roman"/>
            <w:color w:val="auto"/>
            <w:sz w:val="24"/>
            <w:szCs w:val="24"/>
          </w:rPr>
          <w:t>https://doi.org/10.1016/j.gfj.2015.11.007</w:t>
        </w:r>
      </w:hyperlink>
    </w:p>
    <w:p w14:paraId="4EEC2519" w14:textId="7EBD11E2" w:rsidR="000B7941" w:rsidRPr="00C04EA2" w:rsidRDefault="000B7941" w:rsidP="005A30C7">
      <w:pPr>
        <w:spacing w:line="360" w:lineRule="auto"/>
        <w:ind w:left="720" w:hanging="720"/>
        <w:jc w:val="both"/>
        <w:rPr>
          <w:rFonts w:ascii="Times New Roman" w:hAnsi="Times New Roman" w:cs="Times New Roman"/>
          <w:color w:val="FF0000"/>
          <w:sz w:val="24"/>
          <w:szCs w:val="24"/>
        </w:rPr>
      </w:pPr>
      <w:proofErr w:type="spellStart"/>
      <w:r w:rsidRPr="00C04EA2">
        <w:rPr>
          <w:rFonts w:ascii="Times New Roman" w:hAnsi="Times New Roman" w:cs="Times New Roman"/>
          <w:sz w:val="24"/>
          <w:szCs w:val="24"/>
        </w:rPr>
        <w:lastRenderedPageBreak/>
        <w:t>Lebdaoui</w:t>
      </w:r>
      <w:proofErr w:type="spellEnd"/>
      <w:r w:rsidRPr="00C04EA2">
        <w:rPr>
          <w:rFonts w:ascii="Times New Roman" w:hAnsi="Times New Roman" w:cs="Times New Roman"/>
          <w:sz w:val="24"/>
          <w:szCs w:val="24"/>
        </w:rPr>
        <w:t xml:space="preserve">, H., &amp; Wild, J. (2016). Islamic banking presence and economic growth in Southeast Asia. </w:t>
      </w:r>
      <w:r w:rsidRPr="005A30C7">
        <w:rPr>
          <w:rFonts w:ascii="Times New Roman" w:hAnsi="Times New Roman" w:cs="Times New Roman"/>
          <w:i/>
          <w:iCs/>
          <w:sz w:val="24"/>
          <w:szCs w:val="24"/>
        </w:rPr>
        <w:t>International Journal of Islamic and Middle Eastern Finance and Management</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9</w:t>
      </w:r>
      <w:r w:rsidRPr="00C04EA2">
        <w:rPr>
          <w:rFonts w:ascii="Times New Roman" w:hAnsi="Times New Roman" w:cs="Times New Roman"/>
          <w:sz w:val="24"/>
          <w:szCs w:val="24"/>
        </w:rPr>
        <w:t>(4), 551</w:t>
      </w:r>
      <w:r w:rsidR="005A30C7">
        <w:rPr>
          <w:rFonts w:ascii="Times New Roman" w:hAnsi="Times New Roman" w:cs="Times New Roman"/>
          <w:sz w:val="24"/>
          <w:szCs w:val="24"/>
        </w:rPr>
        <w:t>.</w:t>
      </w:r>
    </w:p>
    <w:p w14:paraId="545806EC" w14:textId="36641A4A" w:rsidR="000B7941" w:rsidRPr="005A30C7" w:rsidRDefault="000B7941" w:rsidP="005A30C7">
      <w:pPr>
        <w:spacing w:line="360" w:lineRule="auto"/>
        <w:ind w:left="720" w:hanging="720"/>
        <w:jc w:val="both"/>
        <w:rPr>
          <w:rFonts w:ascii="Times New Roman" w:hAnsi="Times New Roman" w:cs="Times New Roman"/>
          <w:sz w:val="24"/>
          <w:szCs w:val="24"/>
        </w:rPr>
      </w:pPr>
      <w:r w:rsidRPr="00C04EA2">
        <w:rPr>
          <w:rFonts w:ascii="Times New Roman" w:hAnsi="Times New Roman" w:cs="Times New Roman"/>
          <w:sz w:val="24"/>
          <w:szCs w:val="24"/>
        </w:rPr>
        <w:t xml:space="preserve">M. Anwar, S., </w:t>
      </w:r>
      <w:proofErr w:type="spellStart"/>
      <w:r w:rsidRPr="00C04EA2">
        <w:rPr>
          <w:rFonts w:ascii="Times New Roman" w:hAnsi="Times New Roman" w:cs="Times New Roman"/>
          <w:sz w:val="24"/>
          <w:szCs w:val="24"/>
        </w:rPr>
        <w:t>Junaidi</w:t>
      </w:r>
      <w:proofErr w:type="spellEnd"/>
      <w:r w:rsidRPr="00C04EA2">
        <w:rPr>
          <w:rFonts w:ascii="Times New Roman" w:hAnsi="Times New Roman" w:cs="Times New Roman"/>
          <w:sz w:val="24"/>
          <w:szCs w:val="24"/>
        </w:rPr>
        <w:t xml:space="preserve">, J., </w:t>
      </w:r>
      <w:proofErr w:type="spellStart"/>
      <w:r w:rsidRPr="00C04EA2">
        <w:rPr>
          <w:rFonts w:ascii="Times New Roman" w:hAnsi="Times New Roman" w:cs="Times New Roman"/>
          <w:sz w:val="24"/>
          <w:szCs w:val="24"/>
        </w:rPr>
        <w:t>Salju</w:t>
      </w:r>
      <w:proofErr w:type="spellEnd"/>
      <w:r w:rsidRPr="00C04EA2">
        <w:rPr>
          <w:rFonts w:ascii="Times New Roman" w:hAnsi="Times New Roman" w:cs="Times New Roman"/>
          <w:sz w:val="24"/>
          <w:szCs w:val="24"/>
        </w:rPr>
        <w:t xml:space="preserve">, S., </w:t>
      </w:r>
      <w:proofErr w:type="spellStart"/>
      <w:r w:rsidRPr="00C04EA2">
        <w:rPr>
          <w:rFonts w:ascii="Times New Roman" w:hAnsi="Times New Roman" w:cs="Times New Roman"/>
          <w:sz w:val="24"/>
          <w:szCs w:val="24"/>
        </w:rPr>
        <w:t>Wicaksono</w:t>
      </w:r>
      <w:proofErr w:type="spellEnd"/>
      <w:r w:rsidRPr="00C04EA2">
        <w:rPr>
          <w:rFonts w:ascii="Times New Roman" w:hAnsi="Times New Roman" w:cs="Times New Roman"/>
          <w:sz w:val="24"/>
          <w:szCs w:val="24"/>
        </w:rPr>
        <w:t xml:space="preserve">, R., &amp; </w:t>
      </w:r>
      <w:proofErr w:type="spellStart"/>
      <w:r w:rsidRPr="00C04EA2">
        <w:rPr>
          <w:rFonts w:ascii="Times New Roman" w:hAnsi="Times New Roman" w:cs="Times New Roman"/>
          <w:sz w:val="24"/>
          <w:szCs w:val="24"/>
        </w:rPr>
        <w:t>Mispiyanti</w:t>
      </w:r>
      <w:proofErr w:type="spellEnd"/>
      <w:r w:rsidRPr="00C04EA2">
        <w:rPr>
          <w:rFonts w:ascii="Times New Roman" w:hAnsi="Times New Roman" w:cs="Times New Roman"/>
          <w:sz w:val="24"/>
          <w:szCs w:val="24"/>
        </w:rPr>
        <w:t xml:space="preserve">, M. (2020). Islamic bank contribution to Indonesian economic growth. </w:t>
      </w:r>
      <w:r w:rsidRPr="005A30C7">
        <w:rPr>
          <w:rFonts w:ascii="Times New Roman" w:hAnsi="Times New Roman" w:cs="Times New Roman"/>
          <w:i/>
          <w:iCs/>
          <w:sz w:val="24"/>
          <w:szCs w:val="24"/>
        </w:rPr>
        <w:t>International Journal of Islamic and Middle Eastern</w:t>
      </w:r>
      <w:r w:rsidR="005A30C7">
        <w:rPr>
          <w:rFonts w:ascii="Times New Roman" w:hAnsi="Times New Roman" w:cs="Times New Roman"/>
          <w:sz w:val="24"/>
          <w:szCs w:val="24"/>
        </w:rPr>
        <w:t>.</w:t>
      </w:r>
      <w:r w:rsidRPr="005A30C7">
        <w:rPr>
          <w:rFonts w:ascii="Times New Roman" w:hAnsi="Times New Roman" w:cs="Times New Roman"/>
          <w:sz w:val="24"/>
          <w:szCs w:val="24"/>
        </w:rPr>
        <w:t xml:space="preserve"> </w:t>
      </w:r>
    </w:p>
    <w:p w14:paraId="500E7994" w14:textId="65C970AE"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Nasution</w:t>
      </w:r>
      <w:proofErr w:type="spellEnd"/>
      <w:r w:rsidRPr="00C04EA2">
        <w:rPr>
          <w:rFonts w:ascii="Times New Roman" w:hAnsi="Times New Roman" w:cs="Times New Roman"/>
          <w:sz w:val="24"/>
          <w:szCs w:val="24"/>
        </w:rPr>
        <w:t xml:space="preserve">, L. N., </w:t>
      </w:r>
      <w:proofErr w:type="spellStart"/>
      <w:r w:rsidRPr="00C04EA2">
        <w:rPr>
          <w:rFonts w:ascii="Times New Roman" w:hAnsi="Times New Roman" w:cs="Times New Roman"/>
          <w:sz w:val="24"/>
          <w:szCs w:val="24"/>
        </w:rPr>
        <w:t>Novalina</w:t>
      </w:r>
      <w:proofErr w:type="spellEnd"/>
      <w:r w:rsidRPr="00C04EA2">
        <w:rPr>
          <w:rFonts w:ascii="Times New Roman" w:hAnsi="Times New Roman" w:cs="Times New Roman"/>
          <w:sz w:val="24"/>
          <w:szCs w:val="24"/>
        </w:rPr>
        <w:t xml:space="preserve">, A., &amp; </w:t>
      </w:r>
      <w:proofErr w:type="spellStart"/>
      <w:r w:rsidRPr="00C04EA2">
        <w:rPr>
          <w:rFonts w:ascii="Times New Roman" w:hAnsi="Times New Roman" w:cs="Times New Roman"/>
          <w:sz w:val="24"/>
          <w:szCs w:val="24"/>
        </w:rPr>
        <w:t>Faried</w:t>
      </w:r>
      <w:proofErr w:type="spellEnd"/>
      <w:r w:rsidRPr="00C04EA2">
        <w:rPr>
          <w:rFonts w:ascii="Times New Roman" w:hAnsi="Times New Roman" w:cs="Times New Roman"/>
          <w:sz w:val="24"/>
          <w:szCs w:val="24"/>
        </w:rPr>
        <w:t xml:space="preserve">, A. I. (2019). </w:t>
      </w:r>
      <w:r w:rsidRPr="00C04EA2">
        <w:rPr>
          <w:rFonts w:ascii="Times New Roman" w:hAnsi="Times New Roman" w:cs="Times New Roman"/>
          <w:iCs/>
          <w:sz w:val="24"/>
          <w:szCs w:val="24"/>
        </w:rPr>
        <w:t xml:space="preserve">Financial Performance and Profitability </w:t>
      </w:r>
      <w:r w:rsidR="005A30C7">
        <w:rPr>
          <w:rFonts w:ascii="Times New Roman" w:hAnsi="Times New Roman" w:cs="Times New Roman"/>
          <w:iCs/>
          <w:sz w:val="24"/>
          <w:szCs w:val="24"/>
        </w:rPr>
        <w:t>o</w:t>
      </w:r>
      <w:r w:rsidRPr="00C04EA2">
        <w:rPr>
          <w:rFonts w:ascii="Times New Roman" w:hAnsi="Times New Roman" w:cs="Times New Roman"/>
          <w:iCs/>
          <w:sz w:val="24"/>
          <w:szCs w:val="24"/>
        </w:rPr>
        <w:t xml:space="preserve">f Islamic Banking </w:t>
      </w:r>
      <w:r w:rsidR="005A30C7">
        <w:rPr>
          <w:rFonts w:ascii="Times New Roman" w:hAnsi="Times New Roman" w:cs="Times New Roman"/>
          <w:iCs/>
          <w:sz w:val="24"/>
          <w:szCs w:val="24"/>
        </w:rPr>
        <w:t>o</w:t>
      </w:r>
      <w:r w:rsidRPr="00C04EA2">
        <w:rPr>
          <w:rFonts w:ascii="Times New Roman" w:hAnsi="Times New Roman" w:cs="Times New Roman"/>
          <w:iCs/>
          <w:sz w:val="24"/>
          <w:szCs w:val="24"/>
        </w:rPr>
        <w:t xml:space="preserve">n Economic Growth </w:t>
      </w:r>
      <w:r w:rsidR="005A30C7">
        <w:rPr>
          <w:rFonts w:ascii="Times New Roman" w:hAnsi="Times New Roman" w:cs="Times New Roman"/>
          <w:iCs/>
          <w:sz w:val="24"/>
          <w:szCs w:val="24"/>
        </w:rPr>
        <w:t>i</w:t>
      </w:r>
      <w:r w:rsidRPr="00C04EA2">
        <w:rPr>
          <w:rFonts w:ascii="Times New Roman" w:hAnsi="Times New Roman" w:cs="Times New Roman"/>
          <w:iCs/>
          <w:sz w:val="24"/>
          <w:szCs w:val="24"/>
        </w:rPr>
        <w:t>n Indonesia</w:t>
      </w:r>
      <w:r w:rsidRPr="00C04EA2">
        <w:rPr>
          <w:rFonts w:ascii="Times New Roman" w:hAnsi="Times New Roman" w:cs="Times New Roman"/>
          <w:sz w:val="24"/>
          <w:szCs w:val="24"/>
        </w:rPr>
        <w:t xml:space="preserve">. </w:t>
      </w:r>
    </w:p>
    <w:p w14:paraId="565B078B"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shd w:val="clear" w:color="auto" w:fill="FFFFFF"/>
        </w:rPr>
        <w:t>Osmanovica</w:t>
      </w:r>
      <w:proofErr w:type="spellEnd"/>
      <w:r w:rsidRPr="00C04EA2">
        <w:rPr>
          <w:rFonts w:ascii="Times New Roman" w:hAnsi="Times New Roman" w:cs="Times New Roman"/>
          <w:sz w:val="24"/>
          <w:szCs w:val="24"/>
          <w:shd w:val="clear" w:color="auto" w:fill="FFFFFF"/>
        </w:rPr>
        <w:t xml:space="preserve">, N., </w:t>
      </w:r>
      <w:proofErr w:type="spellStart"/>
      <w:r w:rsidRPr="00C04EA2">
        <w:rPr>
          <w:rFonts w:ascii="Times New Roman" w:hAnsi="Times New Roman" w:cs="Times New Roman"/>
          <w:sz w:val="24"/>
          <w:szCs w:val="24"/>
          <w:shd w:val="clear" w:color="auto" w:fill="FFFFFF"/>
        </w:rPr>
        <w:t>Kb</w:t>
      </w:r>
      <w:proofErr w:type="spellEnd"/>
      <w:r w:rsidRPr="00C04EA2">
        <w:rPr>
          <w:rFonts w:ascii="Times New Roman" w:hAnsi="Times New Roman" w:cs="Times New Roman"/>
          <w:sz w:val="24"/>
          <w:szCs w:val="24"/>
          <w:shd w:val="clear" w:color="auto" w:fill="FFFFFF"/>
        </w:rPr>
        <w:t xml:space="preserve">, P., &amp; </w:t>
      </w:r>
      <w:proofErr w:type="spellStart"/>
      <w:r w:rsidRPr="00C04EA2">
        <w:rPr>
          <w:rFonts w:ascii="Times New Roman" w:hAnsi="Times New Roman" w:cs="Times New Roman"/>
          <w:sz w:val="24"/>
          <w:szCs w:val="24"/>
          <w:shd w:val="clear" w:color="auto" w:fill="FFFFFF"/>
        </w:rPr>
        <w:t>Stojanovic</w:t>
      </w:r>
      <w:proofErr w:type="spellEnd"/>
      <w:r w:rsidRPr="00C04EA2">
        <w:rPr>
          <w:rFonts w:ascii="Times New Roman" w:hAnsi="Times New Roman" w:cs="Times New Roman"/>
          <w:sz w:val="24"/>
          <w:szCs w:val="24"/>
          <w:shd w:val="clear" w:color="auto" w:fill="FFFFFF"/>
        </w:rPr>
        <w:t>, I. (2020). Impacts of Islamic banking system on economic growth of UAE. </w:t>
      </w:r>
      <w:r w:rsidRPr="005A30C7">
        <w:rPr>
          <w:rFonts w:ascii="Times New Roman" w:hAnsi="Times New Roman" w:cs="Times New Roman"/>
          <w:i/>
          <w:iCs/>
          <w:sz w:val="24"/>
          <w:szCs w:val="24"/>
          <w:shd w:val="clear" w:color="auto" w:fill="FFFFFF"/>
        </w:rPr>
        <w:t>Journal of Talent Development and Excellence</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12</w:t>
      </w:r>
      <w:r w:rsidRPr="00C04EA2">
        <w:rPr>
          <w:rFonts w:ascii="Times New Roman" w:hAnsi="Times New Roman" w:cs="Times New Roman"/>
          <w:sz w:val="24"/>
          <w:szCs w:val="24"/>
          <w:shd w:val="clear" w:color="auto" w:fill="FFFFFF"/>
        </w:rPr>
        <w:t>(3s), 1555-1566.</w:t>
      </w:r>
    </w:p>
    <w:p w14:paraId="7D3D4518" w14:textId="5EEF8680"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Rabaa</w:t>
      </w:r>
      <w:proofErr w:type="spellEnd"/>
      <w:r w:rsidRPr="00C04EA2">
        <w:rPr>
          <w:rFonts w:ascii="Times New Roman" w:hAnsi="Times New Roman" w:cs="Times New Roman"/>
          <w:sz w:val="24"/>
          <w:szCs w:val="24"/>
          <w:shd w:val="clear" w:color="auto" w:fill="FFFFFF"/>
        </w:rPr>
        <w:t xml:space="preserve">, B., &amp; Younes, B. (2016). The impact of the Islamic </w:t>
      </w:r>
      <w:r w:rsidR="005A30C7" w:rsidRPr="00C04EA2">
        <w:rPr>
          <w:rFonts w:ascii="Times New Roman" w:hAnsi="Times New Roman" w:cs="Times New Roman"/>
          <w:sz w:val="24"/>
          <w:szCs w:val="24"/>
          <w:shd w:val="clear" w:color="auto" w:fill="FFFFFF"/>
        </w:rPr>
        <w:t>bank’s</w:t>
      </w:r>
      <w:r w:rsidRPr="00C04EA2">
        <w:rPr>
          <w:rFonts w:ascii="Times New Roman" w:hAnsi="Times New Roman" w:cs="Times New Roman"/>
          <w:sz w:val="24"/>
          <w:szCs w:val="24"/>
          <w:shd w:val="clear" w:color="auto" w:fill="FFFFFF"/>
        </w:rPr>
        <w:t xml:space="preserve"> performances on economic growth: using panel data. </w:t>
      </w:r>
      <w:r w:rsidRPr="005A30C7">
        <w:rPr>
          <w:rFonts w:ascii="Times New Roman" w:hAnsi="Times New Roman" w:cs="Times New Roman"/>
          <w:i/>
          <w:iCs/>
          <w:sz w:val="24"/>
          <w:szCs w:val="24"/>
          <w:shd w:val="clear" w:color="auto" w:fill="FFFFFF"/>
        </w:rPr>
        <w:t>International Journal of Economics and Finance Studies</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8</w:t>
      </w:r>
      <w:r w:rsidRPr="00C04EA2">
        <w:rPr>
          <w:rFonts w:ascii="Times New Roman" w:hAnsi="Times New Roman" w:cs="Times New Roman"/>
          <w:sz w:val="24"/>
          <w:szCs w:val="24"/>
          <w:shd w:val="clear" w:color="auto" w:fill="FFFFFF"/>
        </w:rPr>
        <w:t>(1), 101-111.</w:t>
      </w:r>
    </w:p>
    <w:p w14:paraId="3290B59C"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Sarwer</w:t>
      </w:r>
      <w:proofErr w:type="spellEnd"/>
      <w:r w:rsidRPr="00C04EA2">
        <w:rPr>
          <w:rFonts w:ascii="Times New Roman" w:hAnsi="Times New Roman" w:cs="Times New Roman"/>
          <w:sz w:val="24"/>
          <w:szCs w:val="24"/>
          <w:shd w:val="clear" w:color="auto" w:fill="FFFFFF"/>
        </w:rPr>
        <w:t xml:space="preserve">, M.S., Ramzan, M., &amp; Waqar Ahmad, M. (2013). Does </w:t>
      </w:r>
      <w:proofErr w:type="spellStart"/>
      <w:r w:rsidRPr="00C04EA2">
        <w:rPr>
          <w:rFonts w:ascii="Times New Roman" w:hAnsi="Times New Roman" w:cs="Times New Roman"/>
          <w:sz w:val="24"/>
          <w:szCs w:val="24"/>
          <w:shd w:val="clear" w:color="auto" w:fill="FFFFFF"/>
        </w:rPr>
        <w:t>islamic</w:t>
      </w:r>
      <w:proofErr w:type="spellEnd"/>
      <w:r w:rsidRPr="00C04EA2">
        <w:rPr>
          <w:rFonts w:ascii="Times New Roman" w:hAnsi="Times New Roman" w:cs="Times New Roman"/>
          <w:sz w:val="24"/>
          <w:szCs w:val="24"/>
          <w:shd w:val="clear" w:color="auto" w:fill="FFFFFF"/>
        </w:rPr>
        <w:t xml:space="preserve"> banking system contributes to economy development. </w:t>
      </w:r>
      <w:r w:rsidRPr="005A30C7">
        <w:rPr>
          <w:rFonts w:ascii="Times New Roman" w:hAnsi="Times New Roman" w:cs="Times New Roman"/>
          <w:i/>
          <w:sz w:val="24"/>
          <w:szCs w:val="24"/>
          <w:shd w:val="clear" w:color="auto" w:fill="FFFFFF"/>
        </w:rPr>
        <w:t>Global Journal of Management and Business Research, 13</w:t>
      </w:r>
      <w:r w:rsidRPr="00C04EA2">
        <w:rPr>
          <w:rFonts w:ascii="Times New Roman" w:hAnsi="Times New Roman" w:cs="Times New Roman"/>
          <w:sz w:val="24"/>
          <w:szCs w:val="24"/>
          <w:shd w:val="clear" w:color="auto" w:fill="FFFFFF"/>
        </w:rPr>
        <w:t>(2): 60-68.</w:t>
      </w:r>
    </w:p>
    <w:p w14:paraId="7494004E"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Sekmen</w:t>
      </w:r>
      <w:proofErr w:type="spellEnd"/>
      <w:r w:rsidRPr="00C04EA2">
        <w:rPr>
          <w:rFonts w:ascii="Times New Roman" w:hAnsi="Times New Roman" w:cs="Times New Roman"/>
          <w:sz w:val="24"/>
          <w:szCs w:val="24"/>
          <w:shd w:val="clear" w:color="auto" w:fill="FFFFFF"/>
        </w:rPr>
        <w:t>, T. A. N. E. R. (2021). Islamic banking and economic growth in the dual banking system. </w:t>
      </w:r>
      <w:r w:rsidRPr="005A30C7">
        <w:rPr>
          <w:rFonts w:ascii="Times New Roman" w:hAnsi="Times New Roman" w:cs="Times New Roman"/>
          <w:i/>
          <w:iCs/>
          <w:sz w:val="24"/>
          <w:szCs w:val="24"/>
          <w:shd w:val="clear" w:color="auto" w:fill="FFFFFF"/>
        </w:rPr>
        <w:t xml:space="preserve">Optimum </w:t>
      </w:r>
      <w:proofErr w:type="spellStart"/>
      <w:r w:rsidRPr="005A30C7">
        <w:rPr>
          <w:rFonts w:ascii="Times New Roman" w:hAnsi="Times New Roman" w:cs="Times New Roman"/>
          <w:i/>
          <w:iCs/>
          <w:sz w:val="24"/>
          <w:szCs w:val="24"/>
          <w:shd w:val="clear" w:color="auto" w:fill="FFFFFF"/>
        </w:rPr>
        <w:t>Ekonomi</w:t>
      </w:r>
      <w:proofErr w:type="spellEnd"/>
      <w:r w:rsidRPr="005A30C7">
        <w:rPr>
          <w:rFonts w:ascii="Times New Roman" w:hAnsi="Times New Roman" w:cs="Times New Roman"/>
          <w:i/>
          <w:iCs/>
          <w:sz w:val="24"/>
          <w:szCs w:val="24"/>
          <w:shd w:val="clear" w:color="auto" w:fill="FFFFFF"/>
        </w:rPr>
        <w:t xml:space="preserve"> </w:t>
      </w:r>
      <w:proofErr w:type="spellStart"/>
      <w:r w:rsidRPr="005A30C7">
        <w:rPr>
          <w:rFonts w:ascii="Times New Roman" w:hAnsi="Times New Roman" w:cs="Times New Roman"/>
          <w:i/>
          <w:iCs/>
          <w:sz w:val="24"/>
          <w:szCs w:val="24"/>
          <w:shd w:val="clear" w:color="auto" w:fill="FFFFFF"/>
        </w:rPr>
        <w:t>ve</w:t>
      </w:r>
      <w:proofErr w:type="spellEnd"/>
      <w:r w:rsidRPr="005A30C7">
        <w:rPr>
          <w:rFonts w:ascii="Times New Roman" w:hAnsi="Times New Roman" w:cs="Times New Roman"/>
          <w:i/>
          <w:iCs/>
          <w:sz w:val="24"/>
          <w:szCs w:val="24"/>
          <w:shd w:val="clear" w:color="auto" w:fill="FFFFFF"/>
        </w:rPr>
        <w:t xml:space="preserve"> </w:t>
      </w:r>
      <w:proofErr w:type="spellStart"/>
      <w:r w:rsidRPr="005A30C7">
        <w:rPr>
          <w:rFonts w:ascii="Times New Roman" w:hAnsi="Times New Roman" w:cs="Times New Roman"/>
          <w:i/>
          <w:iCs/>
          <w:sz w:val="24"/>
          <w:szCs w:val="24"/>
          <w:shd w:val="clear" w:color="auto" w:fill="FFFFFF"/>
        </w:rPr>
        <w:t>Yönetim</w:t>
      </w:r>
      <w:proofErr w:type="spellEnd"/>
      <w:r w:rsidRPr="005A30C7">
        <w:rPr>
          <w:rFonts w:ascii="Times New Roman" w:hAnsi="Times New Roman" w:cs="Times New Roman"/>
          <w:i/>
          <w:iCs/>
          <w:sz w:val="24"/>
          <w:szCs w:val="24"/>
          <w:shd w:val="clear" w:color="auto" w:fill="FFFFFF"/>
        </w:rPr>
        <w:t xml:space="preserve"> </w:t>
      </w:r>
      <w:proofErr w:type="spellStart"/>
      <w:r w:rsidRPr="005A30C7">
        <w:rPr>
          <w:rFonts w:ascii="Times New Roman" w:hAnsi="Times New Roman" w:cs="Times New Roman"/>
          <w:i/>
          <w:iCs/>
          <w:sz w:val="24"/>
          <w:szCs w:val="24"/>
          <w:shd w:val="clear" w:color="auto" w:fill="FFFFFF"/>
        </w:rPr>
        <w:t>Bilimleri</w:t>
      </w:r>
      <w:proofErr w:type="spellEnd"/>
      <w:r w:rsidRPr="005A30C7">
        <w:rPr>
          <w:rFonts w:ascii="Times New Roman" w:hAnsi="Times New Roman" w:cs="Times New Roman"/>
          <w:i/>
          <w:iCs/>
          <w:sz w:val="24"/>
          <w:szCs w:val="24"/>
          <w:shd w:val="clear" w:color="auto" w:fill="FFFFFF"/>
        </w:rPr>
        <w:t xml:space="preserve"> </w:t>
      </w:r>
      <w:proofErr w:type="spellStart"/>
      <w:r w:rsidRPr="005A30C7">
        <w:rPr>
          <w:rFonts w:ascii="Times New Roman" w:hAnsi="Times New Roman" w:cs="Times New Roman"/>
          <w:i/>
          <w:iCs/>
          <w:sz w:val="24"/>
          <w:szCs w:val="24"/>
          <w:shd w:val="clear" w:color="auto" w:fill="FFFFFF"/>
        </w:rPr>
        <w:t>Dergisi</w:t>
      </w:r>
      <w:proofErr w:type="spellEnd"/>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8</w:t>
      </w:r>
      <w:r w:rsidRPr="00C04EA2">
        <w:rPr>
          <w:rFonts w:ascii="Times New Roman" w:hAnsi="Times New Roman" w:cs="Times New Roman"/>
          <w:sz w:val="24"/>
          <w:szCs w:val="24"/>
          <w:shd w:val="clear" w:color="auto" w:fill="FFFFFF"/>
        </w:rPr>
        <w:t>(1), 183-196.</w:t>
      </w:r>
    </w:p>
    <w:p w14:paraId="6CDC99FC" w14:textId="12386A4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M. I., &amp;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R. S. (2014a). Islamic Banking and Economic Growth: An Empirical Evidence from Qatar. </w:t>
      </w:r>
      <w:r w:rsidRPr="005A30C7">
        <w:rPr>
          <w:rFonts w:ascii="Times New Roman" w:hAnsi="Times New Roman" w:cs="Times New Roman"/>
          <w:i/>
          <w:sz w:val="24"/>
          <w:szCs w:val="24"/>
        </w:rPr>
        <w:t xml:space="preserve">Journal of Applied Economics </w:t>
      </w:r>
      <w:r w:rsidR="005A30C7">
        <w:rPr>
          <w:rFonts w:ascii="Times New Roman" w:hAnsi="Times New Roman" w:cs="Times New Roman"/>
          <w:i/>
          <w:sz w:val="24"/>
          <w:szCs w:val="24"/>
        </w:rPr>
        <w:t>a</w:t>
      </w:r>
      <w:r w:rsidRPr="005A30C7">
        <w:rPr>
          <w:rFonts w:ascii="Times New Roman" w:hAnsi="Times New Roman" w:cs="Times New Roman"/>
          <w:i/>
          <w:sz w:val="24"/>
          <w:szCs w:val="24"/>
        </w:rPr>
        <w:t>nd Business, 2</w:t>
      </w:r>
      <w:r w:rsidRPr="00C04EA2">
        <w:rPr>
          <w:rFonts w:ascii="Times New Roman" w:hAnsi="Times New Roman" w:cs="Times New Roman"/>
          <w:sz w:val="24"/>
          <w:szCs w:val="24"/>
        </w:rPr>
        <w:t xml:space="preserve">(1), 5167. </w:t>
      </w:r>
    </w:p>
    <w:p w14:paraId="660C36E1"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M. I., &amp;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R. S. (2014b). The flow of Islamic finance and economic growth: An empirical evidence of Middle East. </w:t>
      </w:r>
      <w:r w:rsidRPr="005A30C7">
        <w:rPr>
          <w:rFonts w:ascii="Times New Roman" w:hAnsi="Times New Roman" w:cs="Times New Roman"/>
          <w:i/>
          <w:sz w:val="24"/>
          <w:szCs w:val="24"/>
        </w:rPr>
        <w:t>Journal of Finance and Accounting, 2</w:t>
      </w:r>
      <w:r w:rsidRPr="00C04EA2">
        <w:rPr>
          <w:rFonts w:ascii="Times New Roman" w:hAnsi="Times New Roman" w:cs="Times New Roman"/>
          <w:sz w:val="24"/>
          <w:szCs w:val="24"/>
        </w:rPr>
        <w:t xml:space="preserve">(1), 11-19. </w:t>
      </w:r>
    </w:p>
    <w:p w14:paraId="7DA249F3"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t>Tabash</w:t>
      </w:r>
      <w:proofErr w:type="spellEnd"/>
      <w:r w:rsidRPr="00C04EA2">
        <w:rPr>
          <w:rFonts w:ascii="Times New Roman" w:hAnsi="Times New Roman" w:cs="Times New Roman"/>
          <w:sz w:val="24"/>
          <w:szCs w:val="24"/>
        </w:rPr>
        <w:t xml:space="preserve">, M. I., &amp; </w:t>
      </w:r>
      <w:proofErr w:type="spellStart"/>
      <w:r w:rsidRPr="00C04EA2">
        <w:rPr>
          <w:rFonts w:ascii="Times New Roman" w:hAnsi="Times New Roman" w:cs="Times New Roman"/>
          <w:sz w:val="24"/>
          <w:szCs w:val="24"/>
        </w:rPr>
        <w:t>Dhankar</w:t>
      </w:r>
      <w:proofErr w:type="spellEnd"/>
      <w:r w:rsidRPr="00C04EA2">
        <w:rPr>
          <w:rFonts w:ascii="Times New Roman" w:hAnsi="Times New Roman" w:cs="Times New Roman"/>
          <w:sz w:val="24"/>
          <w:szCs w:val="24"/>
        </w:rPr>
        <w:t xml:space="preserve">, R. S. (2014c). Islamic Finance and Economic Growth: An Empirical Evidence from United Arab Emirates (UAE). </w:t>
      </w:r>
      <w:r w:rsidRPr="005A30C7">
        <w:rPr>
          <w:rFonts w:ascii="Times New Roman" w:hAnsi="Times New Roman" w:cs="Times New Roman"/>
          <w:i/>
          <w:sz w:val="24"/>
          <w:szCs w:val="24"/>
        </w:rPr>
        <w:t>Journal of Emerging Issues in Economics, Finance and Banking, 3</w:t>
      </w:r>
      <w:r w:rsidRPr="00C04EA2">
        <w:rPr>
          <w:rFonts w:ascii="Times New Roman" w:hAnsi="Times New Roman" w:cs="Times New Roman"/>
          <w:sz w:val="24"/>
          <w:szCs w:val="24"/>
        </w:rPr>
        <w:t>(2), 1069-1085.</w:t>
      </w:r>
    </w:p>
    <w:p w14:paraId="55FBE4EA" w14:textId="77777777" w:rsidR="000B7941" w:rsidRPr="00C04EA2" w:rsidRDefault="000B7941" w:rsidP="005A30C7">
      <w:pPr>
        <w:spacing w:line="360" w:lineRule="auto"/>
        <w:ind w:left="720" w:hanging="720"/>
        <w:jc w:val="both"/>
        <w:rPr>
          <w:rFonts w:ascii="Times New Roman" w:hAnsi="Times New Roman" w:cs="Times New Roman"/>
          <w:b/>
          <w:sz w:val="24"/>
          <w:szCs w:val="24"/>
        </w:rPr>
      </w:pPr>
      <w:proofErr w:type="spellStart"/>
      <w:r w:rsidRPr="00C04EA2">
        <w:rPr>
          <w:rFonts w:ascii="Times New Roman" w:hAnsi="Times New Roman" w:cs="Times New Roman"/>
          <w:sz w:val="24"/>
          <w:szCs w:val="24"/>
          <w:shd w:val="clear" w:color="auto" w:fill="FFFFFF"/>
        </w:rPr>
        <w:t>Tajgardoon</w:t>
      </w:r>
      <w:proofErr w:type="spellEnd"/>
      <w:r w:rsidRPr="00C04EA2">
        <w:rPr>
          <w:rFonts w:ascii="Times New Roman" w:hAnsi="Times New Roman" w:cs="Times New Roman"/>
          <w:sz w:val="24"/>
          <w:szCs w:val="24"/>
          <w:shd w:val="clear" w:color="auto" w:fill="FFFFFF"/>
        </w:rPr>
        <w:t xml:space="preserve">, G., </w:t>
      </w:r>
      <w:proofErr w:type="spellStart"/>
      <w:r w:rsidRPr="00C04EA2">
        <w:rPr>
          <w:rFonts w:ascii="Times New Roman" w:hAnsi="Times New Roman" w:cs="Times New Roman"/>
          <w:sz w:val="24"/>
          <w:szCs w:val="24"/>
          <w:shd w:val="clear" w:color="auto" w:fill="FFFFFF"/>
        </w:rPr>
        <w:t>Behname</w:t>
      </w:r>
      <w:proofErr w:type="spellEnd"/>
      <w:r w:rsidRPr="00C04EA2">
        <w:rPr>
          <w:rFonts w:ascii="Times New Roman" w:hAnsi="Times New Roman" w:cs="Times New Roman"/>
          <w:sz w:val="24"/>
          <w:szCs w:val="24"/>
          <w:shd w:val="clear" w:color="auto" w:fill="FFFFFF"/>
        </w:rPr>
        <w:t xml:space="preserve">, M., &amp; </w:t>
      </w:r>
      <w:proofErr w:type="spellStart"/>
      <w:r w:rsidRPr="00C04EA2">
        <w:rPr>
          <w:rFonts w:ascii="Times New Roman" w:hAnsi="Times New Roman" w:cs="Times New Roman"/>
          <w:sz w:val="24"/>
          <w:szCs w:val="24"/>
          <w:shd w:val="clear" w:color="auto" w:fill="FFFFFF"/>
        </w:rPr>
        <w:t>Noormohamadi</w:t>
      </w:r>
      <w:proofErr w:type="spellEnd"/>
      <w:r w:rsidRPr="00C04EA2">
        <w:rPr>
          <w:rFonts w:ascii="Times New Roman" w:hAnsi="Times New Roman" w:cs="Times New Roman"/>
          <w:sz w:val="24"/>
          <w:szCs w:val="24"/>
          <w:shd w:val="clear" w:color="auto" w:fill="FFFFFF"/>
        </w:rPr>
        <w:t>, K. (2013). Islamic banking and economic growth: evidence from Asia. </w:t>
      </w:r>
      <w:r w:rsidRPr="005A30C7">
        <w:rPr>
          <w:rFonts w:ascii="Times New Roman" w:hAnsi="Times New Roman" w:cs="Times New Roman"/>
          <w:i/>
          <w:iCs/>
          <w:sz w:val="24"/>
          <w:szCs w:val="24"/>
          <w:shd w:val="clear" w:color="auto" w:fill="FFFFFF"/>
        </w:rPr>
        <w:t>Journal of Modern Accounting and Auditing</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9</w:t>
      </w:r>
      <w:r w:rsidRPr="00C04EA2">
        <w:rPr>
          <w:rFonts w:ascii="Times New Roman" w:hAnsi="Times New Roman" w:cs="Times New Roman"/>
          <w:sz w:val="24"/>
          <w:szCs w:val="24"/>
          <w:shd w:val="clear" w:color="auto" w:fill="FFFFFF"/>
        </w:rPr>
        <w:t>(4), 542.</w:t>
      </w:r>
    </w:p>
    <w:p w14:paraId="3B89C5BE" w14:textId="77777777" w:rsidR="000B7941" w:rsidRPr="00C04EA2" w:rsidRDefault="000B7941" w:rsidP="005A30C7">
      <w:pPr>
        <w:spacing w:line="360" w:lineRule="auto"/>
        <w:ind w:left="720" w:hanging="720"/>
        <w:jc w:val="both"/>
        <w:rPr>
          <w:rFonts w:ascii="Times New Roman" w:hAnsi="Times New Roman" w:cs="Times New Roman"/>
          <w:sz w:val="24"/>
          <w:szCs w:val="24"/>
        </w:rPr>
      </w:pPr>
      <w:proofErr w:type="spellStart"/>
      <w:r w:rsidRPr="00C04EA2">
        <w:rPr>
          <w:rFonts w:ascii="Times New Roman" w:hAnsi="Times New Roman" w:cs="Times New Roman"/>
          <w:sz w:val="24"/>
          <w:szCs w:val="24"/>
        </w:rPr>
        <w:lastRenderedPageBreak/>
        <w:t>Tunay</w:t>
      </w:r>
      <w:proofErr w:type="spellEnd"/>
      <w:r w:rsidRPr="00C04EA2">
        <w:rPr>
          <w:rFonts w:ascii="Times New Roman" w:hAnsi="Times New Roman" w:cs="Times New Roman"/>
          <w:sz w:val="24"/>
          <w:szCs w:val="24"/>
        </w:rPr>
        <w:t xml:space="preserve">, B. (2016). </w:t>
      </w:r>
      <w:proofErr w:type="spellStart"/>
      <w:r w:rsidRPr="00C04EA2">
        <w:rPr>
          <w:rFonts w:ascii="Times New Roman" w:hAnsi="Times New Roman" w:cs="Times New Roman"/>
          <w:sz w:val="24"/>
          <w:szCs w:val="24"/>
        </w:rPr>
        <w:t>İslami</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Bankacılık</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ile</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Ekonomik</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Büyüme</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Arasında</w:t>
      </w:r>
      <w:proofErr w:type="spellEnd"/>
      <w:r w:rsidRPr="00C04EA2">
        <w:rPr>
          <w:rFonts w:ascii="Times New Roman" w:hAnsi="Times New Roman" w:cs="Times New Roman"/>
          <w:sz w:val="24"/>
          <w:szCs w:val="24"/>
        </w:rPr>
        <w:t xml:space="preserve"> </w:t>
      </w:r>
      <w:proofErr w:type="spellStart"/>
      <w:r w:rsidRPr="00C04EA2">
        <w:rPr>
          <w:rFonts w:ascii="Times New Roman" w:hAnsi="Times New Roman" w:cs="Times New Roman"/>
          <w:sz w:val="24"/>
          <w:szCs w:val="24"/>
        </w:rPr>
        <w:t>Nedensellik</w:t>
      </w:r>
      <w:proofErr w:type="spellEnd"/>
      <w:r w:rsidRPr="00C04EA2">
        <w:rPr>
          <w:rFonts w:ascii="Times New Roman" w:hAnsi="Times New Roman" w:cs="Times New Roman"/>
          <w:sz w:val="24"/>
          <w:szCs w:val="24"/>
        </w:rPr>
        <w:t xml:space="preserve"> </w:t>
      </w:r>
      <w:proofErr w:type="spellStart"/>
      <w:proofErr w:type="gramStart"/>
      <w:r w:rsidRPr="00C04EA2">
        <w:rPr>
          <w:rFonts w:ascii="Times New Roman" w:hAnsi="Times New Roman" w:cs="Times New Roman"/>
          <w:sz w:val="24"/>
          <w:szCs w:val="24"/>
        </w:rPr>
        <w:t>İlişkileri</w:t>
      </w:r>
      <w:proofErr w:type="spellEnd"/>
      <w:r w:rsidRPr="00C04EA2">
        <w:rPr>
          <w:rFonts w:ascii="Times New Roman" w:hAnsi="Times New Roman" w:cs="Times New Roman"/>
          <w:sz w:val="24"/>
          <w:szCs w:val="24"/>
        </w:rPr>
        <w:t>(</w:t>
      </w:r>
      <w:proofErr w:type="gramEnd"/>
      <w:r w:rsidRPr="00C04EA2">
        <w:rPr>
          <w:rFonts w:ascii="Times New Roman" w:hAnsi="Times New Roman" w:cs="Times New Roman"/>
          <w:sz w:val="24"/>
          <w:szCs w:val="24"/>
        </w:rPr>
        <w:t xml:space="preserve">Causality Relations Between Islamic Banking and Economic Growth). </w:t>
      </w:r>
      <w:proofErr w:type="spellStart"/>
      <w:r w:rsidRPr="005A30C7">
        <w:rPr>
          <w:rFonts w:ascii="Times New Roman" w:hAnsi="Times New Roman" w:cs="Times New Roman"/>
          <w:i/>
          <w:iCs/>
          <w:sz w:val="24"/>
          <w:szCs w:val="24"/>
        </w:rPr>
        <w:t>Yönetim</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ve</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Ekonomi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Celal</w:t>
      </w:r>
      <w:proofErr w:type="spellEnd"/>
      <w:r w:rsidRPr="005A30C7">
        <w:rPr>
          <w:rFonts w:ascii="Times New Roman" w:hAnsi="Times New Roman" w:cs="Times New Roman"/>
          <w:i/>
          <w:iCs/>
          <w:sz w:val="24"/>
          <w:szCs w:val="24"/>
        </w:rPr>
        <w:t xml:space="preserve"> Bayar </w:t>
      </w:r>
      <w:proofErr w:type="spellStart"/>
      <w:r w:rsidRPr="005A30C7">
        <w:rPr>
          <w:rFonts w:ascii="Times New Roman" w:hAnsi="Times New Roman" w:cs="Times New Roman"/>
          <w:i/>
          <w:iCs/>
          <w:sz w:val="24"/>
          <w:szCs w:val="24"/>
        </w:rPr>
        <w:t>Üniversitesi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İktisadi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ve</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İdari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Bilimler</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Fakültesi</w:t>
      </w:r>
      <w:proofErr w:type="spellEnd"/>
      <w:r w:rsidRPr="005A30C7">
        <w:rPr>
          <w:rFonts w:ascii="Times New Roman" w:hAnsi="Times New Roman" w:cs="Times New Roman"/>
          <w:i/>
          <w:iCs/>
          <w:sz w:val="24"/>
          <w:szCs w:val="24"/>
        </w:rPr>
        <w:t xml:space="preserve"> </w:t>
      </w:r>
      <w:proofErr w:type="spellStart"/>
      <w:r w:rsidRPr="005A30C7">
        <w:rPr>
          <w:rFonts w:ascii="Times New Roman" w:hAnsi="Times New Roman" w:cs="Times New Roman"/>
          <w:i/>
          <w:iCs/>
          <w:sz w:val="24"/>
          <w:szCs w:val="24"/>
        </w:rPr>
        <w:t>Dergisi</w:t>
      </w:r>
      <w:proofErr w:type="spellEnd"/>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23</w:t>
      </w:r>
      <w:r w:rsidRPr="005A30C7">
        <w:rPr>
          <w:rFonts w:ascii="Times New Roman" w:hAnsi="Times New Roman" w:cs="Times New Roman"/>
          <w:sz w:val="24"/>
          <w:szCs w:val="24"/>
        </w:rPr>
        <w:t>(2</w:t>
      </w:r>
      <w:r w:rsidRPr="00C04EA2">
        <w:rPr>
          <w:rFonts w:ascii="Times New Roman" w:hAnsi="Times New Roman" w:cs="Times New Roman"/>
          <w:sz w:val="24"/>
          <w:szCs w:val="24"/>
        </w:rPr>
        <w:t xml:space="preserve">), 485. </w:t>
      </w:r>
      <w:hyperlink r:id="rId21" w:history="1">
        <w:r w:rsidRPr="00C04EA2">
          <w:rPr>
            <w:rStyle w:val="Hyperlink"/>
            <w:rFonts w:ascii="Times New Roman" w:hAnsi="Times New Roman" w:cs="Times New Roman"/>
            <w:color w:val="auto"/>
            <w:sz w:val="24"/>
            <w:szCs w:val="24"/>
          </w:rPr>
          <w:t>https://doi.org/10.18657/yecbu.89247</w:t>
        </w:r>
      </w:hyperlink>
    </w:p>
    <w:p w14:paraId="2F73D09B"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r w:rsidRPr="00C04EA2">
        <w:rPr>
          <w:rFonts w:ascii="Times New Roman" w:hAnsi="Times New Roman" w:cs="Times New Roman"/>
          <w:sz w:val="24"/>
          <w:szCs w:val="24"/>
          <w:shd w:val="clear" w:color="auto" w:fill="FFFFFF"/>
        </w:rPr>
        <w:t xml:space="preserve">Wahab, M., Mufti, O., &amp; Murad, M. S. (2016). The study of co-integration and causal link between Islamic </w:t>
      </w:r>
      <w:r w:rsidRPr="005A30C7">
        <w:rPr>
          <w:rFonts w:ascii="Times New Roman" w:hAnsi="Times New Roman" w:cs="Times New Roman"/>
          <w:i/>
          <w:sz w:val="24"/>
          <w:szCs w:val="24"/>
          <w:shd w:val="clear" w:color="auto" w:fill="FFFFFF"/>
        </w:rPr>
        <w:t>Bank financing and economic growth. </w:t>
      </w:r>
      <w:proofErr w:type="spellStart"/>
      <w:r w:rsidRPr="005A30C7">
        <w:rPr>
          <w:rFonts w:ascii="Times New Roman" w:hAnsi="Times New Roman" w:cs="Times New Roman"/>
          <w:i/>
          <w:iCs/>
          <w:sz w:val="24"/>
          <w:szCs w:val="24"/>
          <w:shd w:val="clear" w:color="auto" w:fill="FFFFFF"/>
        </w:rPr>
        <w:t>Abasyn</w:t>
      </w:r>
      <w:proofErr w:type="spellEnd"/>
      <w:r w:rsidRPr="005A30C7">
        <w:rPr>
          <w:rFonts w:ascii="Times New Roman" w:hAnsi="Times New Roman" w:cs="Times New Roman"/>
          <w:i/>
          <w:iCs/>
          <w:sz w:val="24"/>
          <w:szCs w:val="24"/>
          <w:shd w:val="clear" w:color="auto" w:fill="FFFFFF"/>
        </w:rPr>
        <w:t xml:space="preserve"> University Journal of Social Sciences</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9</w:t>
      </w:r>
      <w:r w:rsidRPr="00C04EA2">
        <w:rPr>
          <w:rFonts w:ascii="Times New Roman" w:hAnsi="Times New Roman" w:cs="Times New Roman"/>
          <w:sz w:val="24"/>
          <w:szCs w:val="24"/>
          <w:shd w:val="clear" w:color="auto" w:fill="FFFFFF"/>
        </w:rPr>
        <w:t>(2), 134-146.</w:t>
      </w:r>
    </w:p>
    <w:p w14:paraId="0916A833"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shd w:val="clear" w:color="auto" w:fill="FFFFFF"/>
        </w:rPr>
        <w:t>Yazdan</w:t>
      </w:r>
      <w:proofErr w:type="spellEnd"/>
      <w:r w:rsidRPr="00C04EA2">
        <w:rPr>
          <w:rFonts w:ascii="Times New Roman" w:hAnsi="Times New Roman" w:cs="Times New Roman"/>
          <w:sz w:val="24"/>
          <w:szCs w:val="24"/>
          <w:shd w:val="clear" w:color="auto" w:fill="FFFFFF"/>
        </w:rPr>
        <w:t>, G. F., &amp; Mohammad Hossein, S. S. (2012). Analysis of Islamic Bank's Financing and Economic Growth: Case Study Iran and Indonesia. </w:t>
      </w:r>
      <w:r w:rsidRPr="005A30C7">
        <w:rPr>
          <w:rFonts w:ascii="Times New Roman" w:hAnsi="Times New Roman" w:cs="Times New Roman"/>
          <w:i/>
          <w:iCs/>
          <w:sz w:val="24"/>
          <w:szCs w:val="24"/>
          <w:shd w:val="clear" w:color="auto" w:fill="FFFFFF"/>
        </w:rPr>
        <w:t>Journal of Economic Cooperation &amp; Development</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33</w:t>
      </w:r>
      <w:r w:rsidRPr="00C04EA2">
        <w:rPr>
          <w:rFonts w:ascii="Times New Roman" w:hAnsi="Times New Roman" w:cs="Times New Roman"/>
          <w:sz w:val="24"/>
          <w:szCs w:val="24"/>
          <w:shd w:val="clear" w:color="auto" w:fill="FFFFFF"/>
        </w:rPr>
        <w:t>(4).</w:t>
      </w:r>
    </w:p>
    <w:p w14:paraId="453F507E"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proofErr w:type="spellStart"/>
      <w:r w:rsidRPr="00C04EA2">
        <w:rPr>
          <w:rFonts w:ascii="Times New Roman" w:hAnsi="Times New Roman" w:cs="Times New Roman"/>
          <w:sz w:val="24"/>
          <w:szCs w:val="24"/>
        </w:rPr>
        <w:t>Yüksel</w:t>
      </w:r>
      <w:proofErr w:type="spellEnd"/>
      <w:r w:rsidRPr="00C04EA2">
        <w:rPr>
          <w:rFonts w:ascii="Times New Roman" w:hAnsi="Times New Roman" w:cs="Times New Roman"/>
          <w:sz w:val="24"/>
          <w:szCs w:val="24"/>
        </w:rPr>
        <w:t xml:space="preserve">, S., &amp; </w:t>
      </w:r>
      <w:proofErr w:type="spellStart"/>
      <w:r w:rsidRPr="00C04EA2">
        <w:rPr>
          <w:rFonts w:ascii="Times New Roman" w:hAnsi="Times New Roman" w:cs="Times New Roman"/>
          <w:sz w:val="24"/>
          <w:szCs w:val="24"/>
        </w:rPr>
        <w:t>Canöz</w:t>
      </w:r>
      <w:proofErr w:type="spellEnd"/>
      <w:r w:rsidRPr="00C04EA2">
        <w:rPr>
          <w:rFonts w:ascii="Times New Roman" w:hAnsi="Times New Roman" w:cs="Times New Roman"/>
          <w:sz w:val="24"/>
          <w:szCs w:val="24"/>
        </w:rPr>
        <w:t xml:space="preserve">, İ. (2017). Does Islamic Banking Contribute to Economic Growth and Industrial Development in Turkey? </w:t>
      </w:r>
      <w:r w:rsidRPr="005A30C7">
        <w:rPr>
          <w:rFonts w:ascii="Times New Roman" w:hAnsi="Times New Roman" w:cs="Times New Roman"/>
          <w:i/>
          <w:iCs/>
          <w:sz w:val="24"/>
          <w:szCs w:val="24"/>
        </w:rPr>
        <w:t>IKONOMIKA</w:t>
      </w:r>
      <w:r w:rsidRPr="005A30C7">
        <w:rPr>
          <w:rFonts w:ascii="Times New Roman" w:hAnsi="Times New Roman" w:cs="Times New Roman"/>
          <w:i/>
          <w:sz w:val="24"/>
          <w:szCs w:val="24"/>
        </w:rPr>
        <w:t xml:space="preserve">, </w:t>
      </w:r>
      <w:r w:rsidRPr="005A30C7">
        <w:rPr>
          <w:rFonts w:ascii="Times New Roman" w:hAnsi="Times New Roman" w:cs="Times New Roman"/>
          <w:i/>
          <w:iCs/>
          <w:sz w:val="24"/>
          <w:szCs w:val="24"/>
        </w:rPr>
        <w:t>2</w:t>
      </w:r>
      <w:r w:rsidRPr="005A30C7">
        <w:rPr>
          <w:rFonts w:ascii="Times New Roman" w:hAnsi="Times New Roman" w:cs="Times New Roman"/>
          <w:i/>
          <w:sz w:val="24"/>
          <w:szCs w:val="24"/>
        </w:rPr>
        <w:t>(</w:t>
      </w:r>
      <w:r w:rsidRPr="00C04EA2">
        <w:rPr>
          <w:rFonts w:ascii="Times New Roman" w:hAnsi="Times New Roman" w:cs="Times New Roman"/>
          <w:sz w:val="24"/>
          <w:szCs w:val="24"/>
        </w:rPr>
        <w:t xml:space="preserve">1). </w:t>
      </w:r>
      <w:hyperlink r:id="rId22" w:history="1">
        <w:r w:rsidRPr="00C04EA2">
          <w:rPr>
            <w:rStyle w:val="Hyperlink"/>
            <w:rFonts w:ascii="Times New Roman" w:hAnsi="Times New Roman" w:cs="Times New Roman"/>
            <w:color w:val="auto"/>
            <w:sz w:val="24"/>
            <w:szCs w:val="24"/>
          </w:rPr>
          <w:t>https://doi.org/10.24042/febi.v2i1.945</w:t>
        </w:r>
      </w:hyperlink>
    </w:p>
    <w:p w14:paraId="28FFD2CF" w14:textId="77777777" w:rsidR="000B7941" w:rsidRPr="00C04EA2" w:rsidRDefault="000B7941" w:rsidP="005A30C7">
      <w:pPr>
        <w:spacing w:line="360" w:lineRule="auto"/>
        <w:ind w:left="720" w:hanging="720"/>
        <w:jc w:val="both"/>
        <w:rPr>
          <w:rFonts w:ascii="Times New Roman" w:hAnsi="Times New Roman" w:cs="Times New Roman"/>
          <w:sz w:val="24"/>
          <w:szCs w:val="24"/>
          <w:shd w:val="clear" w:color="auto" w:fill="FFFFFF"/>
        </w:rPr>
      </w:pPr>
      <w:r w:rsidRPr="00C04EA2">
        <w:rPr>
          <w:rFonts w:ascii="Times New Roman" w:hAnsi="Times New Roman" w:cs="Times New Roman"/>
          <w:sz w:val="24"/>
          <w:szCs w:val="24"/>
          <w:shd w:val="clear" w:color="auto" w:fill="FFFFFF"/>
        </w:rPr>
        <w:t>Yusof, N. A. M., &amp; Loong, L. C. (2020). Islamic Banking and Economic Growth in Malaysia: Evidence of a Causal Relationship Pre and Post Regulatory Reform. </w:t>
      </w:r>
      <w:r w:rsidRPr="005A30C7">
        <w:rPr>
          <w:rFonts w:ascii="Times New Roman" w:hAnsi="Times New Roman" w:cs="Times New Roman"/>
          <w:i/>
          <w:iCs/>
          <w:sz w:val="24"/>
          <w:szCs w:val="24"/>
          <w:shd w:val="clear" w:color="auto" w:fill="FFFFFF"/>
        </w:rPr>
        <w:t>Journal of Entrepreneurship and Business</w:t>
      </w:r>
      <w:r w:rsidRPr="005A30C7">
        <w:rPr>
          <w:rFonts w:ascii="Times New Roman" w:hAnsi="Times New Roman" w:cs="Times New Roman"/>
          <w:i/>
          <w:sz w:val="24"/>
          <w:szCs w:val="24"/>
          <w:shd w:val="clear" w:color="auto" w:fill="FFFFFF"/>
        </w:rPr>
        <w:t>, </w:t>
      </w:r>
      <w:r w:rsidRPr="005A30C7">
        <w:rPr>
          <w:rFonts w:ascii="Times New Roman" w:hAnsi="Times New Roman" w:cs="Times New Roman"/>
          <w:i/>
          <w:iCs/>
          <w:sz w:val="24"/>
          <w:szCs w:val="24"/>
          <w:shd w:val="clear" w:color="auto" w:fill="FFFFFF"/>
        </w:rPr>
        <w:t>8</w:t>
      </w:r>
      <w:r w:rsidRPr="00C04EA2">
        <w:rPr>
          <w:rFonts w:ascii="Times New Roman" w:hAnsi="Times New Roman" w:cs="Times New Roman"/>
          <w:sz w:val="24"/>
          <w:szCs w:val="24"/>
          <w:shd w:val="clear" w:color="auto" w:fill="FFFFFF"/>
        </w:rPr>
        <w:t>(1), 1-14.</w:t>
      </w:r>
    </w:p>
    <w:sectPr w:rsidR="000B7941" w:rsidRPr="00C04EA2" w:rsidSect="00A7788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03D7E" w14:textId="77777777" w:rsidR="008C2829" w:rsidRDefault="008C2829" w:rsidP="00A556AB">
      <w:pPr>
        <w:spacing w:after="0" w:line="240" w:lineRule="auto"/>
      </w:pPr>
      <w:r>
        <w:separator/>
      </w:r>
    </w:p>
  </w:endnote>
  <w:endnote w:type="continuationSeparator" w:id="0">
    <w:p w14:paraId="2D94FE0A" w14:textId="77777777" w:rsidR="008C2829" w:rsidRDefault="008C2829" w:rsidP="00A5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rinda">
    <w:altName w:val="Calibri"/>
    <w:panose1 w:val="000004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751D9" w14:textId="77777777" w:rsidR="008C2829" w:rsidRDefault="008C2829" w:rsidP="00A556AB">
      <w:pPr>
        <w:spacing w:after="0" w:line="240" w:lineRule="auto"/>
      </w:pPr>
      <w:r>
        <w:separator/>
      </w:r>
    </w:p>
  </w:footnote>
  <w:footnote w:type="continuationSeparator" w:id="0">
    <w:p w14:paraId="47BB2FEA" w14:textId="77777777" w:rsidR="008C2829" w:rsidRDefault="008C2829" w:rsidP="00A5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70C"/>
    <w:multiLevelType w:val="hybridMultilevel"/>
    <w:tmpl w:val="A01E17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ED293A"/>
    <w:multiLevelType w:val="hybridMultilevel"/>
    <w:tmpl w:val="16AE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45EC"/>
    <w:multiLevelType w:val="hybridMultilevel"/>
    <w:tmpl w:val="78C8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105377"/>
    <w:multiLevelType w:val="hybridMultilevel"/>
    <w:tmpl w:val="749E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FD4CFA"/>
    <w:multiLevelType w:val="hybridMultilevel"/>
    <w:tmpl w:val="91307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FF0"/>
    <w:rsid w:val="0001687A"/>
    <w:rsid w:val="000333A3"/>
    <w:rsid w:val="00051C2A"/>
    <w:rsid w:val="00053400"/>
    <w:rsid w:val="00062F11"/>
    <w:rsid w:val="00065B9C"/>
    <w:rsid w:val="00085520"/>
    <w:rsid w:val="0009680B"/>
    <w:rsid w:val="000A44CA"/>
    <w:rsid w:val="000A4A4F"/>
    <w:rsid w:val="000A6849"/>
    <w:rsid w:val="000B7941"/>
    <w:rsid w:val="000E1E69"/>
    <w:rsid w:val="000E7B95"/>
    <w:rsid w:val="000F398E"/>
    <w:rsid w:val="00106D06"/>
    <w:rsid w:val="001113C4"/>
    <w:rsid w:val="00111879"/>
    <w:rsid w:val="00111A0E"/>
    <w:rsid w:val="0011497A"/>
    <w:rsid w:val="001235A1"/>
    <w:rsid w:val="00127508"/>
    <w:rsid w:val="00153323"/>
    <w:rsid w:val="00162E92"/>
    <w:rsid w:val="00177407"/>
    <w:rsid w:val="001B0251"/>
    <w:rsid w:val="001C0AB4"/>
    <w:rsid w:val="001F3569"/>
    <w:rsid w:val="001F75D7"/>
    <w:rsid w:val="00227ADD"/>
    <w:rsid w:val="00241712"/>
    <w:rsid w:val="00250850"/>
    <w:rsid w:val="0025196F"/>
    <w:rsid w:val="002617E3"/>
    <w:rsid w:val="00277EFD"/>
    <w:rsid w:val="002908C2"/>
    <w:rsid w:val="00294F41"/>
    <w:rsid w:val="00297D43"/>
    <w:rsid w:val="002A70C5"/>
    <w:rsid w:val="002B5CC1"/>
    <w:rsid w:val="002B78E8"/>
    <w:rsid w:val="002D2E84"/>
    <w:rsid w:val="002F06CC"/>
    <w:rsid w:val="002F45B0"/>
    <w:rsid w:val="0030192A"/>
    <w:rsid w:val="00302B8A"/>
    <w:rsid w:val="00303710"/>
    <w:rsid w:val="00306C57"/>
    <w:rsid w:val="003200C3"/>
    <w:rsid w:val="00321453"/>
    <w:rsid w:val="00340B7F"/>
    <w:rsid w:val="00342CDE"/>
    <w:rsid w:val="0035104A"/>
    <w:rsid w:val="0035132E"/>
    <w:rsid w:val="00356A3A"/>
    <w:rsid w:val="00356B93"/>
    <w:rsid w:val="00356FF4"/>
    <w:rsid w:val="00371016"/>
    <w:rsid w:val="00371A39"/>
    <w:rsid w:val="003734E3"/>
    <w:rsid w:val="00390009"/>
    <w:rsid w:val="00390F4E"/>
    <w:rsid w:val="003930C5"/>
    <w:rsid w:val="003A384D"/>
    <w:rsid w:val="003B43A6"/>
    <w:rsid w:val="003D1BB0"/>
    <w:rsid w:val="003E2E95"/>
    <w:rsid w:val="003F2088"/>
    <w:rsid w:val="00401AEF"/>
    <w:rsid w:val="004121CB"/>
    <w:rsid w:val="00415154"/>
    <w:rsid w:val="0042098B"/>
    <w:rsid w:val="00452AE4"/>
    <w:rsid w:val="00460B48"/>
    <w:rsid w:val="00473B8F"/>
    <w:rsid w:val="00474E2B"/>
    <w:rsid w:val="00493478"/>
    <w:rsid w:val="004A1513"/>
    <w:rsid w:val="004B0584"/>
    <w:rsid w:val="004C1101"/>
    <w:rsid w:val="004C6F4E"/>
    <w:rsid w:val="004E6121"/>
    <w:rsid w:val="004E7F29"/>
    <w:rsid w:val="0053026B"/>
    <w:rsid w:val="00535656"/>
    <w:rsid w:val="00537182"/>
    <w:rsid w:val="00540022"/>
    <w:rsid w:val="00544AA8"/>
    <w:rsid w:val="00580DB7"/>
    <w:rsid w:val="0058635A"/>
    <w:rsid w:val="005A29AD"/>
    <w:rsid w:val="005A30C7"/>
    <w:rsid w:val="005A3758"/>
    <w:rsid w:val="005A477E"/>
    <w:rsid w:val="005A7F46"/>
    <w:rsid w:val="005C4B3C"/>
    <w:rsid w:val="005F67F3"/>
    <w:rsid w:val="00601166"/>
    <w:rsid w:val="006017C1"/>
    <w:rsid w:val="006061D5"/>
    <w:rsid w:val="0061429F"/>
    <w:rsid w:val="00616F11"/>
    <w:rsid w:val="006302F9"/>
    <w:rsid w:val="00636553"/>
    <w:rsid w:val="006443A1"/>
    <w:rsid w:val="00662FCB"/>
    <w:rsid w:val="006755BC"/>
    <w:rsid w:val="00677BE3"/>
    <w:rsid w:val="006836BC"/>
    <w:rsid w:val="006964C4"/>
    <w:rsid w:val="006B12FE"/>
    <w:rsid w:val="006B1E9D"/>
    <w:rsid w:val="006B2E8F"/>
    <w:rsid w:val="006B361E"/>
    <w:rsid w:val="006C4D98"/>
    <w:rsid w:val="006C7D76"/>
    <w:rsid w:val="006D6D79"/>
    <w:rsid w:val="006F7DB2"/>
    <w:rsid w:val="00707A6E"/>
    <w:rsid w:val="00716A65"/>
    <w:rsid w:val="00720000"/>
    <w:rsid w:val="007216F2"/>
    <w:rsid w:val="007217C5"/>
    <w:rsid w:val="00733C33"/>
    <w:rsid w:val="007363C8"/>
    <w:rsid w:val="00746BBC"/>
    <w:rsid w:val="007533FC"/>
    <w:rsid w:val="0076558D"/>
    <w:rsid w:val="00765F98"/>
    <w:rsid w:val="00773EF0"/>
    <w:rsid w:val="00776FA4"/>
    <w:rsid w:val="00783C8C"/>
    <w:rsid w:val="00783D69"/>
    <w:rsid w:val="0078674A"/>
    <w:rsid w:val="00796CF5"/>
    <w:rsid w:val="007A1944"/>
    <w:rsid w:val="007A381C"/>
    <w:rsid w:val="007D5371"/>
    <w:rsid w:val="007D7929"/>
    <w:rsid w:val="007D79F5"/>
    <w:rsid w:val="007E2021"/>
    <w:rsid w:val="00803C38"/>
    <w:rsid w:val="00813015"/>
    <w:rsid w:val="008273F0"/>
    <w:rsid w:val="008301FE"/>
    <w:rsid w:val="0083271C"/>
    <w:rsid w:val="00833107"/>
    <w:rsid w:val="00835DD0"/>
    <w:rsid w:val="0084339E"/>
    <w:rsid w:val="008607F6"/>
    <w:rsid w:val="00860D32"/>
    <w:rsid w:val="00862BE3"/>
    <w:rsid w:val="008810B3"/>
    <w:rsid w:val="00895E99"/>
    <w:rsid w:val="008B443E"/>
    <w:rsid w:val="008C2435"/>
    <w:rsid w:val="008C2829"/>
    <w:rsid w:val="008D0582"/>
    <w:rsid w:val="008D358A"/>
    <w:rsid w:val="008E2F1A"/>
    <w:rsid w:val="008E37C9"/>
    <w:rsid w:val="008E45A9"/>
    <w:rsid w:val="008F3F69"/>
    <w:rsid w:val="008F7A89"/>
    <w:rsid w:val="009037A8"/>
    <w:rsid w:val="00912FC5"/>
    <w:rsid w:val="00920298"/>
    <w:rsid w:val="009231F9"/>
    <w:rsid w:val="00925F2B"/>
    <w:rsid w:val="00932F22"/>
    <w:rsid w:val="00934BB6"/>
    <w:rsid w:val="00935E18"/>
    <w:rsid w:val="00941DDB"/>
    <w:rsid w:val="009548F6"/>
    <w:rsid w:val="00956FBC"/>
    <w:rsid w:val="00964DFB"/>
    <w:rsid w:val="00983E54"/>
    <w:rsid w:val="0098531E"/>
    <w:rsid w:val="009921FF"/>
    <w:rsid w:val="00992EC4"/>
    <w:rsid w:val="00997034"/>
    <w:rsid w:val="009A31C1"/>
    <w:rsid w:val="009B105C"/>
    <w:rsid w:val="009B320A"/>
    <w:rsid w:val="009B7364"/>
    <w:rsid w:val="009E2659"/>
    <w:rsid w:val="009E7607"/>
    <w:rsid w:val="009F1A1B"/>
    <w:rsid w:val="00A126AD"/>
    <w:rsid w:val="00A228F8"/>
    <w:rsid w:val="00A24304"/>
    <w:rsid w:val="00A322E1"/>
    <w:rsid w:val="00A35617"/>
    <w:rsid w:val="00A5012A"/>
    <w:rsid w:val="00A556AB"/>
    <w:rsid w:val="00A63298"/>
    <w:rsid w:val="00A74463"/>
    <w:rsid w:val="00A7788F"/>
    <w:rsid w:val="00A8163B"/>
    <w:rsid w:val="00AA7A27"/>
    <w:rsid w:val="00AB0204"/>
    <w:rsid w:val="00AB6B94"/>
    <w:rsid w:val="00AC6C23"/>
    <w:rsid w:val="00AD017C"/>
    <w:rsid w:val="00AD4406"/>
    <w:rsid w:val="00AF04F5"/>
    <w:rsid w:val="00B06969"/>
    <w:rsid w:val="00B500FE"/>
    <w:rsid w:val="00B51579"/>
    <w:rsid w:val="00B52BC8"/>
    <w:rsid w:val="00B544A7"/>
    <w:rsid w:val="00B600E4"/>
    <w:rsid w:val="00B83670"/>
    <w:rsid w:val="00B97A82"/>
    <w:rsid w:val="00BA5D7E"/>
    <w:rsid w:val="00BB4C2D"/>
    <w:rsid w:val="00BD7CCE"/>
    <w:rsid w:val="00C0445D"/>
    <w:rsid w:val="00C04EA2"/>
    <w:rsid w:val="00C13267"/>
    <w:rsid w:val="00C21D99"/>
    <w:rsid w:val="00C24572"/>
    <w:rsid w:val="00C27D0E"/>
    <w:rsid w:val="00C3133D"/>
    <w:rsid w:val="00C3612D"/>
    <w:rsid w:val="00C51996"/>
    <w:rsid w:val="00C53C63"/>
    <w:rsid w:val="00C53E4E"/>
    <w:rsid w:val="00C54ECF"/>
    <w:rsid w:val="00C55570"/>
    <w:rsid w:val="00C82735"/>
    <w:rsid w:val="00CA359B"/>
    <w:rsid w:val="00CE0AA6"/>
    <w:rsid w:val="00CE2140"/>
    <w:rsid w:val="00CF4161"/>
    <w:rsid w:val="00D01152"/>
    <w:rsid w:val="00D064BA"/>
    <w:rsid w:val="00D3340F"/>
    <w:rsid w:val="00D41052"/>
    <w:rsid w:val="00D63792"/>
    <w:rsid w:val="00D90551"/>
    <w:rsid w:val="00D922EA"/>
    <w:rsid w:val="00DA345C"/>
    <w:rsid w:val="00DB045B"/>
    <w:rsid w:val="00DC18CA"/>
    <w:rsid w:val="00DE4AD8"/>
    <w:rsid w:val="00DF6416"/>
    <w:rsid w:val="00E06D87"/>
    <w:rsid w:val="00E07292"/>
    <w:rsid w:val="00E40ADA"/>
    <w:rsid w:val="00E40AE5"/>
    <w:rsid w:val="00E46F45"/>
    <w:rsid w:val="00E52DCA"/>
    <w:rsid w:val="00E5319F"/>
    <w:rsid w:val="00E53C1A"/>
    <w:rsid w:val="00E85E9C"/>
    <w:rsid w:val="00E94829"/>
    <w:rsid w:val="00EA360E"/>
    <w:rsid w:val="00EC1774"/>
    <w:rsid w:val="00EE2D91"/>
    <w:rsid w:val="00EE3326"/>
    <w:rsid w:val="00EF053B"/>
    <w:rsid w:val="00EF3E88"/>
    <w:rsid w:val="00EF4DB7"/>
    <w:rsid w:val="00EF7162"/>
    <w:rsid w:val="00F001A1"/>
    <w:rsid w:val="00F07FF0"/>
    <w:rsid w:val="00F10146"/>
    <w:rsid w:val="00F14DB3"/>
    <w:rsid w:val="00F31C27"/>
    <w:rsid w:val="00F33F8A"/>
    <w:rsid w:val="00F40A26"/>
    <w:rsid w:val="00F52303"/>
    <w:rsid w:val="00F6229E"/>
    <w:rsid w:val="00F73E2A"/>
    <w:rsid w:val="00F76ED8"/>
    <w:rsid w:val="00F92E07"/>
    <w:rsid w:val="00FB5129"/>
    <w:rsid w:val="00FB6B2D"/>
    <w:rsid w:val="00FD460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A6EA8"/>
  <w15:chartTrackingRefBased/>
  <w15:docId w15:val="{81C87D80-55D2-4FB8-A289-B96B46A7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7A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7A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AE5"/>
    <w:pPr>
      <w:ind w:left="720"/>
      <w:contextualSpacing/>
    </w:pPr>
  </w:style>
  <w:style w:type="paragraph" w:styleId="FootnoteText">
    <w:name w:val="footnote text"/>
    <w:basedOn w:val="Normal"/>
    <w:link w:val="FootnoteTextChar"/>
    <w:uiPriority w:val="99"/>
    <w:semiHidden/>
    <w:unhideWhenUsed/>
    <w:rsid w:val="00A556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56AB"/>
    <w:rPr>
      <w:sz w:val="20"/>
      <w:szCs w:val="20"/>
    </w:rPr>
  </w:style>
  <w:style w:type="character" w:styleId="FootnoteReference">
    <w:name w:val="footnote reference"/>
    <w:basedOn w:val="DefaultParagraphFont"/>
    <w:uiPriority w:val="99"/>
    <w:semiHidden/>
    <w:unhideWhenUsed/>
    <w:rsid w:val="00A556AB"/>
    <w:rPr>
      <w:vertAlign w:val="superscript"/>
    </w:rPr>
  </w:style>
  <w:style w:type="character" w:styleId="Hyperlink">
    <w:name w:val="Hyperlink"/>
    <w:basedOn w:val="DefaultParagraphFont"/>
    <w:uiPriority w:val="99"/>
    <w:unhideWhenUsed/>
    <w:rsid w:val="00A556AB"/>
    <w:rPr>
      <w:color w:val="0563C1" w:themeColor="hyperlink"/>
      <w:u w:val="single"/>
    </w:rPr>
  </w:style>
  <w:style w:type="paragraph" w:styleId="Header">
    <w:name w:val="header"/>
    <w:basedOn w:val="Normal"/>
    <w:link w:val="HeaderChar"/>
    <w:uiPriority w:val="99"/>
    <w:unhideWhenUsed/>
    <w:rsid w:val="0035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A3A"/>
  </w:style>
  <w:style w:type="paragraph" w:styleId="Footer">
    <w:name w:val="footer"/>
    <w:basedOn w:val="Normal"/>
    <w:link w:val="FooterChar"/>
    <w:uiPriority w:val="99"/>
    <w:unhideWhenUsed/>
    <w:rsid w:val="0035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A3A"/>
  </w:style>
  <w:style w:type="table" w:styleId="TableGrid">
    <w:name w:val="Table Grid"/>
    <w:basedOn w:val="TableNormal"/>
    <w:uiPriority w:val="39"/>
    <w:rsid w:val="00992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2">
    <w:name w:val="Table Subtle 2"/>
    <w:basedOn w:val="TableNormal"/>
    <w:uiPriority w:val="99"/>
    <w:rsid w:val="00992EC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ainTable3">
    <w:name w:val="Plain Table 3"/>
    <w:basedOn w:val="TableNormal"/>
    <w:uiPriority w:val="43"/>
    <w:rsid w:val="00C21D9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C21D9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C21D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3710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F73E2A"/>
    <w:rPr>
      <w:color w:val="605E5C"/>
      <w:shd w:val="clear" w:color="auto" w:fill="E1DFDD"/>
    </w:rPr>
  </w:style>
  <w:style w:type="character" w:customStyle="1" w:styleId="fontstyle01">
    <w:name w:val="fontstyle01"/>
    <w:basedOn w:val="DefaultParagraphFont"/>
    <w:rsid w:val="005C4B3C"/>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5C4B3C"/>
    <w:rPr>
      <w:rFonts w:ascii="TimesNewRomanPS-ItalicMT" w:hAnsi="TimesNewRomanPS-ItalicMT" w:hint="default"/>
      <w:b w:val="0"/>
      <w:bCs w:val="0"/>
      <w:i/>
      <w:iCs/>
      <w:color w:val="000000"/>
      <w:sz w:val="24"/>
      <w:szCs w:val="24"/>
    </w:rPr>
  </w:style>
  <w:style w:type="character" w:styleId="FollowedHyperlink">
    <w:name w:val="FollowedHyperlink"/>
    <w:basedOn w:val="DefaultParagraphFont"/>
    <w:uiPriority w:val="99"/>
    <w:semiHidden/>
    <w:unhideWhenUsed/>
    <w:rsid w:val="007216F2"/>
    <w:rPr>
      <w:color w:val="954F72" w:themeColor="followedHyperlink"/>
      <w:u w:val="single"/>
    </w:rPr>
  </w:style>
  <w:style w:type="character" w:styleId="UnresolvedMention">
    <w:name w:val="Unresolved Mention"/>
    <w:basedOn w:val="DefaultParagraphFont"/>
    <w:uiPriority w:val="99"/>
    <w:semiHidden/>
    <w:unhideWhenUsed/>
    <w:rsid w:val="007216F2"/>
    <w:rPr>
      <w:color w:val="605E5C"/>
      <w:shd w:val="clear" w:color="auto" w:fill="E1DFDD"/>
    </w:rPr>
  </w:style>
  <w:style w:type="paragraph" w:styleId="NoSpacing">
    <w:name w:val="No Spacing"/>
    <w:uiPriority w:val="1"/>
    <w:qFormat/>
    <w:rsid w:val="00B97A82"/>
    <w:pPr>
      <w:spacing w:after="0" w:line="240" w:lineRule="auto"/>
    </w:pPr>
  </w:style>
  <w:style w:type="character" w:customStyle="1" w:styleId="Heading1Char">
    <w:name w:val="Heading 1 Char"/>
    <w:basedOn w:val="DefaultParagraphFont"/>
    <w:link w:val="Heading1"/>
    <w:uiPriority w:val="9"/>
    <w:rsid w:val="00B97A8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97A8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271937">
      <w:bodyDiv w:val="1"/>
      <w:marLeft w:val="0"/>
      <w:marRight w:val="0"/>
      <w:marTop w:val="0"/>
      <w:marBottom w:val="0"/>
      <w:divBdr>
        <w:top w:val="none" w:sz="0" w:space="0" w:color="auto"/>
        <w:left w:val="none" w:sz="0" w:space="0" w:color="auto"/>
        <w:bottom w:val="none" w:sz="0" w:space="0" w:color="auto"/>
        <w:right w:val="none" w:sz="0" w:space="0" w:color="auto"/>
      </w:divBdr>
      <w:divsChild>
        <w:div w:id="1090080692">
          <w:marLeft w:val="480"/>
          <w:marRight w:val="0"/>
          <w:marTop w:val="0"/>
          <w:marBottom w:val="0"/>
          <w:divBdr>
            <w:top w:val="none" w:sz="0" w:space="0" w:color="auto"/>
            <w:left w:val="none" w:sz="0" w:space="0" w:color="auto"/>
            <w:bottom w:val="none" w:sz="0" w:space="0" w:color="auto"/>
            <w:right w:val="none" w:sz="0" w:space="0" w:color="auto"/>
          </w:divBdr>
          <w:divsChild>
            <w:div w:id="6061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4126">
      <w:bodyDiv w:val="1"/>
      <w:marLeft w:val="0"/>
      <w:marRight w:val="0"/>
      <w:marTop w:val="0"/>
      <w:marBottom w:val="0"/>
      <w:divBdr>
        <w:top w:val="none" w:sz="0" w:space="0" w:color="auto"/>
        <w:left w:val="none" w:sz="0" w:space="0" w:color="auto"/>
        <w:bottom w:val="none" w:sz="0" w:space="0" w:color="auto"/>
        <w:right w:val="none" w:sz="0" w:space="0" w:color="auto"/>
      </w:divBdr>
      <w:divsChild>
        <w:div w:id="229192803">
          <w:marLeft w:val="480"/>
          <w:marRight w:val="0"/>
          <w:marTop w:val="0"/>
          <w:marBottom w:val="0"/>
          <w:divBdr>
            <w:top w:val="none" w:sz="0" w:space="0" w:color="auto"/>
            <w:left w:val="none" w:sz="0" w:space="0" w:color="auto"/>
            <w:bottom w:val="none" w:sz="0" w:space="0" w:color="auto"/>
            <w:right w:val="none" w:sz="0" w:space="0" w:color="auto"/>
          </w:divBdr>
          <w:divsChild>
            <w:div w:id="188235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8288">
      <w:bodyDiv w:val="1"/>
      <w:marLeft w:val="0"/>
      <w:marRight w:val="0"/>
      <w:marTop w:val="0"/>
      <w:marBottom w:val="0"/>
      <w:divBdr>
        <w:top w:val="none" w:sz="0" w:space="0" w:color="auto"/>
        <w:left w:val="none" w:sz="0" w:space="0" w:color="auto"/>
        <w:bottom w:val="none" w:sz="0" w:space="0" w:color="auto"/>
        <w:right w:val="none" w:sz="0" w:space="0" w:color="auto"/>
      </w:divBdr>
      <w:divsChild>
        <w:div w:id="281815038">
          <w:marLeft w:val="480"/>
          <w:marRight w:val="0"/>
          <w:marTop w:val="0"/>
          <w:marBottom w:val="0"/>
          <w:divBdr>
            <w:top w:val="none" w:sz="0" w:space="0" w:color="auto"/>
            <w:left w:val="none" w:sz="0" w:space="0" w:color="auto"/>
            <w:bottom w:val="none" w:sz="0" w:space="0" w:color="auto"/>
            <w:right w:val="none" w:sz="0" w:space="0" w:color="auto"/>
          </w:divBdr>
          <w:divsChild>
            <w:div w:id="447550415">
              <w:marLeft w:val="0"/>
              <w:marRight w:val="0"/>
              <w:marTop w:val="0"/>
              <w:marBottom w:val="0"/>
              <w:divBdr>
                <w:top w:val="none" w:sz="0" w:space="0" w:color="auto"/>
                <w:left w:val="none" w:sz="0" w:space="0" w:color="auto"/>
                <w:bottom w:val="none" w:sz="0" w:space="0" w:color="auto"/>
                <w:right w:val="none" w:sz="0" w:space="0" w:color="auto"/>
              </w:divBdr>
            </w:div>
            <w:div w:id="1760104177">
              <w:marLeft w:val="0"/>
              <w:marRight w:val="0"/>
              <w:marTop w:val="0"/>
              <w:marBottom w:val="0"/>
              <w:divBdr>
                <w:top w:val="none" w:sz="0" w:space="0" w:color="auto"/>
                <w:left w:val="none" w:sz="0" w:space="0" w:color="auto"/>
                <w:bottom w:val="none" w:sz="0" w:space="0" w:color="auto"/>
                <w:right w:val="none" w:sz="0" w:space="0" w:color="auto"/>
              </w:divBdr>
            </w:div>
            <w:div w:id="905536261">
              <w:marLeft w:val="0"/>
              <w:marRight w:val="0"/>
              <w:marTop w:val="0"/>
              <w:marBottom w:val="0"/>
              <w:divBdr>
                <w:top w:val="none" w:sz="0" w:space="0" w:color="auto"/>
                <w:left w:val="none" w:sz="0" w:space="0" w:color="auto"/>
                <w:bottom w:val="none" w:sz="0" w:space="0" w:color="auto"/>
                <w:right w:val="none" w:sz="0" w:space="0" w:color="auto"/>
              </w:divBdr>
            </w:div>
            <w:div w:id="1493057831">
              <w:marLeft w:val="0"/>
              <w:marRight w:val="0"/>
              <w:marTop w:val="0"/>
              <w:marBottom w:val="0"/>
              <w:divBdr>
                <w:top w:val="none" w:sz="0" w:space="0" w:color="auto"/>
                <w:left w:val="none" w:sz="0" w:space="0" w:color="auto"/>
                <w:bottom w:val="none" w:sz="0" w:space="0" w:color="auto"/>
                <w:right w:val="none" w:sz="0" w:space="0" w:color="auto"/>
              </w:divBdr>
            </w:div>
            <w:div w:id="549074002">
              <w:marLeft w:val="0"/>
              <w:marRight w:val="0"/>
              <w:marTop w:val="0"/>
              <w:marBottom w:val="0"/>
              <w:divBdr>
                <w:top w:val="none" w:sz="0" w:space="0" w:color="auto"/>
                <w:left w:val="none" w:sz="0" w:space="0" w:color="auto"/>
                <w:bottom w:val="none" w:sz="0" w:space="0" w:color="auto"/>
                <w:right w:val="none" w:sz="0" w:space="0" w:color="auto"/>
              </w:divBdr>
            </w:div>
            <w:div w:id="916599814">
              <w:marLeft w:val="0"/>
              <w:marRight w:val="0"/>
              <w:marTop w:val="0"/>
              <w:marBottom w:val="0"/>
              <w:divBdr>
                <w:top w:val="none" w:sz="0" w:space="0" w:color="auto"/>
                <w:left w:val="none" w:sz="0" w:space="0" w:color="auto"/>
                <w:bottom w:val="none" w:sz="0" w:space="0" w:color="auto"/>
                <w:right w:val="none" w:sz="0" w:space="0" w:color="auto"/>
              </w:divBdr>
            </w:div>
            <w:div w:id="1702826829">
              <w:marLeft w:val="0"/>
              <w:marRight w:val="0"/>
              <w:marTop w:val="0"/>
              <w:marBottom w:val="0"/>
              <w:divBdr>
                <w:top w:val="none" w:sz="0" w:space="0" w:color="auto"/>
                <w:left w:val="none" w:sz="0" w:space="0" w:color="auto"/>
                <w:bottom w:val="none" w:sz="0" w:space="0" w:color="auto"/>
                <w:right w:val="none" w:sz="0" w:space="0" w:color="auto"/>
              </w:divBdr>
            </w:div>
            <w:div w:id="221448208">
              <w:marLeft w:val="0"/>
              <w:marRight w:val="0"/>
              <w:marTop w:val="0"/>
              <w:marBottom w:val="0"/>
              <w:divBdr>
                <w:top w:val="none" w:sz="0" w:space="0" w:color="auto"/>
                <w:left w:val="none" w:sz="0" w:space="0" w:color="auto"/>
                <w:bottom w:val="none" w:sz="0" w:space="0" w:color="auto"/>
                <w:right w:val="none" w:sz="0" w:space="0" w:color="auto"/>
              </w:divBdr>
            </w:div>
            <w:div w:id="1609048680">
              <w:marLeft w:val="0"/>
              <w:marRight w:val="0"/>
              <w:marTop w:val="0"/>
              <w:marBottom w:val="0"/>
              <w:divBdr>
                <w:top w:val="none" w:sz="0" w:space="0" w:color="auto"/>
                <w:left w:val="none" w:sz="0" w:space="0" w:color="auto"/>
                <w:bottom w:val="none" w:sz="0" w:space="0" w:color="auto"/>
                <w:right w:val="none" w:sz="0" w:space="0" w:color="auto"/>
              </w:divBdr>
            </w:div>
            <w:div w:id="2047557093">
              <w:marLeft w:val="0"/>
              <w:marRight w:val="0"/>
              <w:marTop w:val="0"/>
              <w:marBottom w:val="0"/>
              <w:divBdr>
                <w:top w:val="none" w:sz="0" w:space="0" w:color="auto"/>
                <w:left w:val="none" w:sz="0" w:space="0" w:color="auto"/>
                <w:bottom w:val="none" w:sz="0" w:space="0" w:color="auto"/>
                <w:right w:val="none" w:sz="0" w:space="0" w:color="auto"/>
              </w:divBdr>
            </w:div>
            <w:div w:id="284310764">
              <w:marLeft w:val="0"/>
              <w:marRight w:val="0"/>
              <w:marTop w:val="0"/>
              <w:marBottom w:val="0"/>
              <w:divBdr>
                <w:top w:val="none" w:sz="0" w:space="0" w:color="auto"/>
                <w:left w:val="none" w:sz="0" w:space="0" w:color="auto"/>
                <w:bottom w:val="none" w:sz="0" w:space="0" w:color="auto"/>
                <w:right w:val="none" w:sz="0" w:space="0" w:color="auto"/>
              </w:divBdr>
            </w:div>
            <w:div w:id="1205361731">
              <w:marLeft w:val="0"/>
              <w:marRight w:val="0"/>
              <w:marTop w:val="0"/>
              <w:marBottom w:val="0"/>
              <w:divBdr>
                <w:top w:val="none" w:sz="0" w:space="0" w:color="auto"/>
                <w:left w:val="none" w:sz="0" w:space="0" w:color="auto"/>
                <w:bottom w:val="none" w:sz="0" w:space="0" w:color="auto"/>
                <w:right w:val="none" w:sz="0" w:space="0" w:color="auto"/>
              </w:divBdr>
            </w:div>
            <w:div w:id="510796291">
              <w:marLeft w:val="0"/>
              <w:marRight w:val="0"/>
              <w:marTop w:val="0"/>
              <w:marBottom w:val="0"/>
              <w:divBdr>
                <w:top w:val="none" w:sz="0" w:space="0" w:color="auto"/>
                <w:left w:val="none" w:sz="0" w:space="0" w:color="auto"/>
                <w:bottom w:val="none" w:sz="0" w:space="0" w:color="auto"/>
                <w:right w:val="none" w:sz="0" w:space="0" w:color="auto"/>
              </w:divBdr>
            </w:div>
            <w:div w:id="1629360367">
              <w:marLeft w:val="0"/>
              <w:marRight w:val="0"/>
              <w:marTop w:val="0"/>
              <w:marBottom w:val="0"/>
              <w:divBdr>
                <w:top w:val="none" w:sz="0" w:space="0" w:color="auto"/>
                <w:left w:val="none" w:sz="0" w:space="0" w:color="auto"/>
                <w:bottom w:val="none" w:sz="0" w:space="0" w:color="auto"/>
                <w:right w:val="none" w:sz="0" w:space="0" w:color="auto"/>
              </w:divBdr>
            </w:div>
            <w:div w:id="10647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52424">
      <w:bodyDiv w:val="1"/>
      <w:marLeft w:val="0"/>
      <w:marRight w:val="0"/>
      <w:marTop w:val="0"/>
      <w:marBottom w:val="0"/>
      <w:divBdr>
        <w:top w:val="none" w:sz="0" w:space="0" w:color="auto"/>
        <w:left w:val="none" w:sz="0" w:space="0" w:color="auto"/>
        <w:bottom w:val="none" w:sz="0" w:space="0" w:color="auto"/>
        <w:right w:val="none" w:sz="0" w:space="0" w:color="auto"/>
      </w:divBdr>
    </w:div>
    <w:div w:id="1531331888">
      <w:bodyDiv w:val="1"/>
      <w:marLeft w:val="0"/>
      <w:marRight w:val="0"/>
      <w:marTop w:val="0"/>
      <w:marBottom w:val="0"/>
      <w:divBdr>
        <w:top w:val="none" w:sz="0" w:space="0" w:color="auto"/>
        <w:left w:val="none" w:sz="0" w:space="0" w:color="auto"/>
        <w:bottom w:val="none" w:sz="0" w:space="0" w:color="auto"/>
        <w:right w:val="none" w:sz="0" w:space="0" w:color="auto"/>
      </w:divBdr>
      <w:divsChild>
        <w:div w:id="1951352235">
          <w:marLeft w:val="480"/>
          <w:marRight w:val="0"/>
          <w:marTop w:val="0"/>
          <w:marBottom w:val="0"/>
          <w:divBdr>
            <w:top w:val="none" w:sz="0" w:space="0" w:color="auto"/>
            <w:left w:val="none" w:sz="0" w:space="0" w:color="auto"/>
            <w:bottom w:val="none" w:sz="0" w:space="0" w:color="auto"/>
            <w:right w:val="none" w:sz="0" w:space="0" w:color="auto"/>
          </w:divBdr>
          <w:divsChild>
            <w:div w:id="206775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48943">
      <w:bodyDiv w:val="1"/>
      <w:marLeft w:val="0"/>
      <w:marRight w:val="0"/>
      <w:marTop w:val="0"/>
      <w:marBottom w:val="0"/>
      <w:divBdr>
        <w:top w:val="none" w:sz="0" w:space="0" w:color="auto"/>
        <w:left w:val="none" w:sz="0" w:space="0" w:color="auto"/>
        <w:bottom w:val="none" w:sz="0" w:space="0" w:color="auto"/>
        <w:right w:val="none" w:sz="0" w:space="0" w:color="auto"/>
      </w:divBdr>
    </w:div>
    <w:div w:id="1742950172">
      <w:bodyDiv w:val="1"/>
      <w:marLeft w:val="0"/>
      <w:marRight w:val="0"/>
      <w:marTop w:val="0"/>
      <w:marBottom w:val="0"/>
      <w:divBdr>
        <w:top w:val="none" w:sz="0" w:space="0" w:color="auto"/>
        <w:left w:val="none" w:sz="0" w:space="0" w:color="auto"/>
        <w:bottom w:val="none" w:sz="0" w:space="0" w:color="auto"/>
        <w:right w:val="none" w:sz="0" w:space="0" w:color="auto"/>
      </w:divBdr>
      <w:divsChild>
        <w:div w:id="118645292">
          <w:marLeft w:val="480"/>
          <w:marRight w:val="0"/>
          <w:marTop w:val="0"/>
          <w:marBottom w:val="0"/>
          <w:divBdr>
            <w:top w:val="none" w:sz="0" w:space="0" w:color="auto"/>
            <w:left w:val="none" w:sz="0" w:space="0" w:color="auto"/>
            <w:bottom w:val="none" w:sz="0" w:space="0" w:color="auto"/>
            <w:right w:val="none" w:sz="0" w:space="0" w:color="auto"/>
          </w:divBdr>
          <w:divsChild>
            <w:div w:id="1725638940">
              <w:marLeft w:val="0"/>
              <w:marRight w:val="0"/>
              <w:marTop w:val="0"/>
              <w:marBottom w:val="0"/>
              <w:divBdr>
                <w:top w:val="none" w:sz="0" w:space="0" w:color="auto"/>
                <w:left w:val="none" w:sz="0" w:space="0" w:color="auto"/>
                <w:bottom w:val="none" w:sz="0" w:space="0" w:color="auto"/>
                <w:right w:val="none" w:sz="0" w:space="0" w:color="auto"/>
              </w:divBdr>
            </w:div>
            <w:div w:id="568883223">
              <w:marLeft w:val="0"/>
              <w:marRight w:val="0"/>
              <w:marTop w:val="0"/>
              <w:marBottom w:val="0"/>
              <w:divBdr>
                <w:top w:val="none" w:sz="0" w:space="0" w:color="auto"/>
                <w:left w:val="none" w:sz="0" w:space="0" w:color="auto"/>
                <w:bottom w:val="none" w:sz="0" w:space="0" w:color="auto"/>
                <w:right w:val="none" w:sz="0" w:space="0" w:color="auto"/>
              </w:divBdr>
            </w:div>
            <w:div w:id="1011374322">
              <w:marLeft w:val="0"/>
              <w:marRight w:val="0"/>
              <w:marTop w:val="0"/>
              <w:marBottom w:val="0"/>
              <w:divBdr>
                <w:top w:val="none" w:sz="0" w:space="0" w:color="auto"/>
                <w:left w:val="none" w:sz="0" w:space="0" w:color="auto"/>
                <w:bottom w:val="none" w:sz="0" w:space="0" w:color="auto"/>
                <w:right w:val="none" w:sz="0" w:space="0" w:color="auto"/>
              </w:divBdr>
            </w:div>
            <w:div w:id="1392538022">
              <w:marLeft w:val="0"/>
              <w:marRight w:val="0"/>
              <w:marTop w:val="0"/>
              <w:marBottom w:val="0"/>
              <w:divBdr>
                <w:top w:val="none" w:sz="0" w:space="0" w:color="auto"/>
                <w:left w:val="none" w:sz="0" w:space="0" w:color="auto"/>
                <w:bottom w:val="none" w:sz="0" w:space="0" w:color="auto"/>
                <w:right w:val="none" w:sz="0" w:space="0" w:color="auto"/>
              </w:divBdr>
            </w:div>
            <w:div w:id="1283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s://doi.org/10.1016/j.econmod.2015.02.012" TargetMode="External"/><Relationship Id="rId3" Type="http://schemas.openxmlformats.org/officeDocument/2006/relationships/styles" Target="styles.xml"/><Relationship Id="rId21" Type="http://schemas.openxmlformats.org/officeDocument/2006/relationships/hyperlink" Target="https://doi.org/10.18657/yecbu.89247"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s://doi.org/10.1016/j.bir.2017.11.004" TargetMode="External"/><Relationship Id="rId2" Type="http://schemas.openxmlformats.org/officeDocument/2006/relationships/numbering" Target="numbering.xml"/><Relationship Id="rId16" Type="http://schemas.openxmlformats.org/officeDocument/2006/relationships/hyperlink" Target="https://doi.org/10.18488/journal.aefr.2018.811.1354.1364" TargetMode="External"/><Relationship Id="rId20" Type="http://schemas.openxmlformats.org/officeDocument/2006/relationships/hyperlink" Target="https://doi.org/10.1016/j.gfj.2015.11.0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jebo.2016.03.005" TargetMode="External"/><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doi.org/10.1108/IMEFM-07-2014-0063"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doi.org/10.1108/17538391211216811" TargetMode="External"/><Relationship Id="rId22" Type="http://schemas.openxmlformats.org/officeDocument/2006/relationships/hyperlink" Target="https://doi.org/10.24042/febi.v2i1.9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668D6-7019-4976-A5B2-8730BDCAE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5427</Words>
  <Characters>30829</Characters>
  <Application>Microsoft Office Word</Application>
  <DocSecurity>0</DocSecurity>
  <Lines>906</Lines>
  <Paragraphs>464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munnifarzana19@gmail.com</dc:creator>
  <cp:keywords/>
  <dc:description/>
  <cp:lastModifiedBy>munnifarzana19@gmail.com</cp:lastModifiedBy>
  <cp:revision>2</cp:revision>
  <cp:lastPrinted>2022-07-15T14:11:00Z</cp:lastPrinted>
  <dcterms:created xsi:type="dcterms:W3CDTF">2024-08-18T08:12:00Z</dcterms:created>
  <dcterms:modified xsi:type="dcterms:W3CDTF">2024-08-18T08:12:00Z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zotero-version="6.0.10"&gt;&lt;session id="TiZTFkPh"/&gt;&lt;style id="http://www.zotero.org/styles/apa" locale="en-US" hasBibliography="1" bibliographyStyleHasBeenSet="0"/&gt;&lt;prefs&gt;&lt;pref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GrammarlyDocumentId">
    <vt:lpwstr>3274d2c01abe5731bdb7b05bb4c9bfe2ab0f5afe7f34d4c4ba1f59884589ba52</vt:lpwstr>
  </property>
</Properties>
</file>