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A4CD6" w:rsidRPr="00CA4CD6" w:rsidRDefault="00CA4CD6" w:rsidP="00CA4CD6">
      <w:pPr>
        <w:spacing w:after="0" w:line="240" w:lineRule="auto"/>
        <w:jc w:val="center"/>
        <w:rPr>
          <w:rFonts w:ascii="Times New Roman" w:eastAsia="Calibri" w:hAnsi="Times New Roman" w:cs="Times New Roman"/>
          <w:b/>
          <w:sz w:val="28"/>
          <w:szCs w:val="28"/>
        </w:rPr>
      </w:pPr>
      <w:r w:rsidRPr="00CA4CD6">
        <w:rPr>
          <w:rFonts w:ascii="Times New Roman" w:eastAsia="Calibri" w:hAnsi="Times New Roman" w:cs="Times New Roman"/>
          <w:b/>
          <w:sz w:val="28"/>
          <w:szCs w:val="28"/>
        </w:rPr>
        <w:t>The Economic Contributions of the USA to Bangladesh: An Evaluation of Bilateral Relations Over 50 Years</w:t>
      </w:r>
    </w:p>
    <w:p w:rsidR="006D52B2" w:rsidRDefault="006D52B2" w:rsidP="006D52B2">
      <w:pPr>
        <w:spacing w:line="360" w:lineRule="auto"/>
        <w:jc w:val="both"/>
        <w:rPr>
          <w:rFonts w:ascii="Times New Roman" w:eastAsia="Calibri" w:hAnsi="Times New Roman" w:cs="Times New Roman"/>
          <w:b/>
          <w:bCs/>
          <w:sz w:val="24"/>
          <w:szCs w:val="24"/>
        </w:rPr>
      </w:pPr>
    </w:p>
    <w:p w:rsidR="006D52B2" w:rsidRPr="00E0172C" w:rsidRDefault="006D52B2" w:rsidP="006D52B2">
      <w:pPr>
        <w:spacing w:line="360" w:lineRule="auto"/>
        <w:jc w:val="both"/>
        <w:rPr>
          <w:rFonts w:ascii="Times New Roman" w:eastAsia="Calibri" w:hAnsi="Times New Roman" w:cs="Times New Roman"/>
          <w:b/>
          <w:bCs/>
          <w:sz w:val="24"/>
          <w:szCs w:val="24"/>
        </w:rPr>
      </w:pPr>
      <w:proofErr w:type="spellStart"/>
      <w:r w:rsidRPr="00E0172C">
        <w:rPr>
          <w:rFonts w:ascii="Times New Roman" w:eastAsia="Calibri" w:hAnsi="Times New Roman" w:cs="Times New Roman"/>
          <w:b/>
          <w:bCs/>
          <w:sz w:val="24"/>
          <w:szCs w:val="24"/>
        </w:rPr>
        <w:t>Zobayer</w:t>
      </w:r>
      <w:proofErr w:type="spellEnd"/>
      <w:r w:rsidRPr="00E0172C">
        <w:rPr>
          <w:rFonts w:ascii="Times New Roman" w:eastAsia="Calibri" w:hAnsi="Times New Roman" w:cs="Times New Roman"/>
          <w:b/>
          <w:bCs/>
          <w:sz w:val="24"/>
          <w:szCs w:val="24"/>
        </w:rPr>
        <w:t xml:space="preserve"> Ahmed</w:t>
      </w:r>
      <w:r>
        <w:rPr>
          <w:rFonts w:ascii="Times New Roman" w:eastAsia="Calibri" w:hAnsi="Times New Roman" w:cs="Times New Roman"/>
          <w:b/>
          <w:bCs/>
          <w:sz w:val="24"/>
          <w:szCs w:val="24"/>
        </w:rPr>
        <w:t xml:space="preserve"> </w:t>
      </w:r>
      <w:r w:rsidRPr="00E0172C">
        <w:rPr>
          <w:rFonts w:ascii="Times New Roman" w:eastAsia="Calibri" w:hAnsi="Times New Roman" w:cs="Times New Roman"/>
          <w:b/>
          <w:bCs/>
          <w:sz w:val="24"/>
          <w:szCs w:val="24"/>
          <w:vertAlign w:val="superscript"/>
        </w:rPr>
        <w:t>(</w:t>
      </w:r>
      <w:proofErr w:type="spellStart"/>
      <w:proofErr w:type="gramStart"/>
      <w:r w:rsidRPr="00E0172C">
        <w:rPr>
          <w:rFonts w:ascii="Times New Roman" w:eastAsia="Calibri" w:hAnsi="Times New Roman" w:cs="Times New Roman"/>
          <w:b/>
          <w:bCs/>
          <w:sz w:val="24"/>
          <w:szCs w:val="24"/>
          <w:vertAlign w:val="superscript"/>
        </w:rPr>
        <w:t>a,b</w:t>
      </w:r>
      <w:proofErr w:type="spellEnd"/>
      <w:proofErr w:type="gramEnd"/>
      <w:r w:rsidRPr="00E0172C">
        <w:rPr>
          <w:rFonts w:ascii="Times New Roman" w:eastAsia="Calibri" w:hAnsi="Times New Roman" w:cs="Times New Roman"/>
          <w:b/>
          <w:bCs/>
          <w:sz w:val="24"/>
          <w:szCs w:val="24"/>
          <w:vertAlign w:val="superscript"/>
        </w:rPr>
        <w:t>)</w:t>
      </w:r>
      <w:r w:rsidRPr="00E0172C">
        <w:rPr>
          <w:rFonts w:ascii="Times New Roman" w:eastAsia="Calibri" w:hAnsi="Times New Roman" w:cs="Times New Roman"/>
          <w:b/>
          <w:bCs/>
          <w:sz w:val="24"/>
          <w:szCs w:val="24"/>
        </w:rPr>
        <w:t xml:space="preserve">, Mohammad Ahsan Habib </w:t>
      </w:r>
      <w:r>
        <w:rPr>
          <w:rFonts w:ascii="Times New Roman" w:eastAsia="Calibri" w:hAnsi="Times New Roman" w:cs="Times New Roman"/>
          <w:b/>
          <w:bCs/>
          <w:sz w:val="24"/>
          <w:szCs w:val="24"/>
          <w:vertAlign w:val="superscript"/>
        </w:rPr>
        <w:t>(b2</w:t>
      </w:r>
      <w:r w:rsidRPr="00E0172C">
        <w:rPr>
          <w:rFonts w:ascii="Times New Roman" w:eastAsia="Calibri" w:hAnsi="Times New Roman" w:cs="Times New Roman"/>
          <w:b/>
          <w:bCs/>
          <w:sz w:val="24"/>
          <w:szCs w:val="24"/>
          <w:vertAlign w:val="superscript"/>
        </w:rPr>
        <w:t>)</w:t>
      </w:r>
      <w:r w:rsidRPr="00E0172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w:t>
      </w:r>
      <w:proofErr w:type="spellStart"/>
      <w:r w:rsidRPr="00E0172C">
        <w:rPr>
          <w:rFonts w:ascii="Times New Roman" w:eastAsia="Calibri" w:hAnsi="Times New Roman" w:cs="Times New Roman"/>
          <w:b/>
          <w:bCs/>
          <w:sz w:val="24"/>
          <w:szCs w:val="24"/>
        </w:rPr>
        <w:t>Sezanur</w:t>
      </w:r>
      <w:proofErr w:type="spellEnd"/>
      <w:r w:rsidRPr="00E0172C">
        <w:rPr>
          <w:rFonts w:ascii="Times New Roman" w:eastAsia="Calibri" w:hAnsi="Times New Roman" w:cs="Times New Roman"/>
          <w:b/>
          <w:bCs/>
          <w:sz w:val="24"/>
          <w:szCs w:val="24"/>
        </w:rPr>
        <w:t xml:space="preserve"> Rahman Khan </w:t>
      </w:r>
      <w:proofErr w:type="spellStart"/>
      <w:r w:rsidRPr="00E0172C">
        <w:rPr>
          <w:rFonts w:ascii="Times New Roman" w:eastAsia="Calibri" w:hAnsi="Times New Roman" w:cs="Times New Roman"/>
          <w:b/>
          <w:bCs/>
          <w:sz w:val="24"/>
          <w:szCs w:val="24"/>
        </w:rPr>
        <w:t>Opee</w:t>
      </w:r>
      <w:proofErr w:type="spellEnd"/>
      <w:r>
        <w:rPr>
          <w:rFonts w:ascii="Times New Roman" w:eastAsia="Calibri" w:hAnsi="Times New Roman" w:cs="Times New Roman"/>
          <w:b/>
          <w:bCs/>
          <w:sz w:val="24"/>
          <w:szCs w:val="24"/>
          <w:vertAlign w:val="superscript"/>
        </w:rPr>
        <w:t>(b3)</w:t>
      </w:r>
    </w:p>
    <w:p w:rsidR="006D52B2" w:rsidRPr="00E0172C" w:rsidRDefault="006D52B2" w:rsidP="006D52B2">
      <w:pPr>
        <w:spacing w:after="0" w:line="240" w:lineRule="auto"/>
        <w:jc w:val="both"/>
        <w:rPr>
          <w:rFonts w:ascii="Times New Roman" w:eastAsia="Calibri" w:hAnsi="Times New Roman" w:cs="Times New Roman"/>
          <w:i/>
          <w:iCs/>
          <w:sz w:val="24"/>
          <w:szCs w:val="24"/>
        </w:rPr>
      </w:pPr>
      <w:r>
        <w:rPr>
          <w:rFonts w:ascii="Times New Roman" w:eastAsia="Calibri" w:hAnsi="Times New Roman" w:cs="Times New Roman"/>
          <w:i/>
          <w:iCs/>
          <w:sz w:val="24"/>
          <w:szCs w:val="24"/>
        </w:rPr>
        <w:t xml:space="preserve">(a) </w:t>
      </w:r>
      <w:r w:rsidRPr="00E0172C">
        <w:rPr>
          <w:rFonts w:ascii="Times New Roman" w:eastAsia="Calibri" w:hAnsi="Times New Roman" w:cs="Times New Roman"/>
          <w:i/>
          <w:iCs/>
          <w:sz w:val="24"/>
          <w:szCs w:val="24"/>
        </w:rPr>
        <w:t>Department</w:t>
      </w:r>
      <w:r>
        <w:rPr>
          <w:rFonts w:ascii="Times New Roman" w:eastAsia="Calibri" w:hAnsi="Times New Roman" w:cs="Times New Roman"/>
          <w:i/>
          <w:iCs/>
          <w:sz w:val="24"/>
          <w:szCs w:val="24"/>
        </w:rPr>
        <w:t xml:space="preserve"> of Economics and Banking, </w:t>
      </w:r>
      <w:r w:rsidRPr="00E0172C">
        <w:rPr>
          <w:rFonts w:ascii="Times New Roman" w:eastAsia="Calibri" w:hAnsi="Times New Roman" w:cs="Times New Roman"/>
          <w:i/>
          <w:iCs/>
          <w:sz w:val="24"/>
          <w:szCs w:val="24"/>
        </w:rPr>
        <w:t>International Islamic University Chittagong</w:t>
      </w:r>
      <w:r>
        <w:rPr>
          <w:rFonts w:ascii="Times New Roman" w:eastAsia="Calibri" w:hAnsi="Times New Roman" w:cs="Times New Roman"/>
          <w:i/>
          <w:iCs/>
          <w:sz w:val="24"/>
          <w:szCs w:val="24"/>
        </w:rPr>
        <w:t>.</w:t>
      </w:r>
      <w:r w:rsidRPr="00E0172C">
        <w:rPr>
          <w:rFonts w:ascii="Times New Roman" w:eastAsia="Calibri" w:hAnsi="Times New Roman" w:cs="Times New Roman"/>
          <w:i/>
          <w:iCs/>
          <w:sz w:val="24"/>
          <w:szCs w:val="24"/>
        </w:rPr>
        <w:t xml:space="preserve"> Email: </w:t>
      </w:r>
      <w:hyperlink r:id="rId6" w:history="1">
        <w:r w:rsidRPr="003656F8">
          <w:rPr>
            <w:rStyle w:val="Hyperlink"/>
            <w:rFonts w:ascii="Times New Roman" w:eastAsia="Calibri" w:hAnsi="Times New Roman" w:cs="Times New Roman"/>
            <w:i/>
            <w:iCs/>
            <w:sz w:val="24"/>
            <w:szCs w:val="24"/>
          </w:rPr>
          <w:t>ecozobayer@gmail.com</w:t>
        </w:r>
      </w:hyperlink>
      <w:r>
        <w:rPr>
          <w:rFonts w:ascii="Times New Roman" w:eastAsia="Calibri" w:hAnsi="Times New Roman" w:cs="Times New Roman"/>
          <w:i/>
          <w:iCs/>
          <w:sz w:val="24"/>
          <w:szCs w:val="24"/>
        </w:rPr>
        <w:t xml:space="preserve"> </w:t>
      </w:r>
      <w:r w:rsidRPr="00E0172C">
        <w:rPr>
          <w:rFonts w:ascii="Times New Roman" w:eastAsia="Calibri" w:hAnsi="Times New Roman" w:cs="Times New Roman"/>
          <w:i/>
          <w:iCs/>
          <w:sz w:val="24"/>
          <w:szCs w:val="24"/>
        </w:rPr>
        <w:t xml:space="preserve"> </w:t>
      </w:r>
    </w:p>
    <w:p w:rsidR="006D52B2" w:rsidRPr="00E0172C" w:rsidRDefault="006D52B2" w:rsidP="006D52B2">
      <w:pPr>
        <w:spacing w:after="0" w:line="240" w:lineRule="auto"/>
        <w:jc w:val="both"/>
        <w:rPr>
          <w:rFonts w:ascii="Times New Roman" w:eastAsia="Calibri" w:hAnsi="Times New Roman" w:cs="Times New Roman"/>
          <w:i/>
          <w:iCs/>
          <w:sz w:val="24"/>
          <w:szCs w:val="24"/>
        </w:rPr>
      </w:pPr>
      <w:r w:rsidRPr="00E0172C">
        <w:rPr>
          <w:rFonts w:ascii="Times New Roman" w:eastAsia="Calibri" w:hAnsi="Times New Roman" w:cs="Times New Roman"/>
          <w:i/>
          <w:iCs/>
          <w:sz w:val="24"/>
          <w:szCs w:val="24"/>
        </w:rPr>
        <w:t xml:space="preserve">(b) Department of Economics and Banking, International Islamic University Chittagong </w:t>
      </w:r>
    </w:p>
    <w:p w:rsidR="006D52B2" w:rsidRDefault="006D52B2" w:rsidP="006D52B2">
      <w:pPr>
        <w:autoSpaceDE w:val="0"/>
        <w:autoSpaceDN w:val="0"/>
        <w:adjustRightInd w:val="0"/>
        <w:spacing w:after="0" w:line="240" w:lineRule="auto"/>
        <w:rPr>
          <w:rFonts w:ascii="Calibri" w:eastAsia="Calibri" w:hAnsi="Calibri" w:cs="Calibri"/>
          <w:color w:val="000000"/>
          <w:sz w:val="24"/>
          <w:szCs w:val="24"/>
        </w:rPr>
      </w:pPr>
      <w:r>
        <w:rPr>
          <w:rFonts w:ascii="Times New Roman" w:eastAsia="Calibri" w:hAnsi="Times New Roman" w:cs="Times New Roman"/>
          <w:i/>
          <w:iCs/>
          <w:color w:val="000000"/>
          <w:sz w:val="24"/>
          <w:szCs w:val="24"/>
        </w:rPr>
        <w:t>Email: (b2)</w:t>
      </w:r>
      <w:r w:rsidRPr="00E0172C">
        <w:rPr>
          <w:rFonts w:ascii="Calibri" w:eastAsia="Calibri" w:hAnsi="Calibri" w:cs="Times New Roman"/>
        </w:rPr>
        <w:t xml:space="preserve"> </w:t>
      </w:r>
      <w:hyperlink r:id="rId7" w:history="1">
        <w:r w:rsidRPr="003656F8">
          <w:rPr>
            <w:rStyle w:val="Hyperlink"/>
            <w:rFonts w:ascii="Times New Roman" w:eastAsia="Calibri" w:hAnsi="Times New Roman" w:cs="Times New Roman"/>
            <w:i/>
            <w:iCs/>
            <w:sz w:val="24"/>
            <w:szCs w:val="24"/>
          </w:rPr>
          <w:t>ahsanrifaj352@gmail.com</w:t>
        </w:r>
      </w:hyperlink>
      <w:r>
        <w:rPr>
          <w:rFonts w:ascii="Times New Roman" w:eastAsia="Calibri" w:hAnsi="Times New Roman" w:cs="Times New Roman"/>
          <w:i/>
          <w:iCs/>
          <w:color w:val="0462C1"/>
          <w:sz w:val="24"/>
          <w:szCs w:val="24"/>
        </w:rPr>
        <w:t xml:space="preserve"> , </w:t>
      </w:r>
      <w:r w:rsidRPr="00815DBD">
        <w:rPr>
          <w:rFonts w:ascii="Times New Roman" w:eastAsia="Calibri" w:hAnsi="Times New Roman" w:cs="Times New Roman"/>
          <w:i/>
          <w:iCs/>
          <w:sz w:val="24"/>
          <w:szCs w:val="24"/>
        </w:rPr>
        <w:t xml:space="preserve">b3) </w:t>
      </w:r>
      <w:hyperlink r:id="rId8" w:history="1">
        <w:r w:rsidRPr="00815DBD">
          <w:rPr>
            <w:rStyle w:val="Hyperlink"/>
            <w:rFonts w:ascii="Times New Roman" w:eastAsia="Calibri" w:hAnsi="Times New Roman" w:cs="Times New Roman"/>
            <w:i/>
            <w:iCs/>
            <w:sz w:val="24"/>
            <w:szCs w:val="24"/>
          </w:rPr>
          <w:t>osezanur@gmail.com</w:t>
        </w:r>
      </w:hyperlink>
      <w:r>
        <w:rPr>
          <w:rFonts w:ascii="Calibri" w:eastAsia="Calibri" w:hAnsi="Calibri" w:cs="Calibri"/>
          <w:color w:val="000000"/>
          <w:sz w:val="24"/>
          <w:szCs w:val="24"/>
        </w:rPr>
        <w:t xml:space="preserve"> </w:t>
      </w:r>
    </w:p>
    <w:p w:rsidR="00E20D09" w:rsidRPr="00E20D09" w:rsidRDefault="00E20D09" w:rsidP="00F15F62">
      <w:pPr>
        <w:spacing w:line="360" w:lineRule="auto"/>
        <w:jc w:val="both"/>
        <w:rPr>
          <w:rFonts w:ascii="Times New Roman" w:hAnsi="Times New Roman" w:cs="Times New Roman"/>
          <w:sz w:val="24"/>
          <w:szCs w:val="24"/>
        </w:rPr>
      </w:pPr>
    </w:p>
    <w:p w:rsidR="00E20D09" w:rsidRPr="00E20D09" w:rsidRDefault="00CA4CD6" w:rsidP="00F15F6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Abstract</w:t>
      </w:r>
    </w:p>
    <w:p w:rsidR="00E20D09" w:rsidRDefault="00E20D09" w:rsidP="00F15F62">
      <w:pPr>
        <w:pStyle w:val="NormalWeb"/>
        <w:spacing w:line="360" w:lineRule="auto"/>
        <w:jc w:val="both"/>
      </w:pPr>
      <w:r w:rsidRPr="00E20D09">
        <w:t>This study evaluates the bilateral relations between the USA and Bangladesh over the past 50 years, focusing on the USA's economic, humanitarian, and geopolitical contributions.</w:t>
      </w:r>
      <w:r w:rsidR="00CA4CD6">
        <w:t xml:space="preserve"> </w:t>
      </w:r>
      <w:r w:rsidR="006A11D8">
        <w:t>The study utilizes secondary data and descriptive analysis, supported by qualitative research, to offer</w:t>
      </w:r>
      <w:r w:rsidRPr="00E20D09">
        <w:t xml:space="preserve"> a comprehensive overview of this bilateral relationship.</w:t>
      </w:r>
      <w:r w:rsidR="00CA4CD6">
        <w:t xml:space="preserve"> </w:t>
      </w:r>
      <w:r w:rsidRPr="00E20D09">
        <w:t>The USA has significantly influenced Bangladesh's economic development through foreign aid, FDI, and trade</w:t>
      </w:r>
      <w:r w:rsidR="006A11D8">
        <w:t>. It has also provided</w:t>
      </w:r>
      <w:r w:rsidRPr="00E20D09">
        <w:t xml:space="preserve"> critical support during natural disasters and crises, including $6 billion in </w:t>
      </w:r>
      <w:r w:rsidR="00E86733">
        <w:t>assistance</w:t>
      </w:r>
      <w:r w:rsidRPr="00E20D09">
        <w:t xml:space="preserve"> since independence.</w:t>
      </w:r>
      <w:r w:rsidR="00CA4CD6">
        <w:t xml:space="preserve"> </w:t>
      </w:r>
      <w:r w:rsidR="00F721C5">
        <w:t>The importance of robust bilateral relations, particularly with global powers like the USA, cannot be overstated for sustaining Bangladesh's economic growth</w:t>
      </w:r>
      <w:r w:rsidRPr="00E20D09">
        <w:t>. This research fills a gap in the literature by thoroughly examining the USA's role in Bangladesh's economic development.</w:t>
      </w:r>
      <w:r w:rsidR="00CA4CD6">
        <w:t xml:space="preserve"> </w:t>
      </w:r>
      <w:r w:rsidRPr="00E20D09">
        <w:t>The study is qualitative; future research could benefit from quantitative approaches.</w:t>
      </w:r>
    </w:p>
    <w:p w:rsidR="00F40CAC" w:rsidRPr="00E20D09" w:rsidRDefault="00F40CAC" w:rsidP="00F15F62">
      <w:pPr>
        <w:pStyle w:val="NormalWeb"/>
        <w:spacing w:line="360" w:lineRule="auto"/>
        <w:jc w:val="both"/>
      </w:pPr>
    </w:p>
    <w:p w:rsidR="00E20D09" w:rsidRDefault="00E20D09" w:rsidP="00F15F62">
      <w:pPr>
        <w:spacing w:line="360" w:lineRule="auto"/>
        <w:jc w:val="both"/>
        <w:rPr>
          <w:rFonts w:ascii="Times New Roman" w:hAnsi="Times New Roman" w:cs="Times New Roman"/>
          <w:sz w:val="24"/>
          <w:szCs w:val="24"/>
        </w:rPr>
      </w:pPr>
      <w:r w:rsidRPr="00E20D09">
        <w:rPr>
          <w:rStyle w:val="Strong"/>
          <w:rFonts w:ascii="Times New Roman" w:hAnsi="Times New Roman" w:cs="Times New Roman"/>
          <w:sz w:val="24"/>
          <w:szCs w:val="24"/>
        </w:rPr>
        <w:t>Keywords:</w:t>
      </w:r>
      <w:r w:rsidRPr="00E20D09">
        <w:rPr>
          <w:rFonts w:ascii="Times New Roman" w:hAnsi="Times New Roman" w:cs="Times New Roman"/>
          <w:sz w:val="24"/>
          <w:szCs w:val="24"/>
        </w:rPr>
        <w:t xml:space="preserve"> Bangladesh; USA; bilateral relations; FDI; economic contribution; humanitarian aid; geopolitical support</w:t>
      </w:r>
      <w:r>
        <w:rPr>
          <w:rFonts w:ascii="Times New Roman" w:hAnsi="Times New Roman" w:cs="Times New Roman"/>
          <w:sz w:val="24"/>
          <w:szCs w:val="24"/>
        </w:rPr>
        <w:t>.</w:t>
      </w:r>
    </w:p>
    <w:p w:rsidR="00E20D09" w:rsidRDefault="00E20D09" w:rsidP="00F15F62">
      <w:pPr>
        <w:spacing w:line="360" w:lineRule="auto"/>
        <w:jc w:val="both"/>
        <w:rPr>
          <w:rFonts w:ascii="Times New Roman" w:hAnsi="Times New Roman" w:cs="Times New Roman"/>
          <w:sz w:val="24"/>
          <w:szCs w:val="24"/>
        </w:rPr>
      </w:pPr>
    </w:p>
    <w:p w:rsidR="00E20D09" w:rsidRDefault="00E20D09" w:rsidP="00F15F62">
      <w:pPr>
        <w:spacing w:line="360" w:lineRule="auto"/>
        <w:jc w:val="both"/>
        <w:rPr>
          <w:rFonts w:ascii="Times New Roman" w:hAnsi="Times New Roman" w:cs="Times New Roman"/>
          <w:sz w:val="24"/>
          <w:szCs w:val="24"/>
        </w:rPr>
      </w:pPr>
    </w:p>
    <w:p w:rsidR="00E20D09" w:rsidRDefault="00E20D09" w:rsidP="00F15F62">
      <w:pPr>
        <w:spacing w:line="360" w:lineRule="auto"/>
        <w:jc w:val="both"/>
        <w:rPr>
          <w:rFonts w:ascii="Times New Roman" w:hAnsi="Times New Roman" w:cs="Times New Roman"/>
          <w:sz w:val="24"/>
          <w:szCs w:val="24"/>
        </w:rPr>
      </w:pPr>
    </w:p>
    <w:p w:rsidR="00E20D09" w:rsidRDefault="00E20D09" w:rsidP="00F15F62">
      <w:pPr>
        <w:spacing w:line="360" w:lineRule="auto"/>
        <w:jc w:val="both"/>
        <w:rPr>
          <w:rFonts w:ascii="Times New Roman" w:hAnsi="Times New Roman" w:cs="Times New Roman"/>
          <w:sz w:val="24"/>
          <w:szCs w:val="24"/>
        </w:rPr>
      </w:pPr>
    </w:p>
    <w:p w:rsidR="00E20D09" w:rsidRDefault="00E20D09" w:rsidP="00F15F62">
      <w:pPr>
        <w:spacing w:line="360" w:lineRule="auto"/>
        <w:jc w:val="both"/>
        <w:rPr>
          <w:rFonts w:ascii="Times New Roman" w:hAnsi="Times New Roman" w:cs="Times New Roman"/>
          <w:sz w:val="24"/>
          <w:szCs w:val="24"/>
        </w:rPr>
      </w:pPr>
    </w:p>
    <w:p w:rsidR="00E86733" w:rsidRDefault="00E86733" w:rsidP="00F15F62">
      <w:pPr>
        <w:spacing w:line="360" w:lineRule="auto"/>
        <w:jc w:val="both"/>
        <w:rPr>
          <w:rFonts w:ascii="Times New Roman" w:hAnsi="Times New Roman" w:cs="Times New Roman"/>
          <w:sz w:val="24"/>
          <w:szCs w:val="24"/>
        </w:rPr>
      </w:pPr>
    </w:p>
    <w:p w:rsidR="00E86733" w:rsidRDefault="00E86733" w:rsidP="00F15F62">
      <w:pPr>
        <w:spacing w:line="360" w:lineRule="auto"/>
        <w:jc w:val="both"/>
        <w:rPr>
          <w:rFonts w:ascii="Times New Roman" w:hAnsi="Times New Roman" w:cs="Times New Roman"/>
          <w:sz w:val="24"/>
          <w:szCs w:val="24"/>
        </w:rPr>
      </w:pPr>
    </w:p>
    <w:p w:rsidR="00CA4CD6" w:rsidRDefault="00CA4CD6" w:rsidP="00F15F62">
      <w:pPr>
        <w:spacing w:line="360" w:lineRule="auto"/>
        <w:jc w:val="both"/>
        <w:rPr>
          <w:rFonts w:ascii="Times New Roman" w:hAnsi="Times New Roman" w:cs="Times New Roman"/>
          <w:sz w:val="24"/>
          <w:szCs w:val="24"/>
        </w:rPr>
      </w:pPr>
    </w:p>
    <w:p w:rsidR="00E20D09" w:rsidRPr="00CA4CD6" w:rsidRDefault="00E20D09" w:rsidP="00CA4CD6">
      <w:pPr>
        <w:pStyle w:val="ListParagraph"/>
        <w:numPr>
          <w:ilvl w:val="0"/>
          <w:numId w:val="1"/>
        </w:numPr>
        <w:spacing w:line="360" w:lineRule="auto"/>
        <w:jc w:val="both"/>
        <w:rPr>
          <w:rFonts w:ascii="Times New Roman" w:hAnsi="Times New Roman" w:cs="Times New Roman"/>
          <w:b/>
          <w:sz w:val="24"/>
          <w:szCs w:val="24"/>
        </w:rPr>
      </w:pPr>
      <w:r w:rsidRPr="00E20D09">
        <w:rPr>
          <w:rFonts w:ascii="Times New Roman" w:hAnsi="Times New Roman" w:cs="Times New Roman"/>
          <w:b/>
          <w:sz w:val="24"/>
          <w:szCs w:val="24"/>
        </w:rPr>
        <w:t>Introduction</w:t>
      </w:r>
    </w:p>
    <w:p w:rsidR="00E20D09" w:rsidRPr="007A0334" w:rsidRDefault="00E20D09" w:rsidP="00F15F62">
      <w:pPr>
        <w:spacing w:line="360" w:lineRule="auto"/>
        <w:jc w:val="both"/>
        <w:rPr>
          <w:rFonts w:ascii="Times New Roman" w:hAnsi="Times New Roman" w:cs="Times New Roman"/>
          <w:sz w:val="24"/>
          <w:szCs w:val="24"/>
        </w:rPr>
      </w:pPr>
      <w:r w:rsidRPr="00C919D1">
        <w:rPr>
          <w:rFonts w:ascii="Times New Roman" w:hAnsi="Times New Roman" w:cs="Times New Roman"/>
          <w:sz w:val="24"/>
          <w:szCs w:val="24"/>
        </w:rPr>
        <w:t>The United States and Bangladesh have cultivated a robust partnership grounded in mutual economic and geopolitical interests. Since the USA officially recognized Bangladesh's independence on April 4, 1972, the bilateral relationship has flourished, marked by significant financial and political cooperation</w:t>
      </w:r>
      <w:r>
        <w:rPr>
          <w:rFonts w:ascii="Times New Roman" w:hAnsi="Times New Roman" w:cs="Times New Roman"/>
          <w:sz w:val="24"/>
          <w:szCs w:val="24"/>
        </w:rPr>
        <w:t xml:space="preserve"> </w:t>
      </w:r>
      <w:r w:rsidR="0085573E">
        <w:rPr>
          <w:rFonts w:ascii="Times New Roman" w:hAnsi="Times New Roman" w:cs="Times New Roman"/>
          <w:sz w:val="24"/>
          <w:szCs w:val="24"/>
        </w:rPr>
        <w:fldChar w:fldCharType="begin" w:fldLock="1"/>
      </w:r>
      <w:r w:rsidR="00C919D1">
        <w:rPr>
          <w:rFonts w:ascii="Times New Roman" w:hAnsi="Times New Roman" w:cs="Times New Roman"/>
          <w:sz w:val="24"/>
          <w:szCs w:val="24"/>
        </w:rPr>
        <w:instrText>ADDIN CSL_CITATION {"citationItems":[{"id":"ITEM-1","itemData":{"ISSN":"1562-269X","author":[{"dropping-particle":"","family":"Haque","given":"Monzima","non-dropping-particle":"","parse-names":false,"suffix":""},{"dropping-particle":"","family":"Islam","given":"Mohammad Aynul","non-dropping-particle":"","parse-names":false,"suffix":""}],"container-title":"Social Science Review","id":"ITEM-1","issue":"1","issued":{"date-parts":[["2014"]]},"page":"1-20","publisher":"Dhaka University","title":"Bangladesh-United States relations in the post-september 11 era: foundation for a new framework","type":"article-journal","volume":"31"},"uris":["http://www.mendeley.com/documents/?uuid=c57df341-3e36-4324-8d8c-275ccb22115a"]}],"mendeley":{"formattedCitation":"(Haque &amp; Islam, 2014)","plainTextFormattedCitation":"(Haque &amp; Islam, 2014)","previouslyFormattedCitation":"(Haque &amp; Islam, 2014)"},"properties":{"noteIndex":0},"schema":"https://github.com/citation-style-language/schema/raw/master/csl-citation.json"}</w:instrText>
      </w:r>
      <w:r w:rsidR="0085573E">
        <w:rPr>
          <w:rFonts w:ascii="Times New Roman" w:hAnsi="Times New Roman" w:cs="Times New Roman"/>
          <w:sz w:val="24"/>
          <w:szCs w:val="24"/>
        </w:rPr>
        <w:fldChar w:fldCharType="separate"/>
      </w:r>
      <w:r w:rsidR="0085573E" w:rsidRPr="0085573E">
        <w:rPr>
          <w:rFonts w:ascii="Times New Roman" w:hAnsi="Times New Roman" w:cs="Times New Roman"/>
          <w:noProof/>
          <w:sz w:val="24"/>
          <w:szCs w:val="24"/>
        </w:rPr>
        <w:t>(Haque &amp; Islam, 2014)</w:t>
      </w:r>
      <w:r w:rsidR="0085573E">
        <w:rPr>
          <w:rFonts w:ascii="Times New Roman" w:hAnsi="Times New Roman" w:cs="Times New Roman"/>
          <w:sz w:val="24"/>
          <w:szCs w:val="24"/>
        </w:rPr>
        <w:fldChar w:fldCharType="end"/>
      </w:r>
      <w:r w:rsidRPr="007A0334">
        <w:rPr>
          <w:rFonts w:ascii="Times New Roman" w:hAnsi="Times New Roman" w:cs="Times New Roman"/>
          <w:sz w:val="24"/>
          <w:szCs w:val="24"/>
        </w:rPr>
        <w:t xml:space="preserve">. The USA's early support, including a </w:t>
      </w:r>
      <w:r w:rsidR="00AE5D3A">
        <w:rPr>
          <w:rFonts w:ascii="Times New Roman" w:hAnsi="Times New Roman" w:cs="Times New Roman"/>
          <w:sz w:val="24"/>
          <w:szCs w:val="24"/>
        </w:rPr>
        <w:t>USD 300 million</w:t>
      </w:r>
      <w:r w:rsidR="006A11D8">
        <w:rPr>
          <w:rFonts w:ascii="Times New Roman" w:hAnsi="Times New Roman" w:cs="Times New Roman"/>
          <w:sz w:val="24"/>
          <w:szCs w:val="24"/>
        </w:rPr>
        <w:t xml:space="preserve"> pledge</w:t>
      </w:r>
      <w:r w:rsidRPr="007A0334">
        <w:rPr>
          <w:rFonts w:ascii="Times New Roman" w:hAnsi="Times New Roman" w:cs="Times New Roman"/>
          <w:sz w:val="24"/>
          <w:szCs w:val="24"/>
        </w:rPr>
        <w:t xml:space="preserve">, laid the foundation for enduring ties that have remained steadfast over the decades. This partnership is anchored </w:t>
      </w:r>
      <w:r w:rsidR="006A11D8">
        <w:rPr>
          <w:rFonts w:ascii="Times New Roman" w:hAnsi="Times New Roman" w:cs="Times New Roman"/>
          <w:sz w:val="24"/>
          <w:szCs w:val="24"/>
        </w:rPr>
        <w:t>in shared economic goals and</w:t>
      </w:r>
      <w:r w:rsidRPr="007A0334">
        <w:rPr>
          <w:rFonts w:ascii="Times New Roman" w:hAnsi="Times New Roman" w:cs="Times New Roman"/>
          <w:sz w:val="24"/>
          <w:szCs w:val="24"/>
        </w:rPr>
        <w:t xml:space="preserve"> broader security, humanitarian, and environmental concerns, making Bangladesh a vital regional partner for the USA</w:t>
      </w:r>
      <w:r w:rsidR="00C919D1">
        <w:rPr>
          <w:rFonts w:ascii="Times New Roman" w:hAnsi="Times New Roman" w:cs="Times New Roman"/>
          <w:sz w:val="24"/>
          <w:szCs w:val="24"/>
        </w:rPr>
        <w:t xml:space="preserve"> </w:t>
      </w:r>
      <w:r w:rsidR="0062793C">
        <w:rPr>
          <w:rFonts w:ascii="Times New Roman" w:hAnsi="Times New Roman" w:cs="Times New Roman"/>
          <w:sz w:val="24"/>
          <w:szCs w:val="24"/>
        </w:rPr>
        <w:fldChar w:fldCharType="begin" w:fldLock="1"/>
      </w:r>
      <w:r w:rsidR="002053DD">
        <w:rPr>
          <w:rFonts w:ascii="Times New Roman" w:hAnsi="Times New Roman" w:cs="Times New Roman"/>
          <w:sz w:val="24"/>
          <w:szCs w:val="24"/>
        </w:rPr>
        <w:instrText>ADDIN CSL_CITATION {"citationItems":[{"id":"ITEM-1","itemData":{"ISBN":"081579147X","author":[{"dropping-particle":"","family":"Harding","given":"Harry","non-dropping-particle":"","parse-names":false,"suffix":""}],"id":"ITEM-1","issued":{"date-parts":[["2000"]]},"publisher":"Rowman &amp; Littlefield","title":"A fragile relationship: The United States and China since 1972","type":"book"},"uris":["http://www.mendeley.com/documents/?uuid=cb0800fc-4fcc-4d55-8cf1-15a879f16b71"]}],"mendeley":{"formattedCitation":"(Harding, 2000)","manualFormatting":"(Harding, 2000","plainTextFormattedCitation":"(Harding, 2000)","previouslyFormattedCitation":"(Harding, 2000)"},"properties":{"noteIndex":0},"schema":"https://github.com/citation-style-language/schema/raw/master/csl-citation.json"}</w:instrText>
      </w:r>
      <w:r w:rsidR="0062793C">
        <w:rPr>
          <w:rFonts w:ascii="Times New Roman" w:hAnsi="Times New Roman" w:cs="Times New Roman"/>
          <w:sz w:val="24"/>
          <w:szCs w:val="24"/>
        </w:rPr>
        <w:fldChar w:fldCharType="separate"/>
      </w:r>
      <w:r w:rsidR="0062793C" w:rsidRPr="0062793C">
        <w:rPr>
          <w:rFonts w:ascii="Times New Roman" w:hAnsi="Times New Roman" w:cs="Times New Roman"/>
          <w:noProof/>
          <w:sz w:val="24"/>
          <w:szCs w:val="24"/>
        </w:rPr>
        <w:t>(Harding, 2000</w:t>
      </w:r>
      <w:r w:rsidR="0062793C">
        <w:rPr>
          <w:rFonts w:ascii="Times New Roman" w:hAnsi="Times New Roman" w:cs="Times New Roman"/>
          <w:sz w:val="24"/>
          <w:szCs w:val="24"/>
        </w:rPr>
        <w:fldChar w:fldCharType="end"/>
      </w:r>
      <w:r w:rsidR="00C919D1">
        <w:rPr>
          <w:rFonts w:ascii="Times New Roman" w:hAnsi="Times New Roman" w:cs="Times New Roman"/>
          <w:sz w:val="24"/>
          <w:szCs w:val="24"/>
        </w:rPr>
        <w:fldChar w:fldCharType="begin" w:fldLock="1"/>
      </w:r>
      <w:r w:rsidR="002053DD">
        <w:rPr>
          <w:rFonts w:ascii="Times New Roman" w:hAnsi="Times New Roman" w:cs="Times New Roman"/>
          <w:sz w:val="24"/>
          <w:szCs w:val="24"/>
        </w:rPr>
        <w:instrText>ADDIN CSL_CITATION {"citationItems":[{"id":"ITEM-1","itemData":{"ISSN":"2076-9202","abstract":"Bangladesh and China are reciprocally tested friends. The unique height of bilateral trade between Bangladesh and China has increased significantly in recent years. The main purpose of this study is to find out the overall trade situation between the two countries. The researcher used panel data system as a qualitative manner to analyze possible field scenarios. The researcher found that Bangladesh has been suffering from historic trade imbalances with China since its economic relationship after 1974. This trade deficit makes Bangladesh dependent on China and raises serious concerns about the economic and financial impact. The results of the study say that increasing exports to China could lead to a decrease in trade deficits. Bangladesh should have ensured access to the Chinese market there. Export Processing Bureau of Bangladesh (EPB) and Trade Association to reward industry for the benefits of trade and infrastructure development in the export expansion effort. This step of sincere and active cooperation between the two countries is considered significant enough to reduce the trade deficit.","author":[{"dropping-particle":"","family":"Gazi","given":"Md Abu Issa","non-dropping-particle":"","parse-names":false,"suffix":""}],"container-title":"International Journal of Information, Business and Management","id":"ITEM-1","issue":"1","issued":{"date-parts":[["2021"]]},"page":"93-106","title":"Foreign Trade; An Analysis of Bilateral Trade between Bangladesh and China","type":"article-journal","volume":"13"},"uris":["http://www.mendeley.com/documents/?uuid=d2e5877c-767f-4f5d-8d68-74a41aef3979"]}],"mendeley":{"formattedCitation":"(Gazi, 2021)","manualFormatting":"; Gazi, 2021","plainTextFormattedCitation":"(Gazi, 2021)","previouslyFormattedCitation":"(Gazi, 2021)"},"properties":{"noteIndex":0},"schema":"https://github.com/citation-style-language/schema/raw/master/csl-citation.json"}</w:instrText>
      </w:r>
      <w:r w:rsidR="00C919D1">
        <w:rPr>
          <w:rFonts w:ascii="Times New Roman" w:hAnsi="Times New Roman" w:cs="Times New Roman"/>
          <w:sz w:val="24"/>
          <w:szCs w:val="24"/>
        </w:rPr>
        <w:fldChar w:fldCharType="separate"/>
      </w:r>
      <w:r w:rsidR="002053DD">
        <w:rPr>
          <w:rFonts w:ascii="Times New Roman" w:hAnsi="Times New Roman" w:cs="Times New Roman"/>
          <w:noProof/>
          <w:sz w:val="24"/>
          <w:szCs w:val="24"/>
        </w:rPr>
        <w:t xml:space="preserve">; </w:t>
      </w:r>
      <w:r w:rsidR="00C919D1" w:rsidRPr="00C919D1">
        <w:rPr>
          <w:rFonts w:ascii="Times New Roman" w:hAnsi="Times New Roman" w:cs="Times New Roman"/>
          <w:noProof/>
          <w:sz w:val="24"/>
          <w:szCs w:val="24"/>
        </w:rPr>
        <w:t>Gazi, 2021</w:t>
      </w:r>
      <w:r w:rsidR="00C919D1">
        <w:rPr>
          <w:rFonts w:ascii="Times New Roman" w:hAnsi="Times New Roman" w:cs="Times New Roman"/>
          <w:sz w:val="24"/>
          <w:szCs w:val="24"/>
        </w:rPr>
        <w:fldChar w:fldCharType="end"/>
      </w:r>
      <w:r w:rsidR="002053DD">
        <w:rPr>
          <w:rFonts w:ascii="Times New Roman" w:hAnsi="Times New Roman" w:cs="Times New Roman"/>
          <w:sz w:val="24"/>
          <w:szCs w:val="24"/>
        </w:rPr>
        <w:t xml:space="preserve">; </w:t>
      </w:r>
      <w:r w:rsidR="002053DD">
        <w:rPr>
          <w:rFonts w:ascii="Times New Roman" w:hAnsi="Times New Roman" w:cs="Times New Roman"/>
          <w:sz w:val="24"/>
          <w:szCs w:val="24"/>
        </w:rPr>
        <w:fldChar w:fldCharType="begin" w:fldLock="1"/>
      </w:r>
      <w:r w:rsidR="002053DD">
        <w:rPr>
          <w:rFonts w:ascii="Times New Roman" w:hAnsi="Times New Roman" w:cs="Times New Roman"/>
          <w:sz w:val="24"/>
          <w:szCs w:val="24"/>
        </w:rPr>
        <w:instrText>ADDIN CSL_CITATION {"citationItems":[{"id":"ITEM-1","itemData":{"URL":"https://www.state.gov/u-s-relations-with-bangladesh/","author":[{"dropping-particle":"","family":"U.S. DEPARTMENT of STATE","given":"","non-dropping-particle":"","parse-names":false,"suffix":""}],"id":"ITEM-1","issued":{"date-parts":[["2022"]]},"title":"U.S. relations with Bangladesh","type":"webpage"},"uris":["http://www.mendeley.com/documents/?uuid=1d76352c-be7d-42ac-9371-2fd77c734a17"]}],"mendeley":{"formattedCitation":"(U.S. DEPARTMENT of STATE, 2022)","manualFormatting":"U.S. DEPARTMENT of STATE, 2022)","plainTextFormattedCitation":"(U.S. DEPARTMENT of STATE, 2022)","previouslyFormattedCitation":"(U.S. DEPARTMENT of STATE, 2022)"},"properties":{"noteIndex":0},"schema":"https://github.com/citation-style-language/schema/raw/master/csl-citation.json"}</w:instrText>
      </w:r>
      <w:r w:rsidR="002053DD">
        <w:rPr>
          <w:rFonts w:ascii="Times New Roman" w:hAnsi="Times New Roman" w:cs="Times New Roman"/>
          <w:sz w:val="24"/>
          <w:szCs w:val="24"/>
        </w:rPr>
        <w:fldChar w:fldCharType="separate"/>
      </w:r>
      <w:r w:rsidR="002053DD" w:rsidRPr="002053DD">
        <w:rPr>
          <w:rFonts w:ascii="Times New Roman" w:hAnsi="Times New Roman" w:cs="Times New Roman"/>
          <w:noProof/>
          <w:sz w:val="24"/>
          <w:szCs w:val="24"/>
        </w:rPr>
        <w:t>U.S. DEPARTMENT of STATE, 2022)</w:t>
      </w:r>
      <w:r w:rsidR="002053DD">
        <w:rPr>
          <w:rFonts w:ascii="Times New Roman" w:hAnsi="Times New Roman" w:cs="Times New Roman"/>
          <w:sz w:val="24"/>
          <w:szCs w:val="24"/>
        </w:rPr>
        <w:fldChar w:fldCharType="end"/>
      </w:r>
      <w:r w:rsidR="002053DD">
        <w:rPr>
          <w:rFonts w:ascii="Times New Roman" w:hAnsi="Times New Roman" w:cs="Times New Roman"/>
          <w:sz w:val="24"/>
          <w:szCs w:val="24"/>
        </w:rPr>
        <w:t>.</w:t>
      </w:r>
    </w:p>
    <w:p w:rsidR="00E20D09" w:rsidRPr="007A0334" w:rsidRDefault="00E20D09" w:rsidP="00F15F62">
      <w:pPr>
        <w:spacing w:line="360" w:lineRule="auto"/>
        <w:jc w:val="both"/>
        <w:rPr>
          <w:rFonts w:ascii="Times New Roman" w:hAnsi="Times New Roman" w:cs="Times New Roman"/>
          <w:sz w:val="24"/>
          <w:szCs w:val="24"/>
        </w:rPr>
      </w:pPr>
      <w:r w:rsidRPr="007A0334">
        <w:rPr>
          <w:rFonts w:ascii="Times New Roman" w:hAnsi="Times New Roman" w:cs="Times New Roman"/>
          <w:sz w:val="24"/>
          <w:szCs w:val="24"/>
        </w:rPr>
        <w:t xml:space="preserve">Over the past 50 years, the USA has invested over eight billion dollars in Bangladesh, making it the largest recipient of U.S. </w:t>
      </w:r>
      <w:r w:rsidR="002053DD">
        <w:rPr>
          <w:rFonts w:ascii="Times New Roman" w:hAnsi="Times New Roman" w:cs="Times New Roman"/>
          <w:sz w:val="24"/>
          <w:szCs w:val="24"/>
        </w:rPr>
        <w:t xml:space="preserve">assistance in Asia </w:t>
      </w:r>
      <w:r w:rsidR="002053DD">
        <w:rPr>
          <w:rFonts w:ascii="Times New Roman" w:hAnsi="Times New Roman" w:cs="Times New Roman"/>
          <w:sz w:val="24"/>
          <w:szCs w:val="24"/>
        </w:rPr>
        <w:fldChar w:fldCharType="begin" w:fldLock="1"/>
      </w:r>
      <w:r w:rsidR="002053DD">
        <w:rPr>
          <w:rFonts w:ascii="Times New Roman" w:hAnsi="Times New Roman" w:cs="Times New Roman"/>
          <w:sz w:val="24"/>
          <w:szCs w:val="24"/>
        </w:rPr>
        <w:instrText>ADDIN CSL_CITATION {"citationItems":[{"id":"ITEM-1","itemData":{"URL":"https://www.state.gov/u-s-relations-with-bangladesh/","author":[{"dropping-particle":"","family":"U.S. DEPARTMENT of STATE","given":"","non-dropping-particle":"","parse-names":false,"suffix":""}],"id":"ITEM-1","issued":{"date-parts":[["2022"]]},"title":"U.S. relations with Bangladesh","type":"webpage"},"uris":["http://www.mendeley.com/documents/?uuid=1d76352c-be7d-42ac-9371-2fd77c734a17"]}],"mendeley":{"formattedCitation":"(U.S. DEPARTMENT of STATE, 2022)","plainTextFormattedCitation":"(U.S. DEPARTMENT of STATE, 2022)","previouslyFormattedCitation":"(U.S. DEPARTMENT of STATE, 2022)"},"properties":{"noteIndex":0},"schema":"https://github.com/citation-style-language/schema/raw/master/csl-citation.json"}</w:instrText>
      </w:r>
      <w:r w:rsidR="002053DD">
        <w:rPr>
          <w:rFonts w:ascii="Times New Roman" w:hAnsi="Times New Roman" w:cs="Times New Roman"/>
          <w:sz w:val="24"/>
          <w:szCs w:val="24"/>
        </w:rPr>
        <w:fldChar w:fldCharType="separate"/>
      </w:r>
      <w:r w:rsidR="002053DD" w:rsidRPr="002053DD">
        <w:rPr>
          <w:rFonts w:ascii="Times New Roman" w:hAnsi="Times New Roman" w:cs="Times New Roman"/>
          <w:noProof/>
          <w:sz w:val="24"/>
          <w:szCs w:val="24"/>
        </w:rPr>
        <w:t>(U.S. DEPARTMENT of STATE, 2022)</w:t>
      </w:r>
      <w:r w:rsidR="002053DD">
        <w:rPr>
          <w:rFonts w:ascii="Times New Roman" w:hAnsi="Times New Roman" w:cs="Times New Roman"/>
          <w:sz w:val="24"/>
          <w:szCs w:val="24"/>
        </w:rPr>
        <w:fldChar w:fldCharType="end"/>
      </w:r>
      <w:r w:rsidRPr="007A0334">
        <w:rPr>
          <w:rFonts w:ascii="Times New Roman" w:hAnsi="Times New Roman" w:cs="Times New Roman"/>
          <w:sz w:val="24"/>
          <w:szCs w:val="24"/>
        </w:rPr>
        <w:t>. This support has been pivotal in promoting sustainable agriculture, enhancing food security, modernizing small-scale farming, and strengthening the trade and business environment. Additionally, the USA has been instrumental in addressing climate change, conserving biodiversity, improving public health and education, and promoting democratic institutions an</w:t>
      </w:r>
      <w:r w:rsidR="002053DD">
        <w:rPr>
          <w:rFonts w:ascii="Times New Roman" w:hAnsi="Times New Roman" w:cs="Times New Roman"/>
          <w:sz w:val="24"/>
          <w:szCs w:val="24"/>
        </w:rPr>
        <w:t xml:space="preserve">d labor rights </w:t>
      </w:r>
      <w:r w:rsidR="002053DD">
        <w:rPr>
          <w:rFonts w:ascii="Times New Roman" w:hAnsi="Times New Roman" w:cs="Times New Roman"/>
          <w:sz w:val="24"/>
          <w:szCs w:val="24"/>
        </w:rPr>
        <w:fldChar w:fldCharType="begin" w:fldLock="1"/>
      </w:r>
      <w:r w:rsidR="002053DD">
        <w:rPr>
          <w:rFonts w:ascii="Times New Roman" w:hAnsi="Times New Roman" w:cs="Times New Roman"/>
          <w:sz w:val="24"/>
          <w:szCs w:val="24"/>
        </w:rPr>
        <w:instrText>ADDIN CSL_CITATION {"citationItems":[{"id":"ITEM-1","itemData":{"DOI":"10.1146/annurev.polisci.032708.143524","ISSN":"10942939","abstract":"There is little consensus on whether foreign aid can reliably increase economic growth in recipient countries. We review the literature on aid allocation and provide new evidence suggesting that since 1990 aid donors reward political contestation but not political inclusiveness. Then we examine some challenges in analyzing cross-national data on the aid/growth relationship. Finally, we discuss the causal mechanisms through which foreign aid might affect growth and argue that politics can be viewed as both (a) an exogenous constraint that conditions the causal process linking aid to growth and (b) an endogenous factor that is affected by foreign aid and in turn impacts economic growth. Copyright © 2010 by Annual Reviews. All rights reserved.","author":[{"dropping-particle":"","family":"Wright","given":"Joseph","non-dropping-particle":"","parse-names":false,"suffix":""},{"dropping-particle":"","family":"Winters","given":"Matthew","non-dropping-particle":"","parse-names":false,"suffix":""}],"container-title":"Annual Review of Political Science","id":"ITEM-1","issue":"November 2009","issued":{"date-parts":[["2010"]]},"page":"61-80","title":"The politics of effective foreign aid","type":"article-journal","volume":"13"},"uris":["http://www.mendeley.com/documents/?uuid=c6ebdb90-c278-4672-b5d1-756de230ebdc"]}],"mendeley":{"formattedCitation":"(Wright &amp; Winters, 2010)","plainTextFormattedCitation":"(Wright &amp; Winters, 2010)","previouslyFormattedCitation":"(Wright &amp; Winters, 2010)"},"properties":{"noteIndex":0},"schema":"https://github.com/citation-style-language/schema/raw/master/csl-citation.json"}</w:instrText>
      </w:r>
      <w:r w:rsidR="002053DD">
        <w:rPr>
          <w:rFonts w:ascii="Times New Roman" w:hAnsi="Times New Roman" w:cs="Times New Roman"/>
          <w:sz w:val="24"/>
          <w:szCs w:val="24"/>
        </w:rPr>
        <w:fldChar w:fldCharType="separate"/>
      </w:r>
      <w:r w:rsidR="002053DD" w:rsidRPr="002053DD">
        <w:rPr>
          <w:rFonts w:ascii="Times New Roman" w:hAnsi="Times New Roman" w:cs="Times New Roman"/>
          <w:noProof/>
          <w:sz w:val="24"/>
          <w:szCs w:val="24"/>
        </w:rPr>
        <w:t>(Wright &amp; Winters, 2010)</w:t>
      </w:r>
      <w:r w:rsidR="002053DD">
        <w:rPr>
          <w:rFonts w:ascii="Times New Roman" w:hAnsi="Times New Roman" w:cs="Times New Roman"/>
          <w:sz w:val="24"/>
          <w:szCs w:val="24"/>
        </w:rPr>
        <w:fldChar w:fldCharType="end"/>
      </w:r>
      <w:r w:rsidRPr="007A0334">
        <w:rPr>
          <w:rFonts w:ascii="Times New Roman" w:hAnsi="Times New Roman" w:cs="Times New Roman"/>
          <w:sz w:val="24"/>
          <w:szCs w:val="24"/>
        </w:rPr>
        <w:t>. The USA's role has also extended to providing crucial support during crises, such as the Rohingya refugee situation and the COVID-19 pandemic.</w:t>
      </w:r>
    </w:p>
    <w:p w:rsidR="00E20D09" w:rsidRPr="007A0334" w:rsidRDefault="00E20D09" w:rsidP="00F15F62">
      <w:pPr>
        <w:spacing w:line="360" w:lineRule="auto"/>
        <w:jc w:val="both"/>
        <w:rPr>
          <w:rFonts w:ascii="Times New Roman" w:hAnsi="Times New Roman" w:cs="Times New Roman"/>
          <w:sz w:val="24"/>
          <w:szCs w:val="24"/>
        </w:rPr>
      </w:pPr>
      <w:r w:rsidRPr="007A0334">
        <w:rPr>
          <w:rFonts w:ascii="Times New Roman" w:hAnsi="Times New Roman" w:cs="Times New Roman"/>
          <w:sz w:val="24"/>
          <w:szCs w:val="24"/>
        </w:rPr>
        <w:t xml:space="preserve">The positive impact of international relations on economic development is well-documented </w:t>
      </w:r>
      <w:r w:rsidR="002053DD">
        <w:rPr>
          <w:rFonts w:ascii="Times New Roman" w:hAnsi="Times New Roman" w:cs="Times New Roman"/>
          <w:sz w:val="24"/>
          <w:szCs w:val="24"/>
        </w:rPr>
        <w:fldChar w:fldCharType="begin" w:fldLock="1"/>
      </w:r>
      <w:r w:rsidR="006A11D8">
        <w:rPr>
          <w:rFonts w:ascii="Times New Roman" w:hAnsi="Times New Roman" w:cs="Times New Roman"/>
          <w:sz w:val="24"/>
          <w:szCs w:val="24"/>
        </w:rPr>
        <w:instrText>ADDIN CSL_CITATION {"citationItems":[{"id":"ITEM-1","itemData":{"DOI":"10.1080/07036330802142152","ISSN":"14772280","abstract":"The linkage of development cooperation with migration policies has been promoted widely by international organizations from 2000 onwards. This paper analyses the factors that have prompted and impeded a reorientation of the dominant migration policy-frame within the EU towards the realization of a migration–development nexus. It is argued that external events such as the international debate on the migration–development nexus and the external shocks provoked by the events in Ceuta and Melilla prompted the EU to rethink its traditionally rather narrow approach, focusing on the repression of migration flows. However, the persistence of the established policy-frame and the existing institutional setting limit the scope for balanced policy coordination, introducing development mainly as an instrument of migration policy rather than the other way round. Challenging the literature that argues that there is a necessary trade-off between a development and a security-orientated migration policy, it is shown that this dichotomous juxtaposition hides the many ways in which different orientations can be combined, depending on the institutional context within which they are framed. © 2008, Taylor &amp; Francis Group, LLC.","author":[{"dropping-particle":"","family":"Lavenex","given":"Sandra","non-dropping-particle":"","parse-names":false,"suffix":""},{"dropping-particle":"","family":"Kunz","given":"Rahel","non-dropping-particle":"","parse-names":false,"suffix":""}],"container-title":"Journal of European Integration","id":"ITEM-1","issue":"3","issued":{"date-parts":[["2008"]]},"page":"439-457","title":"The migration–development nexus in EU external relations","type":"article-journal","volume":"30"},"uris":["http://www.mendeley.com/documents/?uuid=87fdbe5e-41d0-4f96-9473-cc4ddc71a945"]}],"mendeley":{"formattedCitation":"(Lavenex &amp; Kunz, 2008)","plainTextFormattedCitation":"(Lavenex &amp; Kunz, 2008)","previouslyFormattedCitation":"(Lavenex &amp; Kunz, 2008)"},"properties":{"noteIndex":0},"schema":"https://github.com/citation-style-language/schema/raw/master/csl-citation.json"}</w:instrText>
      </w:r>
      <w:r w:rsidR="002053DD">
        <w:rPr>
          <w:rFonts w:ascii="Times New Roman" w:hAnsi="Times New Roman" w:cs="Times New Roman"/>
          <w:sz w:val="24"/>
          <w:szCs w:val="24"/>
        </w:rPr>
        <w:fldChar w:fldCharType="separate"/>
      </w:r>
      <w:r w:rsidR="002053DD" w:rsidRPr="002053DD">
        <w:rPr>
          <w:rFonts w:ascii="Times New Roman" w:hAnsi="Times New Roman" w:cs="Times New Roman"/>
          <w:noProof/>
          <w:sz w:val="24"/>
          <w:szCs w:val="24"/>
        </w:rPr>
        <w:t>(Lavenex &amp; Kunz, 2008)</w:t>
      </w:r>
      <w:r w:rsidR="002053DD">
        <w:rPr>
          <w:rFonts w:ascii="Times New Roman" w:hAnsi="Times New Roman" w:cs="Times New Roman"/>
          <w:sz w:val="24"/>
          <w:szCs w:val="24"/>
        </w:rPr>
        <w:fldChar w:fldCharType="end"/>
      </w:r>
      <w:r w:rsidRPr="007A0334">
        <w:rPr>
          <w:rFonts w:ascii="Times New Roman" w:hAnsi="Times New Roman" w:cs="Times New Roman"/>
          <w:sz w:val="24"/>
          <w:szCs w:val="24"/>
        </w:rPr>
        <w:t>. These relationships facilitate trade, tourism, and immigration, contributing to the economic transformation of countries like Bangladesh, which has evolved from an agriculture-based economy to a more diversified, globally integrated economy</w:t>
      </w:r>
      <w:r w:rsidR="006A11D8">
        <w:rPr>
          <w:rFonts w:ascii="Times New Roman" w:hAnsi="Times New Roman" w:cs="Times New Roman"/>
          <w:sz w:val="24"/>
          <w:szCs w:val="24"/>
        </w:rPr>
        <w:t xml:space="preserve"> </w:t>
      </w:r>
      <w:r w:rsidR="006A11D8">
        <w:rPr>
          <w:rFonts w:ascii="Times New Roman" w:hAnsi="Times New Roman" w:cs="Times New Roman"/>
          <w:sz w:val="24"/>
          <w:szCs w:val="24"/>
        </w:rPr>
        <w:fldChar w:fldCharType="begin" w:fldLock="1"/>
      </w:r>
      <w:r w:rsidR="006A11D8">
        <w:rPr>
          <w:rFonts w:ascii="Times New Roman" w:hAnsi="Times New Roman" w:cs="Times New Roman"/>
          <w:sz w:val="24"/>
          <w:szCs w:val="24"/>
        </w:rPr>
        <w:instrText>ADDIN CSL_CITATION {"citationItems":[{"id":"ITEM-1","itemData":{"DOI":"10.1016/S0308-521X(03)00090-8","ISSN":"0308521X","abstract":"The sustainability of conventional agriculture in Bangladesh is under threat from the continuous degradation of land and water resources, and from declining yields due to indiscriminate use of agro-chemicals. An NGO is pursuing efforts to promote ecological agriculture with emphasis on better use of on-farm resources and the reduction of external inputs. This paper examines the sustainability of two production systems in terms of their environmental soundness, economic viability and social acceptability based on empirical data collected through a household survey, soil sample analysis, observations and discussions with key informants. Twelve indicators were selected to evaluate sustainability. Significant differences were found between the two systems in crop diversification, soil fertility management, pests and diseases management, and use of agro-chemicals. However, no significant variations were found in other indicators such as land-use pattern, crop yield and stability, risk and uncertainties, and food security. Although crop yield and financial return were found to be slightly higher in the conventional system, the economic return and value addition per unit of land did not show any difference. The findings suggest that ecological agriculture has a tendency towards becoming ecologically, economically and socially more sound than conventional agriculture, as it requires considerably less agro-chemicals, adds more organic matter to the soil, provides balanced food, and requires higher local inputs without markedly compromising output and financial benefits. Broad-policy measures, including the creation of mass awareness of adverse health effects of agrochemical-based products, are outlined for the promotion of ecological agriculture. © 2003 Elsevier Ltd. All rights reserved.","author":[{"dropping-particle":"","family":"Rasul","given":"Golam","non-dropping-particle":"","parse-names":false,"suffix":""},{"dropping-particle":"","family":"Thapa","given":"Gopal B.","non-dropping-particle":"","parse-names":false,"suffix":""}],"container-title":"Agricultural Systems","id":"ITEM-1","issue":"3","issued":{"date-parts":[["2004"]]},"page":"327-351","title":"Sustainability of ecological and conventional agricultural systems in Bangladesh: An assessment based on environmental, economic and social perspectives","type":"article-journal","volume":"79"},"uris":["http://www.mendeley.com/documents/?uuid=af81ce91-28ff-4497-9215-42630535377d"]}],"mendeley":{"formattedCitation":"(Rasul &amp; Thapa, 2004)","plainTextFormattedCitation":"(Rasul &amp; Thapa, 2004)","previouslyFormattedCitation":"(Rasul &amp; Thapa, 2004)"},"properties":{"noteIndex":0},"schema":"https://github.com/citation-style-language/schema/raw/master/csl-citation.json"}</w:instrText>
      </w:r>
      <w:r w:rsidR="006A11D8">
        <w:rPr>
          <w:rFonts w:ascii="Times New Roman" w:hAnsi="Times New Roman" w:cs="Times New Roman"/>
          <w:sz w:val="24"/>
          <w:szCs w:val="24"/>
        </w:rPr>
        <w:fldChar w:fldCharType="separate"/>
      </w:r>
      <w:r w:rsidR="006A11D8" w:rsidRPr="006A11D8">
        <w:rPr>
          <w:rFonts w:ascii="Times New Roman" w:hAnsi="Times New Roman" w:cs="Times New Roman"/>
          <w:noProof/>
          <w:sz w:val="24"/>
          <w:szCs w:val="24"/>
        </w:rPr>
        <w:t>(Rasul &amp; Thapa, 2004)</w:t>
      </w:r>
      <w:r w:rsidR="006A11D8">
        <w:rPr>
          <w:rFonts w:ascii="Times New Roman" w:hAnsi="Times New Roman" w:cs="Times New Roman"/>
          <w:sz w:val="24"/>
          <w:szCs w:val="24"/>
        </w:rPr>
        <w:fldChar w:fldCharType="end"/>
      </w:r>
      <w:r w:rsidRPr="007A0334">
        <w:rPr>
          <w:rFonts w:ascii="Times New Roman" w:hAnsi="Times New Roman" w:cs="Times New Roman"/>
          <w:sz w:val="24"/>
          <w:szCs w:val="24"/>
        </w:rPr>
        <w:t>. The USA's economic engagement with Bangladesh, including foreign direct investment (FDI), remittance inflows, and trade, has been a cornerstone of this transformation. In 2021, Bangladesh's exports to the USA amounted to $8.3 billion, and the USA emerged as the largest contributor of FDI, with $4.3 billion, representing 20% of Bangladesh's total FDI (FDI).</w:t>
      </w:r>
    </w:p>
    <w:p w:rsidR="00E20D09" w:rsidRPr="007A0334" w:rsidRDefault="00E20D09" w:rsidP="00F15F62">
      <w:pPr>
        <w:spacing w:line="360" w:lineRule="auto"/>
        <w:jc w:val="both"/>
        <w:rPr>
          <w:rFonts w:ascii="Times New Roman" w:hAnsi="Times New Roman" w:cs="Times New Roman"/>
          <w:sz w:val="24"/>
          <w:szCs w:val="24"/>
        </w:rPr>
      </w:pPr>
      <w:r w:rsidRPr="007A0334">
        <w:rPr>
          <w:rFonts w:ascii="Times New Roman" w:hAnsi="Times New Roman" w:cs="Times New Roman"/>
          <w:sz w:val="24"/>
          <w:szCs w:val="24"/>
        </w:rPr>
        <w:lastRenderedPageBreak/>
        <w:t xml:space="preserve">Given this context, it is essential to explore the extent and significance of the USA's contributions to Bangladesh's economy. This research aims to uncover the economic dynamics of the USA-Bangladesh relationship, providing valuable insights for policymakers on strengthening bilateral ties. </w:t>
      </w:r>
      <w:r w:rsidR="00AE5D3A">
        <w:rPr>
          <w:rFonts w:ascii="Times New Roman" w:hAnsi="Times New Roman" w:cs="Times New Roman"/>
          <w:sz w:val="24"/>
          <w:szCs w:val="24"/>
        </w:rPr>
        <w:t>This study comprehensively explains the economic interdependence between the two nations by examining factors such as FDI, foreign aid, remittance inflows, and trade</w:t>
      </w:r>
      <w:r w:rsidRPr="007A0334">
        <w:rPr>
          <w:rFonts w:ascii="Times New Roman" w:hAnsi="Times New Roman" w:cs="Times New Roman"/>
          <w:sz w:val="24"/>
          <w:szCs w:val="24"/>
        </w:rPr>
        <w:t>. The selection of these countries is driven by their long-standing political connections and the USA's consistent support for Bangladesh during critical moments, including natural disasters and pandemics.</w:t>
      </w:r>
      <w:r w:rsidR="00E86733">
        <w:rPr>
          <w:rFonts w:ascii="Times New Roman" w:hAnsi="Times New Roman" w:cs="Times New Roman"/>
          <w:sz w:val="24"/>
          <w:szCs w:val="24"/>
        </w:rPr>
        <w:t xml:space="preserve"> The research objectives of this study are the following:</w:t>
      </w:r>
    </w:p>
    <w:p w:rsidR="00E20D09" w:rsidRPr="000F6B5F" w:rsidRDefault="00E20D09" w:rsidP="00F15F62">
      <w:pPr>
        <w:pStyle w:val="ListParagraph"/>
        <w:numPr>
          <w:ilvl w:val="0"/>
          <w:numId w:val="3"/>
        </w:numPr>
        <w:spacing w:line="360" w:lineRule="auto"/>
        <w:jc w:val="both"/>
        <w:rPr>
          <w:rFonts w:ascii="Times New Roman" w:hAnsi="Times New Roman" w:cs="Times New Roman"/>
          <w:sz w:val="24"/>
          <w:szCs w:val="24"/>
        </w:rPr>
      </w:pPr>
      <w:r w:rsidRPr="000F6B5F">
        <w:rPr>
          <w:rFonts w:ascii="Times New Roman" w:hAnsi="Times New Roman" w:cs="Times New Roman"/>
          <w:sz w:val="24"/>
          <w:szCs w:val="24"/>
        </w:rPr>
        <w:t>To analyze the contributions of FDI, remittances, foreign aid, and trade between the USA and Bangladesh.</w:t>
      </w:r>
    </w:p>
    <w:p w:rsidR="00E20D09" w:rsidRPr="000F6B5F" w:rsidRDefault="00E20D09" w:rsidP="00F15F62">
      <w:pPr>
        <w:pStyle w:val="ListParagraph"/>
        <w:numPr>
          <w:ilvl w:val="0"/>
          <w:numId w:val="3"/>
        </w:numPr>
        <w:spacing w:line="360" w:lineRule="auto"/>
        <w:jc w:val="both"/>
        <w:rPr>
          <w:rFonts w:ascii="Times New Roman" w:hAnsi="Times New Roman" w:cs="Times New Roman"/>
          <w:sz w:val="24"/>
          <w:szCs w:val="24"/>
        </w:rPr>
      </w:pPr>
      <w:r w:rsidRPr="000F6B5F">
        <w:rPr>
          <w:rFonts w:ascii="Times New Roman" w:hAnsi="Times New Roman" w:cs="Times New Roman"/>
          <w:sz w:val="24"/>
          <w:szCs w:val="24"/>
        </w:rPr>
        <w:t>To provide a historical overview of the bilateral relationship between these two nations.</w:t>
      </w:r>
    </w:p>
    <w:p w:rsidR="00E20D09" w:rsidRPr="007A0334" w:rsidRDefault="00E20D09" w:rsidP="00F15F62">
      <w:pPr>
        <w:spacing w:line="360" w:lineRule="auto"/>
        <w:jc w:val="both"/>
        <w:rPr>
          <w:rFonts w:ascii="Times New Roman" w:hAnsi="Times New Roman" w:cs="Times New Roman"/>
          <w:sz w:val="24"/>
          <w:szCs w:val="24"/>
        </w:rPr>
      </w:pPr>
      <w:r w:rsidRPr="007A0334">
        <w:rPr>
          <w:rFonts w:ascii="Times New Roman" w:hAnsi="Times New Roman" w:cs="Times New Roman"/>
          <w:sz w:val="24"/>
          <w:szCs w:val="24"/>
        </w:rPr>
        <w:t xml:space="preserve">This study contributes to the existing literature by filling a gap in </w:t>
      </w:r>
      <w:r w:rsidR="00CA4CD6">
        <w:rPr>
          <w:rFonts w:ascii="Times New Roman" w:hAnsi="Times New Roman" w:cs="Times New Roman"/>
          <w:sz w:val="24"/>
          <w:szCs w:val="24"/>
        </w:rPr>
        <w:t>analyzing</w:t>
      </w:r>
      <w:r w:rsidRPr="007A0334">
        <w:rPr>
          <w:rFonts w:ascii="Times New Roman" w:hAnsi="Times New Roman" w:cs="Times New Roman"/>
          <w:sz w:val="24"/>
          <w:szCs w:val="24"/>
        </w:rPr>
        <w:t xml:space="preserve"> the USA's economic contributions to Bangladesh</w:t>
      </w:r>
      <w:r w:rsidR="006A11D8">
        <w:rPr>
          <w:rFonts w:ascii="Times New Roman" w:hAnsi="Times New Roman" w:cs="Times New Roman"/>
          <w:sz w:val="24"/>
          <w:szCs w:val="24"/>
        </w:rPr>
        <w:t xml:space="preserve">. It </w:t>
      </w:r>
      <w:r w:rsidR="00653EEE">
        <w:rPr>
          <w:rFonts w:ascii="Times New Roman" w:hAnsi="Times New Roman" w:cs="Times New Roman"/>
          <w:sz w:val="24"/>
          <w:szCs w:val="24"/>
        </w:rPr>
        <w:t>evaluates</w:t>
      </w:r>
      <w:r w:rsidRPr="007A0334">
        <w:rPr>
          <w:rFonts w:ascii="Times New Roman" w:hAnsi="Times New Roman" w:cs="Times New Roman"/>
          <w:sz w:val="24"/>
          <w:szCs w:val="24"/>
        </w:rPr>
        <w:t xml:space="preserve"> the </w:t>
      </w:r>
      <w:r w:rsidR="00AE5D3A">
        <w:rPr>
          <w:rFonts w:ascii="Times New Roman" w:hAnsi="Times New Roman" w:cs="Times New Roman"/>
          <w:sz w:val="24"/>
          <w:szCs w:val="24"/>
        </w:rPr>
        <w:t>two countries' FDI, foreign aid, remittance, and trade dynamics</w:t>
      </w:r>
      <w:r w:rsidRPr="007A0334">
        <w:rPr>
          <w:rFonts w:ascii="Times New Roman" w:hAnsi="Times New Roman" w:cs="Times New Roman"/>
          <w:sz w:val="24"/>
          <w:szCs w:val="24"/>
        </w:rPr>
        <w:t>.</w:t>
      </w:r>
    </w:p>
    <w:p w:rsidR="00E20D09" w:rsidRPr="007A0334" w:rsidRDefault="00E20D09" w:rsidP="00F15F62">
      <w:pPr>
        <w:spacing w:line="360" w:lineRule="auto"/>
        <w:jc w:val="both"/>
        <w:rPr>
          <w:rFonts w:ascii="Times New Roman" w:hAnsi="Times New Roman" w:cs="Times New Roman"/>
          <w:sz w:val="24"/>
          <w:szCs w:val="24"/>
        </w:rPr>
      </w:pPr>
      <w:r w:rsidRPr="007A0334">
        <w:rPr>
          <w:rFonts w:ascii="Times New Roman" w:hAnsi="Times New Roman" w:cs="Times New Roman"/>
          <w:sz w:val="24"/>
          <w:szCs w:val="24"/>
        </w:rPr>
        <w:t xml:space="preserve">The rest of the paper is structured as follows: The next section reviews the relevant literature on the topic, followed by a discussion of the methodology and data used in the study. </w:t>
      </w:r>
      <w:r w:rsidR="006A11D8">
        <w:rPr>
          <w:rFonts w:ascii="Times New Roman" w:hAnsi="Times New Roman" w:cs="Times New Roman"/>
          <w:sz w:val="24"/>
          <w:szCs w:val="24"/>
        </w:rPr>
        <w:t>Subsequent sections present the findings and analysis</w:t>
      </w:r>
      <w:r w:rsidRPr="007A0334">
        <w:rPr>
          <w:rFonts w:ascii="Times New Roman" w:hAnsi="Times New Roman" w:cs="Times New Roman"/>
          <w:sz w:val="24"/>
          <w:szCs w:val="24"/>
        </w:rPr>
        <w:t xml:space="preserve">, culminating in </w:t>
      </w:r>
      <w:r w:rsidR="00CA4CD6">
        <w:rPr>
          <w:rFonts w:ascii="Times New Roman" w:hAnsi="Times New Roman" w:cs="Times New Roman"/>
          <w:sz w:val="24"/>
          <w:szCs w:val="24"/>
        </w:rPr>
        <w:t>discussing</w:t>
      </w:r>
      <w:r w:rsidRPr="007A0334">
        <w:rPr>
          <w:rFonts w:ascii="Times New Roman" w:hAnsi="Times New Roman" w:cs="Times New Roman"/>
          <w:sz w:val="24"/>
          <w:szCs w:val="24"/>
        </w:rPr>
        <w:t xml:space="preserve"> the implications and conclusions drawn from the research.</w:t>
      </w:r>
    </w:p>
    <w:p w:rsidR="000F6B5F" w:rsidRDefault="000F6B5F" w:rsidP="00F15F62">
      <w:pPr>
        <w:spacing w:line="360" w:lineRule="auto"/>
        <w:jc w:val="both"/>
        <w:rPr>
          <w:rFonts w:ascii="Times New Roman" w:hAnsi="Times New Roman" w:cs="Times New Roman"/>
          <w:sz w:val="24"/>
          <w:szCs w:val="24"/>
        </w:rPr>
      </w:pPr>
    </w:p>
    <w:p w:rsidR="00E20D09" w:rsidRPr="00AE5D3A" w:rsidRDefault="000F6B5F" w:rsidP="00F15F62">
      <w:pPr>
        <w:pStyle w:val="ListParagraph"/>
        <w:numPr>
          <w:ilvl w:val="0"/>
          <w:numId w:val="1"/>
        </w:numPr>
        <w:spacing w:line="360" w:lineRule="auto"/>
        <w:jc w:val="both"/>
        <w:rPr>
          <w:rFonts w:ascii="Times New Roman" w:hAnsi="Times New Roman" w:cs="Times New Roman"/>
          <w:b/>
          <w:sz w:val="24"/>
          <w:szCs w:val="24"/>
        </w:rPr>
      </w:pPr>
      <w:r w:rsidRPr="000F6B5F">
        <w:rPr>
          <w:rFonts w:ascii="Times New Roman" w:hAnsi="Times New Roman" w:cs="Times New Roman"/>
          <w:b/>
          <w:sz w:val="24"/>
          <w:szCs w:val="24"/>
        </w:rPr>
        <w:t>Literature Review</w:t>
      </w:r>
      <w:r w:rsidR="00B25EA9">
        <w:rPr>
          <w:rFonts w:ascii="Times New Roman" w:hAnsi="Times New Roman" w:cs="Times New Roman"/>
          <w:b/>
          <w:sz w:val="24"/>
          <w:szCs w:val="24"/>
        </w:rPr>
        <w:t xml:space="preserve"> and theoretical framework</w:t>
      </w:r>
    </w:p>
    <w:p w:rsidR="000F6B5F" w:rsidRDefault="000F6B5F" w:rsidP="00F15F62">
      <w:pPr>
        <w:spacing w:line="360" w:lineRule="auto"/>
        <w:jc w:val="both"/>
        <w:rPr>
          <w:rFonts w:ascii="Times New Roman" w:hAnsi="Times New Roman" w:cs="Times New Roman"/>
          <w:sz w:val="24"/>
          <w:szCs w:val="24"/>
        </w:rPr>
      </w:pPr>
      <w:r w:rsidRPr="000F6B5F">
        <w:rPr>
          <w:rFonts w:ascii="Times New Roman" w:hAnsi="Times New Roman" w:cs="Times New Roman"/>
          <w:sz w:val="24"/>
          <w:szCs w:val="24"/>
        </w:rPr>
        <w:t>The debate surrounding the shifting global economic power from the United States to China is ongoing, yet the USA's contributions to developing countries, including Bangladesh, remain significant</w:t>
      </w:r>
      <w:r>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{"citationItems":[{"id":"ITEM-1","itemData":{"DOI":"10.1177/00223433030406003","ISSN":"00223433","abstract":"A dynamic pattern that historically played an important role in the rise and fall of the major powers involves the early attainment of power supremacy by comparatively small countries that developed earlier and subsequently lost their status to larger countries that developed later. Cases in point are the staggered rise in power of the UK, France, Germany, Italy, and Japan, and their subsequent loss of status to the USA and the USSR. The development of China and, at some point in the future, of India has the potential of pushing these countries to superpower status while pushing the USA and a revitalized Russia to substantially lower power ranks. If this sequence of events comes to pass, it will fit the same fundamental dynamics that rendered the USA and the USSR superpowers to begin with. The thesis that the economic development of large countries can produce power shifts of major consequence is the focal theme of this article. First, this thesis is discussed in general terms, is related to a number of literatures from several disciplines, and is validated using an econometric model and empirical data. Then, the thesis is brought to bear upon the USA/China 'case'. In this connection, the USA/China shifts in power capabilities that have occurred during the past 50 years are documented and extrapolated over the 1995-2050 time-horizon. The extrapolations are based on seven projections that span diverse presuppositions, assumptions, and approaches. The conceptual and analytical generalities, the empirical analyses, and the forecasts presented suggest the possibility that China will acquire power superiority over the USA within the next half-century.","author":[{"dropping-particle":"","family":"Casetti","given":"Emilio","non-dropping-particle":"","parse-names":false,"suffix":""}],"container-title":"Journal of Peace Research","id":"ITEM-1","issue":"6","issued":{"date-parts":[["2003"]]},"page":"661-675","title":"Power Shifts and Economic Development: When Will China Overtake the USA?","type":"article-journal","volume":"40"},"uris":["http://www.mendeley.com/documents/?uuid=2c5c6bf6-9356-4add-97d1-ecf482919923"]}],"mendeley":{"formattedCitation":"(Casetti, 2003)","plainTextFormattedCitation":"(Casetti, 2003)","previouslyFormattedCitation":"(Casetti, 2003)"},"properties":{"noteIndex":0},"schema":"https://github.com/citation-style-language/schema/raw/master/csl-citation.json"}</w:instrText>
      </w:r>
      <w:r>
        <w:rPr>
          <w:rFonts w:ascii="Times New Roman" w:hAnsi="Times New Roman" w:cs="Times New Roman"/>
          <w:sz w:val="24"/>
          <w:szCs w:val="24"/>
        </w:rPr>
        <w:fldChar w:fldCharType="separate"/>
      </w:r>
      <w:r w:rsidRPr="000F6B5F">
        <w:rPr>
          <w:rFonts w:ascii="Times New Roman" w:hAnsi="Times New Roman" w:cs="Times New Roman"/>
          <w:noProof/>
          <w:sz w:val="24"/>
          <w:szCs w:val="24"/>
        </w:rPr>
        <w:t>(Casetti, 2003)</w:t>
      </w:r>
      <w:r>
        <w:rPr>
          <w:rFonts w:ascii="Times New Roman" w:hAnsi="Times New Roman" w:cs="Times New Roman"/>
          <w:sz w:val="24"/>
          <w:szCs w:val="24"/>
        </w:rPr>
        <w:fldChar w:fldCharType="end"/>
      </w:r>
      <w:r w:rsidRPr="000F6B5F">
        <w:rPr>
          <w:rFonts w:ascii="Times New Roman" w:hAnsi="Times New Roman" w:cs="Times New Roman"/>
          <w:sz w:val="24"/>
          <w:szCs w:val="24"/>
        </w:rPr>
        <w:t xml:space="preserve">. Bangladesh's economic reliance on developed nations, particularly the USA, for foreign direct investment (FDI), remittances, and other forms of aid is well-established </w:t>
      </w:r>
      <w:r>
        <w:rPr>
          <w:rFonts w:ascii="Times New Roman" w:hAnsi="Times New Roman" w:cs="Times New Roman"/>
          <w:sz w:val="24"/>
          <w:szCs w:val="24"/>
        </w:rPr>
        <w:fldChar w:fldCharType="begin" w:fldLock="1"/>
      </w:r>
      <w:r w:rsidR="00AD20EF">
        <w:rPr>
          <w:rFonts w:ascii="Times New Roman" w:hAnsi="Times New Roman" w:cs="Times New Roman"/>
          <w:sz w:val="24"/>
          <w:szCs w:val="24"/>
        </w:rPr>
        <w:instrText>ADDIN CSL_CITATION {"citationItems":[{"id":"ITEM-1","itemData":{"DOI":"10.1016/j.econmod.2011.07.013","ISSN":"02649993","abstract":"Workers' remittance is a major source of foreign exchange earnings and plays an important role in the economy of Bangladesh. It accounts for 12% of GDP in 2010. This paper examines with annual data for 1971-2008, whether the flow of remittances is contributing positively to the development of the financial system of the country. Our results suggest that remittances have a significant positive effect on financial development. However, financial sector's development is neutral in its effect on the inflow of remittances. © 2011 Elsevier B.V.","author":[{"dropping-particle":"","family":"Chowdhury","given":"Mamta B.","non-dropping-particle":"","parse-names":false,"suffix":""}],"container-title":"Economic Modelling","id":"ITEM-1","issue":"6","issued":{"date-parts":[["2011"]]},"page":"2600-2608","title":"Remittances flow and financial development in Bangladesh","type":"article-journal","volume":"28"},"uris":["http://www.mendeley.com/documents/?uuid=46ba98c1-b80f-4a12-82bc-95eb3fb857c5"]}],"mendeley":{"formattedCitation":"(Chowdhury, 2011)","manualFormatting":"(Chowdhury, 2011","plainTextFormattedCitation":"(Chowdhury, 2011)","previouslyFormattedCitation":"(Chowdhury, 2011)"},"properties":{"noteIndex":0},"schema":"https://github.com/citation-style-language/schema/raw/master/csl-citation.json"}</w:instrText>
      </w:r>
      <w:r>
        <w:rPr>
          <w:rFonts w:ascii="Times New Roman" w:hAnsi="Times New Roman" w:cs="Times New Roman"/>
          <w:sz w:val="24"/>
          <w:szCs w:val="24"/>
        </w:rPr>
        <w:fldChar w:fldCharType="separate"/>
      </w:r>
      <w:r w:rsidRPr="000F6B5F">
        <w:rPr>
          <w:rFonts w:ascii="Times New Roman" w:hAnsi="Times New Roman" w:cs="Times New Roman"/>
          <w:noProof/>
          <w:sz w:val="24"/>
          <w:szCs w:val="24"/>
        </w:rPr>
        <w:t>(Chowdhury, 2011</w:t>
      </w:r>
      <w:r>
        <w:rPr>
          <w:rFonts w:ascii="Times New Roman" w:hAnsi="Times New Roman" w:cs="Times New Roman"/>
          <w:sz w:val="24"/>
          <w:szCs w:val="24"/>
        </w:rPr>
        <w:fldChar w:fldCharType="end"/>
      </w:r>
      <w:r w:rsidRPr="000F6B5F">
        <w:rPr>
          <w:rFonts w:ascii="Times New Roman" w:hAnsi="Times New Roman" w:cs="Times New Roman"/>
          <w:sz w:val="24"/>
          <w:szCs w:val="24"/>
        </w:rPr>
        <w:t xml:space="preserve">; </w:t>
      </w:r>
      <w:r w:rsidR="00AD20EF">
        <w:rPr>
          <w:rFonts w:ascii="Times New Roman" w:hAnsi="Times New Roman" w:cs="Times New Roman"/>
          <w:sz w:val="24"/>
          <w:szCs w:val="24"/>
        </w:rPr>
        <w:fldChar w:fldCharType="begin" w:fldLock="1"/>
      </w:r>
      <w:r w:rsidR="00AD20EF">
        <w:rPr>
          <w:rFonts w:ascii="Times New Roman" w:hAnsi="Times New Roman" w:cs="Times New Roman"/>
          <w:sz w:val="24"/>
          <w:szCs w:val="24"/>
        </w:rPr>
        <w:instrText>ADDIN CSL_CITATION {"citationItems":[{"id":"ITEM-1","itemData":{"author":[{"dropping-particle":"","family":"Hasan","given":"Md Didarul","non-dropping-particle":"","parse-names":false,"suffix":""}],"container-title":"The Chittagong University Journal of Business Aministration","id":"ITEM-1","issued":{"date-parts":[["2011"]]},"page":"281-294","title":"Foreign aid dependency of Bangladesh: An evaluation","type":"article-journal","volume":"26"},"uris":["http://www.mendeley.com/documents/?uuid=90fa6e34-5e50-4007-81ea-8a28ee98129f"]}],"mendeley":{"formattedCitation":"(Hasan, 2011)","manualFormatting":"Hasan, 2011","plainTextFormattedCitation":"(Hasan, 2011)","previouslyFormattedCitation":"(Hasan, 2011)"},"properties":{"noteIndex":0},"schema":"https://github.com/citation-style-language/schema/raw/master/csl-citation.json"}</w:instrText>
      </w:r>
      <w:r w:rsidR="00AD20EF">
        <w:rPr>
          <w:rFonts w:ascii="Times New Roman" w:hAnsi="Times New Roman" w:cs="Times New Roman"/>
          <w:sz w:val="24"/>
          <w:szCs w:val="24"/>
        </w:rPr>
        <w:fldChar w:fldCharType="separate"/>
      </w:r>
      <w:r w:rsidR="00AD20EF" w:rsidRPr="00AD20EF">
        <w:rPr>
          <w:rFonts w:ascii="Times New Roman" w:hAnsi="Times New Roman" w:cs="Times New Roman"/>
          <w:noProof/>
          <w:sz w:val="24"/>
          <w:szCs w:val="24"/>
        </w:rPr>
        <w:t>Hasan, 2011</w:t>
      </w:r>
      <w:r w:rsidR="00AD20EF">
        <w:rPr>
          <w:rFonts w:ascii="Times New Roman" w:hAnsi="Times New Roman" w:cs="Times New Roman"/>
          <w:sz w:val="24"/>
          <w:szCs w:val="24"/>
        </w:rPr>
        <w:fldChar w:fldCharType="end"/>
      </w:r>
      <w:r w:rsidR="00AD20EF">
        <w:rPr>
          <w:rFonts w:ascii="Times New Roman" w:hAnsi="Times New Roman" w:cs="Times New Roman"/>
          <w:sz w:val="24"/>
          <w:szCs w:val="24"/>
        </w:rPr>
        <w:t>;</w:t>
      </w:r>
      <w:r w:rsidR="00AD20EF">
        <w:rPr>
          <w:rFonts w:ascii="Times New Roman" w:hAnsi="Times New Roman" w:cs="Times New Roman"/>
          <w:sz w:val="24"/>
          <w:szCs w:val="24"/>
        </w:rPr>
        <w:fldChar w:fldCharType="begin" w:fldLock="1"/>
      </w:r>
      <w:r w:rsidR="00AD20EF">
        <w:rPr>
          <w:rFonts w:ascii="Times New Roman" w:hAnsi="Times New Roman" w:cs="Times New Roman"/>
          <w:sz w:val="24"/>
          <w:szCs w:val="24"/>
        </w:rPr>
        <w:instrText>ADDIN CSL_CITATION {"citationItems":[{"id":"ITEM-1","itemData":{"DOI":"10.1353/jda.2012.0005","abstract":"The famous 'Two Gap' economic theory suggests that an injection of foreign aid raises investment and savings of a country. However, a number of empirical studies have found that foreign aid has actually supplanted savings in many countries. The paper investigates the relationship between aid and gross domestic savings in Bangladesh and finds that these two variables are independent and have no effects on each other, which are different findings compared to other studies. Moreover, this paper concentrates on the capacity of Bangladesh economy to bear the obligation of foreign aid. Unlike some other papers, this one finds out that although the interest payment and total debt service charge of the loan are increasing, it is not a mishap because export earnings and income of economy of Bangladesh are increasing sufficiently enough to bear the burden. So, against the conventional characteristics of foreign aid to Bangladesh, this paper introduces some new issues about it.","author":[{"dropping-particle":"","family":"Istiak","given":"Khandokar Mohammad","non-dropping-particle":"","parse-names":false,"suffix":""}],"container-title":"The Journal of Developing Areas","id":"ITEM-1","issue":"1","issued":{"date-parts":[["2012"]]},"page":"331-343","title":"Foreign Aid to Bangladesh: Some Iconoclastic Issues","type":"article-journal","volume":"46"},"uris":["http://www.mendeley.com/documents/?uuid=c2372462-711e-4448-8c53-4dc71b6b4b75"]}],"mendeley":{"formattedCitation":"(Istiak, 2012)","manualFormatting":" Istiak, 2012)","plainTextFormattedCitation":"(Istiak, 2012)","previouslyFormattedCitation":"(Istiak, 2012)"},"properties":{"noteIndex":0},"schema":"https://github.com/citation-style-language/schema/raw/master/csl-citation.json"}</w:instrText>
      </w:r>
      <w:r w:rsidR="00AD20EF">
        <w:rPr>
          <w:rFonts w:ascii="Times New Roman" w:hAnsi="Times New Roman" w:cs="Times New Roman"/>
          <w:sz w:val="24"/>
          <w:szCs w:val="24"/>
        </w:rPr>
        <w:fldChar w:fldCharType="separate"/>
      </w:r>
      <w:r w:rsidR="00AD20EF">
        <w:rPr>
          <w:rFonts w:ascii="Times New Roman" w:hAnsi="Times New Roman" w:cs="Times New Roman"/>
          <w:noProof/>
          <w:sz w:val="24"/>
          <w:szCs w:val="24"/>
        </w:rPr>
        <w:t xml:space="preserve"> </w:t>
      </w:r>
      <w:r w:rsidR="00AD20EF" w:rsidRPr="00AD20EF">
        <w:rPr>
          <w:rFonts w:ascii="Times New Roman" w:hAnsi="Times New Roman" w:cs="Times New Roman"/>
          <w:noProof/>
          <w:sz w:val="24"/>
          <w:szCs w:val="24"/>
        </w:rPr>
        <w:t>Istiak, 2012)</w:t>
      </w:r>
      <w:r w:rsidR="00AD20EF">
        <w:rPr>
          <w:rFonts w:ascii="Times New Roman" w:hAnsi="Times New Roman" w:cs="Times New Roman"/>
          <w:sz w:val="24"/>
          <w:szCs w:val="24"/>
        </w:rPr>
        <w:fldChar w:fldCharType="end"/>
      </w:r>
      <w:r w:rsidRPr="000F6B5F">
        <w:rPr>
          <w:rFonts w:ascii="Times New Roman" w:hAnsi="Times New Roman" w:cs="Times New Roman"/>
          <w:sz w:val="24"/>
          <w:szCs w:val="24"/>
        </w:rPr>
        <w:t>). The diplomatic relationship between the USA and Bangladesh dates back to Bangladesh's independence</w:t>
      </w:r>
      <w:r w:rsidR="00653EEE">
        <w:rPr>
          <w:rFonts w:ascii="Times New Roman" w:hAnsi="Times New Roman" w:cs="Times New Roman"/>
          <w:sz w:val="24"/>
          <w:szCs w:val="24"/>
        </w:rPr>
        <w:t xml:space="preserve"> and </w:t>
      </w:r>
      <w:r w:rsidRPr="000F6B5F">
        <w:rPr>
          <w:rFonts w:ascii="Times New Roman" w:hAnsi="Times New Roman" w:cs="Times New Roman"/>
          <w:sz w:val="24"/>
          <w:szCs w:val="24"/>
        </w:rPr>
        <w:t>has fostered a supportive alliance with significant econom</w:t>
      </w:r>
      <w:r w:rsidR="00AD20EF">
        <w:rPr>
          <w:rFonts w:ascii="Times New Roman" w:hAnsi="Times New Roman" w:cs="Times New Roman"/>
          <w:sz w:val="24"/>
          <w:szCs w:val="24"/>
        </w:rPr>
        <w:t xml:space="preserve">ic implications </w:t>
      </w:r>
      <w:r w:rsidR="00AD20EF">
        <w:rPr>
          <w:rFonts w:ascii="Times New Roman" w:hAnsi="Times New Roman" w:cs="Times New Roman"/>
          <w:sz w:val="24"/>
          <w:szCs w:val="24"/>
        </w:rPr>
        <w:fldChar w:fldCharType="begin" w:fldLock="1"/>
      </w:r>
      <w:r w:rsidR="00AE5D3A">
        <w:rPr>
          <w:rFonts w:ascii="Times New Roman" w:hAnsi="Times New Roman" w:cs="Times New Roman"/>
          <w:sz w:val="24"/>
          <w:szCs w:val="24"/>
        </w:rPr>
        <w:instrText>ADDIN CSL_CITATION {"citationItems":[{"id":"ITEM-1","itemData":{"DOI":"10.5539/ijbm.v12n6p89","ISSN":"1833-3850","abstract":"The purpose of this paper is to review the Foreign Direct Investment of United States of America in Bangladesh. To pursue the objectives, the study considers the year to year total inflows of FDI and contribution from USA compare to other countries. A time series analysis using simple regression model, Compound growth rate in sectors, investing across borders indicators developed by World Bank group and Market Potential Index conducted by the Michigan state University-International Business Center reveals that, USA average inflow is US$ 115.89 million which is 13% out of the total FDI received Bangladesh. Moreover, USA recent investments in Bangladesh are in four sectors: gas and petroleum, power and banking. As, Bangladesh performance relatively better than India, Pakistan and Srilanka in terms of investing across borders indicators, US companies and government of both nations may positively consider the findings of this study when they are going to formulate investment and trade policies. Making a scope of further studies in related field, this paper contribute to the existing knowledge of US investment opportunities in Bangladesh.","author":[{"dropping-particle":"","family":"Mostafiz","given":"Fahmida","non-dropping-particle":"","parse-names":false,"suffix":""}],"container-title":"International Journal of Business and Management","id":"ITEM-1","issue":"6","issued":{"date-parts":[["2017"]]},"page":"89","title":"Foreign Direct Investment of United States of America in Bangladesh","type":"article-journal","volume":"12"},"uris":["http://www.mendeley.com/documents/?uuid=f048ea84-a63a-424c-b9bd-6e67f3ef4ef5"]}],"mendeley":{"formattedCitation":"(Mostafiz, 2017)","plainTextFormattedCitation":"(Mostafiz, 2017)","previouslyFormattedCitation":"(Mostafiz, 2017)"},"properties":{"noteIndex":0},"schema":"https://github.com/citation-style-language/schema/raw/master/csl-citation.json"}</w:instrText>
      </w:r>
      <w:r w:rsidR="00AD20EF">
        <w:rPr>
          <w:rFonts w:ascii="Times New Roman" w:hAnsi="Times New Roman" w:cs="Times New Roman"/>
          <w:sz w:val="24"/>
          <w:szCs w:val="24"/>
        </w:rPr>
        <w:fldChar w:fldCharType="separate"/>
      </w:r>
      <w:r w:rsidR="00AD20EF" w:rsidRPr="00AD20EF">
        <w:rPr>
          <w:rFonts w:ascii="Times New Roman" w:hAnsi="Times New Roman" w:cs="Times New Roman"/>
          <w:noProof/>
          <w:sz w:val="24"/>
          <w:szCs w:val="24"/>
        </w:rPr>
        <w:t>(Mostafiz, 2017)</w:t>
      </w:r>
      <w:r w:rsidR="00AD20EF">
        <w:rPr>
          <w:rFonts w:ascii="Times New Roman" w:hAnsi="Times New Roman" w:cs="Times New Roman"/>
          <w:sz w:val="24"/>
          <w:szCs w:val="24"/>
        </w:rPr>
        <w:fldChar w:fldCharType="end"/>
      </w:r>
      <w:r w:rsidRPr="000F6B5F">
        <w:rPr>
          <w:rFonts w:ascii="Times New Roman" w:hAnsi="Times New Roman" w:cs="Times New Roman"/>
          <w:sz w:val="24"/>
          <w:szCs w:val="24"/>
        </w:rPr>
        <w:t>.</w:t>
      </w:r>
    </w:p>
    <w:p w:rsidR="00B25EA9" w:rsidRDefault="00AE5D3A" w:rsidP="00F15F62">
      <w:pPr>
        <w:spacing w:line="360" w:lineRule="auto"/>
        <w:jc w:val="both"/>
        <w:rPr>
          <w:rFonts w:ascii="Times New Roman" w:hAnsi="Times New Roman" w:cs="Times New Roman"/>
          <w:sz w:val="24"/>
          <w:szCs w:val="24"/>
        </w:rPr>
      </w:pPr>
      <w:r w:rsidRPr="00AE5D3A">
        <w:rPr>
          <w:rFonts w:ascii="Times New Roman" w:hAnsi="Times New Roman" w:cs="Times New Roman"/>
          <w:sz w:val="24"/>
          <w:szCs w:val="24"/>
        </w:rPr>
        <w:lastRenderedPageBreak/>
        <w:t xml:space="preserve">Previous research has primarily focused on specific aspects of the USA-Bangladesh relationship, particularly </w:t>
      </w:r>
      <w:r w:rsidR="00653EEE">
        <w:rPr>
          <w:rFonts w:ascii="Times New Roman" w:hAnsi="Times New Roman" w:cs="Times New Roman"/>
          <w:sz w:val="24"/>
          <w:szCs w:val="24"/>
        </w:rPr>
        <w:t>regarding</w:t>
      </w:r>
      <w:r w:rsidRPr="00AE5D3A">
        <w:rPr>
          <w:rFonts w:ascii="Times New Roman" w:hAnsi="Times New Roman" w:cs="Times New Roman"/>
          <w:sz w:val="24"/>
          <w:szCs w:val="24"/>
        </w:rPr>
        <w:t xml:space="preserve"> FDI. The USA has consistently been a key source of FDI for Bangladesh, driven by market size, growth potential, and e</w:t>
      </w:r>
      <w:r>
        <w:rPr>
          <w:rFonts w:ascii="Times New Roman" w:hAnsi="Times New Roman" w:cs="Times New Roman"/>
          <w:sz w:val="24"/>
          <w:szCs w:val="24"/>
        </w:rPr>
        <w:t>conomic freedom</w:t>
      </w:r>
      <w:r w:rsidR="00B25EA9">
        <w:rPr>
          <w:rFonts w:ascii="Times New Roman" w:hAnsi="Times New Roman" w:cs="Times New Roman"/>
          <w:sz w:val="24"/>
          <w:szCs w:val="24"/>
        </w:rPr>
        <w:t xml:space="preserve"> </w:t>
      </w:r>
      <w:r w:rsidR="00B25EA9">
        <w:rPr>
          <w:rFonts w:ascii="Times New Roman" w:hAnsi="Times New Roman" w:cs="Times New Roman"/>
          <w:sz w:val="24"/>
          <w:szCs w:val="24"/>
        </w:rPr>
        <w:fldChar w:fldCharType="begin" w:fldLock="1"/>
      </w:r>
      <w:r w:rsidR="00D9190C">
        <w:rPr>
          <w:rFonts w:ascii="Times New Roman" w:hAnsi="Times New Roman" w:cs="Times New Roman"/>
          <w:sz w:val="24"/>
          <w:szCs w:val="24"/>
        </w:rPr>
        <w:instrText>ADDIN CSL_CITATION {"citationItems":[{"id":"ITEM-1","itemData":{"DOI":"10.5539/ijbm.v12n6p89","ISSN":"1833-3850","abstract":"The purpose of this paper is to review the Foreign Direct Investment of United States of America in Bangladesh. To pursue the objectives, the study considers the year to year total inflows of FDI and contribution from USA compare to other countries. A time series analysis using simple regression model, Compound growth rate in sectors, investing across borders indicators developed by World Bank group and Market Potential Index conducted by the Michigan state University-International Business Center reveals that, USA average inflow is US$ 115.89 million which is 13% out of the total FDI received Bangladesh. Moreover, USA recent investments in Bangladesh are in four sectors: gas and petroleum, power and banking. As, Bangladesh performance relatively better than India, Pakistan and Srilanka in terms of investing across borders indicators, US companies and government of both nations may positively consider the findings of this study when they are going to formulate investment and trade policies. Making a scope of further studies in related field, this paper contribute to the existing knowledge of US investment opportunities in Bangladesh.","author":[{"dropping-particle":"","family":"Mostafiz","given":"Fahmida","non-dropping-particle":"","parse-names":false,"suffix":""}],"container-title":"International Journal of Business and Management","id":"ITEM-1","issue":"6","issued":{"date-parts":[["2017"]]},"page":"89","title":"Foreign Direct Investment of United States of America in Bangladesh","type":"article-journal","volume":"12"},"uris":["http://www.mendeley.com/documents/?uuid=f048ea84-a63a-424c-b9bd-6e67f3ef4ef5"]}],"mendeley":{"formattedCitation":"(Mostafiz, 2017)","plainTextFormattedCitation":"(Mostafiz, 2017)","previouslyFormattedCitation":"(Mostafiz, 2017)"},"properties":{"noteIndex":0},"schema":"https://github.com/citation-style-language/schema/raw/master/csl-citation.json"}</w:instrText>
      </w:r>
      <w:r w:rsidR="00B25EA9">
        <w:rPr>
          <w:rFonts w:ascii="Times New Roman" w:hAnsi="Times New Roman" w:cs="Times New Roman"/>
          <w:sz w:val="24"/>
          <w:szCs w:val="24"/>
        </w:rPr>
        <w:fldChar w:fldCharType="separate"/>
      </w:r>
      <w:r w:rsidR="00B25EA9" w:rsidRPr="00B25EA9">
        <w:rPr>
          <w:rFonts w:ascii="Times New Roman" w:hAnsi="Times New Roman" w:cs="Times New Roman"/>
          <w:noProof/>
          <w:sz w:val="24"/>
          <w:szCs w:val="24"/>
        </w:rPr>
        <w:t>(Mostafiz, 2017)</w:t>
      </w:r>
      <w:r w:rsidR="00B25EA9">
        <w:rPr>
          <w:rFonts w:ascii="Times New Roman" w:hAnsi="Times New Roman" w:cs="Times New Roman"/>
          <w:sz w:val="24"/>
          <w:szCs w:val="24"/>
        </w:rPr>
        <w:fldChar w:fldCharType="end"/>
      </w:r>
      <w:r w:rsidR="00653EEE" w:rsidRPr="00653EEE">
        <w:rPr>
          <w:rFonts w:ascii="Times New Roman" w:hAnsi="Times New Roman" w:cs="Times New Roman"/>
          <w:sz w:val="24"/>
          <w:szCs w:val="24"/>
        </w:rPr>
        <w:t xml:space="preserve">. However, </w:t>
      </w:r>
      <w:r w:rsidR="00101BDF">
        <w:rPr>
          <w:rFonts w:ascii="Times New Roman" w:hAnsi="Times New Roman" w:cs="Times New Roman"/>
          <w:sz w:val="24"/>
          <w:szCs w:val="24"/>
        </w:rPr>
        <w:t>it is</w:t>
      </w:r>
      <w:r w:rsidR="00CA4CD6">
        <w:rPr>
          <w:rFonts w:ascii="Times New Roman" w:hAnsi="Times New Roman" w:cs="Times New Roman"/>
          <w:sz w:val="24"/>
          <w:szCs w:val="24"/>
        </w:rPr>
        <w:t xml:space="preserve"> crucial to note that while FDI is a critical component, </w:t>
      </w:r>
      <w:r w:rsidR="00101BDF">
        <w:rPr>
          <w:rFonts w:ascii="Times New Roman" w:hAnsi="Times New Roman" w:cs="Times New Roman"/>
          <w:sz w:val="24"/>
          <w:szCs w:val="24"/>
        </w:rPr>
        <w:t>it is</w:t>
      </w:r>
      <w:r w:rsidR="00CA4CD6">
        <w:rPr>
          <w:rFonts w:ascii="Times New Roman" w:hAnsi="Times New Roman" w:cs="Times New Roman"/>
          <w:sz w:val="24"/>
          <w:szCs w:val="24"/>
        </w:rPr>
        <w:t xml:space="preserve"> not the sole determinant of the economic relationship. To fully understand the </w:t>
      </w:r>
      <w:r w:rsidR="00E86733">
        <w:rPr>
          <w:rFonts w:ascii="Times New Roman" w:hAnsi="Times New Roman" w:cs="Times New Roman"/>
          <w:sz w:val="24"/>
          <w:szCs w:val="24"/>
        </w:rPr>
        <w:t>financial</w:t>
      </w:r>
      <w:r w:rsidR="00CA4CD6">
        <w:rPr>
          <w:rFonts w:ascii="Times New Roman" w:hAnsi="Times New Roman" w:cs="Times New Roman"/>
          <w:sz w:val="24"/>
          <w:szCs w:val="24"/>
        </w:rPr>
        <w:t xml:space="preserve"> ties between the two nations, </w:t>
      </w:r>
      <w:r w:rsidR="00101BDF">
        <w:rPr>
          <w:rFonts w:ascii="Times New Roman" w:hAnsi="Times New Roman" w:cs="Times New Roman"/>
          <w:sz w:val="24"/>
          <w:szCs w:val="24"/>
        </w:rPr>
        <w:t>it is</w:t>
      </w:r>
      <w:r w:rsidR="00CA4CD6">
        <w:rPr>
          <w:rFonts w:ascii="Times New Roman" w:hAnsi="Times New Roman" w:cs="Times New Roman"/>
          <w:sz w:val="24"/>
          <w:szCs w:val="24"/>
        </w:rPr>
        <w:t xml:space="preserve"> essential to consider other factors, such as foreign aid and remittance inflows, which also play a significant role</w:t>
      </w:r>
      <w:r w:rsidRPr="00AE5D3A">
        <w:rPr>
          <w:rFonts w:ascii="Times New Roman" w:hAnsi="Times New Roman" w:cs="Times New Roman"/>
          <w:sz w:val="24"/>
          <w:szCs w:val="24"/>
        </w:rPr>
        <w:t>.</w:t>
      </w:r>
    </w:p>
    <w:p w:rsidR="00003462" w:rsidRPr="0023359E" w:rsidRDefault="00653EEE" w:rsidP="00F15F62">
      <w:pPr>
        <w:spacing w:line="360" w:lineRule="auto"/>
        <w:jc w:val="both"/>
        <w:rPr>
          <w:rFonts w:ascii="Times New Roman" w:hAnsi="Times New Roman" w:cs="Times New Roman"/>
          <w:sz w:val="24"/>
          <w:szCs w:val="24"/>
        </w:rPr>
      </w:pPr>
      <w:r>
        <w:rPr>
          <w:rFonts w:ascii="Times New Roman" w:hAnsi="Times New Roman" w:cs="Times New Roman"/>
          <w:sz w:val="24"/>
          <w:szCs w:val="24"/>
        </w:rPr>
        <w:t>This study draws on dependency theory to understand the economic relationship between the USA and Bangladesh. This framework</w:t>
      </w:r>
      <w:r w:rsidR="00003462" w:rsidRPr="00003462">
        <w:rPr>
          <w:rFonts w:ascii="Times New Roman" w:hAnsi="Times New Roman" w:cs="Times New Roman"/>
          <w:sz w:val="24"/>
          <w:szCs w:val="24"/>
        </w:rPr>
        <w:t xml:space="preserve"> remains vital for analyzing global economic inequalities despite its diminished presence in mainstream discourse since the late 1970s</w:t>
      </w:r>
      <w:r w:rsidR="00003462">
        <w:rPr>
          <w:rFonts w:ascii="Times New Roman" w:hAnsi="Times New Roman" w:cs="Times New Roman"/>
          <w:sz w:val="24"/>
          <w:szCs w:val="24"/>
        </w:rPr>
        <w:t xml:space="preserve"> </w:t>
      </w:r>
      <w:r w:rsidR="00003462">
        <w:rPr>
          <w:rFonts w:ascii="Times New Roman" w:hAnsi="Times New Roman" w:cs="Times New Roman"/>
          <w:sz w:val="24"/>
          <w:szCs w:val="24"/>
        </w:rPr>
        <w:fldChar w:fldCharType="begin" w:fldLock="1"/>
      </w:r>
      <w:r w:rsidR="00D90D3A">
        <w:rPr>
          <w:rFonts w:ascii="Times New Roman" w:hAnsi="Times New Roman" w:cs="Times New Roman"/>
          <w:sz w:val="24"/>
          <w:szCs w:val="24"/>
        </w:rPr>
        <w:instrText>ADDIN CSL_CITATION {"citationItems":[{"id":"ITEM-1","itemData":{"DOI":"10.1111/dech.12593","ISSN":"14677660","abstract":"This article evaluates the relevance of dependency theory for understanding contemporary development challenges, especially in the light of changes in the global economy over the past 50 years. In order to do so, the article rectifies previous misunderstandings of the scholarship and offers a new definition of dependency theory as a research programme, rather than a singular theory. Four core tenets of this research programme are identified: a global historical approach; theorizing of the polarizing tendencies of global capitalism; a focus on structures of production; and a focus on the specific constraints faced by peripheral economies. While each of these elements can be found in many contemporary theories, what makes dependency theory unique — and a particularly strong research programme — is the combination of these elements. The article demonstrates how this approach provides a deep and broad understanding that is necessary to appreciate the persistence of uneven development with reference to two case studies, namely successful industrialization in South Korea, and how the fragmentation of global value chains has impacted industrialization in Indonesia. Finally, the article argues that approaching these kinds of cases through a dependency research programme can contribute to a fruitful renewal of development studies.","author":[{"dropping-particle":"","family":"Kvangraven","given":"Ingrid Harvold","non-dropping-particle":"","parse-names":false,"suffix":""}],"container-title":"Development and Change","id":"ITEM-1","issue":"1","issued":{"date-parts":[["2021"]]},"page":"76-112","title":"Beyond the Stereotype: Restating the Relevance of the Dependency Research Programme","type":"article-journal","volume":"52"},"uris":["http://www.mendeley.com/documents/?uuid=6cf897ac-a0dd-4197-978a-393d3872122c"]}],"mendeley":{"formattedCitation":"(Kvangraven, 2021)","plainTextFormattedCitation":"(Kvangraven, 2021)","previouslyFormattedCitation":"(Kvangraven, 2021)"},"properties":{"noteIndex":0},"schema":"https://github.com/citation-style-language/schema/raw/master/csl-citation.json"}</w:instrText>
      </w:r>
      <w:r w:rsidR="00003462">
        <w:rPr>
          <w:rFonts w:ascii="Times New Roman" w:hAnsi="Times New Roman" w:cs="Times New Roman"/>
          <w:sz w:val="24"/>
          <w:szCs w:val="24"/>
        </w:rPr>
        <w:fldChar w:fldCharType="separate"/>
      </w:r>
      <w:r w:rsidR="00003462" w:rsidRPr="00003462">
        <w:rPr>
          <w:rFonts w:ascii="Times New Roman" w:hAnsi="Times New Roman" w:cs="Times New Roman"/>
          <w:noProof/>
          <w:sz w:val="24"/>
          <w:szCs w:val="24"/>
        </w:rPr>
        <w:t>(Kvangraven, 2021)</w:t>
      </w:r>
      <w:r w:rsidR="00003462">
        <w:rPr>
          <w:rFonts w:ascii="Times New Roman" w:hAnsi="Times New Roman" w:cs="Times New Roman"/>
          <w:sz w:val="24"/>
          <w:szCs w:val="24"/>
        </w:rPr>
        <w:fldChar w:fldCharType="end"/>
      </w:r>
      <w:r w:rsidR="00CA4CD6">
        <w:rPr>
          <w:rFonts w:ascii="Times New Roman" w:hAnsi="Times New Roman" w:cs="Times New Roman"/>
          <w:sz w:val="24"/>
          <w:szCs w:val="24"/>
        </w:rPr>
        <w:t xml:space="preserve">. </w:t>
      </w:r>
      <w:r w:rsidR="00003462" w:rsidRPr="00003462">
        <w:rPr>
          <w:rFonts w:ascii="Times New Roman" w:hAnsi="Times New Roman" w:cs="Times New Roman"/>
          <w:sz w:val="24"/>
          <w:szCs w:val="24"/>
        </w:rPr>
        <w:t xml:space="preserve">This </w:t>
      </w:r>
      <w:r w:rsidR="00CA4CD6">
        <w:rPr>
          <w:rFonts w:ascii="Times New Roman" w:hAnsi="Times New Roman" w:cs="Times New Roman"/>
          <w:sz w:val="24"/>
          <w:szCs w:val="24"/>
        </w:rPr>
        <w:t xml:space="preserve">theory </w:t>
      </w:r>
      <w:r w:rsidR="00003462" w:rsidRPr="00003462">
        <w:rPr>
          <w:rFonts w:ascii="Times New Roman" w:hAnsi="Times New Roman" w:cs="Times New Roman"/>
          <w:sz w:val="24"/>
          <w:szCs w:val="24"/>
        </w:rPr>
        <w:t xml:space="preserve">perspective provides a critical lens </w:t>
      </w:r>
      <w:r w:rsidR="00CA4CD6">
        <w:rPr>
          <w:rFonts w:ascii="Times New Roman" w:hAnsi="Times New Roman" w:cs="Times New Roman"/>
          <w:sz w:val="24"/>
          <w:szCs w:val="24"/>
        </w:rPr>
        <w:t xml:space="preserve">through which </w:t>
      </w:r>
      <w:r w:rsidR="00003462" w:rsidRPr="00003462">
        <w:rPr>
          <w:rFonts w:ascii="Times New Roman" w:hAnsi="Times New Roman" w:cs="Times New Roman"/>
          <w:sz w:val="24"/>
          <w:szCs w:val="24"/>
        </w:rPr>
        <w:t>to examine the economic ties between developed and developing nations, such as the USA and Bangladesh.</w:t>
      </w:r>
    </w:p>
    <w:p w:rsidR="00A6325F" w:rsidRDefault="00DE3383" w:rsidP="00F15F62">
      <w:pPr>
        <w:spacing w:line="360" w:lineRule="auto"/>
        <w:jc w:val="both"/>
        <w:rPr>
          <w:rFonts w:ascii="Times New Roman" w:hAnsi="Times New Roman" w:cs="Times New Roman"/>
          <w:sz w:val="24"/>
          <w:szCs w:val="24"/>
        </w:rPr>
      </w:pPr>
      <w:r>
        <w:rPr>
          <w:rFonts w:ascii="Times New Roman" w:hAnsi="Times New Roman" w:cs="Times New Roman"/>
          <w:sz w:val="24"/>
          <w:szCs w:val="24"/>
        </w:rPr>
        <w:t>I</w:t>
      </w:r>
      <w:r w:rsidR="00444E25" w:rsidRPr="00444E25">
        <w:rPr>
          <w:rFonts w:ascii="Times New Roman" w:hAnsi="Times New Roman" w:cs="Times New Roman"/>
          <w:sz w:val="24"/>
          <w:szCs w:val="24"/>
        </w:rPr>
        <w:t xml:space="preserve">n </w:t>
      </w:r>
      <w:r w:rsidR="00E86733">
        <w:rPr>
          <w:rFonts w:ascii="Times New Roman" w:hAnsi="Times New Roman" w:cs="Times New Roman"/>
          <w:sz w:val="24"/>
          <w:szCs w:val="24"/>
        </w:rPr>
        <w:t>the context of the USA and Bangladesh</w:t>
      </w:r>
      <w:r w:rsidR="00653EEE">
        <w:rPr>
          <w:rFonts w:ascii="Times New Roman" w:hAnsi="Times New Roman" w:cs="Times New Roman"/>
          <w:sz w:val="24"/>
          <w:szCs w:val="24"/>
        </w:rPr>
        <w:t>, institutional theory</w:t>
      </w:r>
      <w:r w:rsidRPr="00444E25">
        <w:rPr>
          <w:rFonts w:ascii="Times New Roman" w:hAnsi="Times New Roman" w:cs="Times New Roman"/>
          <w:sz w:val="24"/>
          <w:szCs w:val="24"/>
        </w:rPr>
        <w:t xml:space="preserve"> offers a robust framework for analyzing the economic ties between nations</w:t>
      </w:r>
      <w:r>
        <w:rPr>
          <w:rFonts w:ascii="Times New Roman" w:hAnsi="Times New Roman" w:cs="Times New Roman"/>
          <w:sz w:val="24"/>
          <w:szCs w:val="24"/>
        </w:rPr>
        <w:t>.</w:t>
      </w:r>
      <w:r w:rsidR="00653EEE">
        <w:rPr>
          <w:rFonts w:ascii="Times New Roman" w:hAnsi="Times New Roman" w:cs="Times New Roman"/>
          <w:sz w:val="24"/>
          <w:szCs w:val="24"/>
        </w:rPr>
        <w:t xml:space="preserve"> </w:t>
      </w:r>
      <w:r w:rsidR="00444E25" w:rsidRPr="00444E25">
        <w:rPr>
          <w:rFonts w:ascii="Times New Roman" w:hAnsi="Times New Roman" w:cs="Times New Roman"/>
          <w:sz w:val="24"/>
          <w:szCs w:val="24"/>
        </w:rPr>
        <w:t xml:space="preserve">This theory posits that </w:t>
      </w:r>
      <w:r w:rsidR="00653EEE">
        <w:rPr>
          <w:rFonts w:ascii="Times New Roman" w:hAnsi="Times New Roman" w:cs="Times New Roman"/>
          <w:sz w:val="24"/>
          <w:szCs w:val="24"/>
        </w:rPr>
        <w:t>formal and informal institutions are critical</w:t>
      </w:r>
      <w:r w:rsidR="00444E25" w:rsidRPr="00444E25">
        <w:rPr>
          <w:rFonts w:ascii="Times New Roman" w:hAnsi="Times New Roman" w:cs="Times New Roman"/>
          <w:sz w:val="24"/>
          <w:szCs w:val="24"/>
        </w:rPr>
        <w:t xml:space="preserve"> in shaping economic relationships and interactions between countries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{"citationItems":[{"id":"ITEM-1","itemData":{"DOI":"10.1177/0569434516630194","ISSN":"23281235","abstract":"Originally published in Volume 36, Number 1, Spring 1992, pages 3-6. Omicron Delta Epsilon presented Douglass North (1920-2015) with the John R. Commons award in 1992 for his contributions to the economics profession. The following year he shared the Nobel Memorial Prize in Economic Sciences with Robert Fogel. The Nobel honored their work in applying economic theory and quantitative methods to the study of economic history and institutional change. As a pioneer in what has become known as cliometrics (named for the classical muse of history, Clio), Professor North’s scholarship focused on how human institutions and their organizational structures influence economic and societal outcomes. He is widely recognized as one of the founders of the New Institutional Economics school of thought. In this paper, his Commons Award lecture, Professor North describes and discusses his views on the limitations of neoclassical economics that are rooted in the assumption of instrumental rationality. His discourse on culturally influenced mental models and the limitations of our ability to process complex information presages the ongoing revolution in behavioral economics. This paper remains as timely today as it did when it first appeared in The American Economist.","author":[{"dropping-particle":"","family":"North","given":"Douglass C.","non-dropping-particle":"","parse-names":false,"suffix":""}],"container-title":"American Economist","id":"ITEM-1","issue":"1","issued":{"date-parts":[["2016"]]},"page":"72-76","title":"Institutions and Economic Theory","type":"article-journal","volume":"61"},"uris":["http://www.mendeley.com/documents/?uuid=347ea55c-4a1c-4b8b-9fc1-2776814f398b"]}],"mendeley":{"formattedCitation":"(North, 2016)","manualFormatting":"(North, 2016","plainTextFormattedCitation":"(North, 2016)","previouslyFormattedCitation":"(North, 2016)"},"properties":{"noteIndex":0},"schema":"https://github.com/citation-style-language/schema/raw/master/csl-citation.json"}</w:instrText>
      </w:r>
      <w:r>
        <w:rPr>
          <w:rFonts w:ascii="Times New Roman" w:hAnsi="Times New Roman" w:cs="Times New Roman"/>
          <w:sz w:val="24"/>
          <w:szCs w:val="24"/>
        </w:rPr>
        <w:fldChar w:fldCharType="separate"/>
      </w:r>
      <w:r w:rsidRPr="00DE3383">
        <w:rPr>
          <w:rFonts w:ascii="Times New Roman" w:hAnsi="Times New Roman" w:cs="Times New Roman"/>
          <w:noProof/>
          <w:sz w:val="24"/>
          <w:szCs w:val="24"/>
        </w:rPr>
        <w:t>(North, 2016</w:t>
      </w:r>
      <w:r>
        <w:rPr>
          <w:rFonts w:ascii="Times New Roman" w:hAnsi="Times New Roman" w:cs="Times New Roman"/>
          <w:sz w:val="24"/>
          <w:szCs w:val="24"/>
        </w:rPr>
        <w:fldChar w:fldCharType="end"/>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{"citationItems":[{"id":"ITEM-1","itemData":{"ISSN":"0265-1335","author":[{"dropping-particle":"","family":"Griffith","given":"David A","non-dropping-particle":"","parse-names":false,"suffix":""},{"dropping-particle":"","family":"Yalcinkaya","given":"Goksel","non-dropping-particle":"","parse-names":false,"suffix":""}],"container-title":"International Marketing Review","id":"ITEM-1","issue":"5","issued":{"date-parts":[["2023"]]},"page":"957-980","publisher":"Emerald Publishing Limited","title":"The power of institutions on international marketing: reflections on the COVID-19 pandemic can inform international marketing activities","type":"article-journal","volume":"40"},"uris":["http://www.mendeley.com/documents/?uuid=05bea863-ca04-4b6b-9a64-2be5e30d9b64"]}],"mendeley":{"formattedCitation":"(Griffith &amp; Yalcinkaya, 2023)","manualFormatting":"; Griffith &amp; Yalcinkaya, 2023)","plainTextFormattedCitation":"(Griffith &amp; Yalcinkaya, 2023)","previouslyFormattedCitation":"(Griffith &amp; Yalcinkaya, 2023)"},"properties":{"noteIndex":0},"schema":"https://github.com/citation-style-language/schema/raw/master/csl-citation.json"}</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DE3383">
        <w:rPr>
          <w:rFonts w:ascii="Times New Roman" w:hAnsi="Times New Roman" w:cs="Times New Roman"/>
          <w:noProof/>
          <w:sz w:val="24"/>
          <w:szCs w:val="24"/>
        </w:rPr>
        <w:t>Griffith &amp; Yalcinkaya, 2023)</w:t>
      </w:r>
      <w:r>
        <w:rPr>
          <w:rFonts w:ascii="Times New Roman" w:hAnsi="Times New Roman" w:cs="Times New Roman"/>
          <w:sz w:val="24"/>
          <w:szCs w:val="24"/>
        </w:rPr>
        <w:fldChar w:fldCharType="end"/>
      </w:r>
      <w:r>
        <w:rPr>
          <w:rFonts w:ascii="Times New Roman" w:hAnsi="Times New Roman" w:cs="Times New Roman"/>
          <w:sz w:val="24"/>
          <w:szCs w:val="24"/>
        </w:rPr>
        <w:t>.</w:t>
      </w:r>
      <w:r w:rsidR="00444E25" w:rsidRPr="00444E25">
        <w:rPr>
          <w:rFonts w:ascii="Times New Roman" w:hAnsi="Times New Roman" w:cs="Times New Roman"/>
          <w:sz w:val="24"/>
          <w:szCs w:val="24"/>
        </w:rPr>
        <w:t xml:space="preserve"> In the case of USA-Bangladesh relations, historical and diplomatic ties have been instrumental in establishing the foundation for economic cooperation. The formal agreements and policies that have emerged from these ties underscore the influence of institutional structures on economi</w:t>
      </w:r>
      <w:r>
        <w:rPr>
          <w:rFonts w:ascii="Times New Roman" w:hAnsi="Times New Roman" w:cs="Times New Roman"/>
          <w:sz w:val="24"/>
          <w:szCs w:val="24"/>
        </w:rPr>
        <w:t xml:space="preserve">c exchanges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{"citationItems":[{"id":"ITEM-1","itemData":{"DOI":"10.1051/shsconf/202317202005","ISBN":"2023172020","abstract":"Using panel data regression analysis, this study examines the connection between institutional quality and economic development for six nations: the US, UK, Germany, Turkey, Russia, and China. The analysis makes use of information from the 1996–2019 Global Development Indicators and Worldwide Governance Indicators from the World Bank. The findings imply that institutional quality, as determined by the presence of the rule of law, the ability of the government to combat corruption, and the efficacy of its regulatory framework, positively affects economic development in all six nations. The effect of each indicator, however, differs between nations. According to the study, economic growth is positively impacted by investment and population expansion, but only to a lesser extent by trade openness and human capital. These findings suggest that countries should focus on improving institutional quality to foster economic growth, and that policies aimed at promoting population growth and investment may also be effective in driving economic growth.","author":[{"dropping-particle":"","family":"Tashtamirov","given":"Magomed","non-dropping-particle":"","parse-names":false,"suffix":""}],"container-title":"SHS Web of Conferences","id":"ITEM-1","issued":{"date-parts":[["2023"]]},"page":"02005","title":"The Role of Institutions in Economic Development and Their Impact on Economic Growth in Different Countries","type":"article-journal","volume":"172"},"uris":["http://www.mendeley.com/documents/?uuid=6f437732-c900-494c-9b31-7086f32562c0"]}],"mendeley":{"formattedCitation":"(Tashtamirov, 2023)","plainTextFormattedCitation":"(Tashtamirov, 2023)","previouslyFormattedCitation":"(Tashtamirov, 2023)"},"properties":{"noteIndex":0},"schema":"https://github.com/citation-style-language/schema/raw/master/csl-citation.json"}</w:instrText>
      </w:r>
      <w:r>
        <w:rPr>
          <w:rFonts w:ascii="Times New Roman" w:hAnsi="Times New Roman" w:cs="Times New Roman"/>
          <w:sz w:val="24"/>
          <w:szCs w:val="24"/>
        </w:rPr>
        <w:fldChar w:fldCharType="separate"/>
      </w:r>
      <w:r w:rsidRPr="00DE3383">
        <w:rPr>
          <w:rFonts w:ascii="Times New Roman" w:hAnsi="Times New Roman" w:cs="Times New Roman"/>
          <w:noProof/>
          <w:sz w:val="24"/>
          <w:szCs w:val="24"/>
        </w:rPr>
        <w:t>(Tashtamirov, 2023)</w:t>
      </w:r>
      <w:r>
        <w:rPr>
          <w:rFonts w:ascii="Times New Roman" w:hAnsi="Times New Roman" w:cs="Times New Roman"/>
          <w:sz w:val="24"/>
          <w:szCs w:val="24"/>
        </w:rPr>
        <w:fldChar w:fldCharType="end"/>
      </w:r>
      <w:r>
        <w:rPr>
          <w:rFonts w:ascii="Times New Roman" w:hAnsi="Times New Roman" w:cs="Times New Roman"/>
          <w:sz w:val="24"/>
          <w:szCs w:val="24"/>
        </w:rPr>
        <w:t>.</w:t>
      </w:r>
      <w:r w:rsidR="00CA4CD6">
        <w:rPr>
          <w:rFonts w:ascii="Times New Roman" w:hAnsi="Times New Roman" w:cs="Times New Roman"/>
          <w:sz w:val="24"/>
          <w:szCs w:val="24"/>
        </w:rPr>
        <w:t xml:space="preserve"> </w:t>
      </w:r>
      <w:r w:rsidR="00653EEE">
        <w:rPr>
          <w:rFonts w:ascii="Times New Roman" w:hAnsi="Times New Roman" w:cs="Times New Roman"/>
          <w:sz w:val="24"/>
          <w:szCs w:val="24"/>
        </w:rPr>
        <w:t xml:space="preserve">Therefore, the USA's economic contributions to Bangladesh can be understood as a product of </w:t>
      </w:r>
      <w:r w:rsidR="00444E25" w:rsidRPr="00444E25">
        <w:rPr>
          <w:rFonts w:ascii="Times New Roman" w:hAnsi="Times New Roman" w:cs="Times New Roman"/>
          <w:sz w:val="24"/>
          <w:szCs w:val="24"/>
        </w:rPr>
        <w:t>formal institutional arrangements, like trade agreements, and the informal networks that have develope</w:t>
      </w:r>
      <w:r>
        <w:rPr>
          <w:rFonts w:ascii="Times New Roman" w:hAnsi="Times New Roman" w:cs="Times New Roman"/>
          <w:sz w:val="24"/>
          <w:szCs w:val="24"/>
        </w:rPr>
        <w:t xml:space="preserve">d over time </w:t>
      </w:r>
      <w:r>
        <w:rPr>
          <w:rFonts w:ascii="Times New Roman" w:hAnsi="Times New Roman" w:cs="Times New Roman"/>
          <w:sz w:val="24"/>
          <w:szCs w:val="24"/>
        </w:rPr>
        <w:fldChar w:fldCharType="begin" w:fldLock="1"/>
      </w:r>
      <w:r w:rsidR="001E0E59">
        <w:rPr>
          <w:rFonts w:ascii="Times New Roman" w:hAnsi="Times New Roman" w:cs="Times New Roman"/>
          <w:sz w:val="24"/>
          <w:szCs w:val="24"/>
        </w:rPr>
        <w:instrText>ADDIN CSL_CITATION {"citationItems":[{"id":"ITEM-1","itemData":{"DOI":"10.1177/0149206315575553","ISSN":"15571211","abstract":"We examine how formal interlocking political ties between business leaders and political actors affect sell-off strategy of firms in emerging markets. We propose that political ties substitute for underdeveloped institutions and provide firms with market intermediation, influence over political actors, and access to resources. These benefits increase the likelihood that firms with political ties will exit through sell-offs, which is an adaptation strategy in emerging markets. We propose that the effectiveness of political ties in facilitating sell-offs is contingent on the type of political ties and the state of institutional development. Empirically, we evaluate 280 television manufacturers in China between 1993 and 2003. Results show that political ties can help firms exit through sell-offs but that these effects are primarily from ties to actors with executive authority rather than legislative authority. The value of executive ties declines with capital market development, while that of legislative ties increases with legal system development. We show that political ties help firms exit an industry, clarify the conditions under which they are valuable during institutional transition, and improve understanding of the seller’s perspective in acquisitions.","author":[{"dropping-particle":"","family":"Zheng","given":"Weiting","non-dropping-particle":"","parse-names":false,"suffix":""},{"dropping-particle":"","family":"Singh","given":"Kulwant","non-dropping-particle":"","parse-names":false,"suffix":""},{"dropping-particle":"","family":"Chung","given":"Chi Nien","non-dropping-particle":"","parse-names":false,"suffix":""}],"container-title":"Journal of Management","id":"ITEM-1","issue":"7","issued":{"date-parts":[["2017"]]},"page":"2005-2036","title":"Ties to Unbind: Political Ties and Firm Sell-Offs During Institutional Transition","type":"article-journal","volume":"43"},"uris":["http://www.mendeley.com/documents/?uuid=7fe327fa-5c8e-4a2d-a010-09c7346b4195"]}],"mendeley":{"formattedCitation":"(Zheng et al., 2017)","plainTextFormattedCitation":"(Zheng et al., 2017)","previouslyFormattedCitation":"(Zheng et al., 2017)"},"properties":{"noteIndex":0},"schema":"https://github.com/citation-style-language/schema/raw/master/csl-citation.json"}</w:instrText>
      </w:r>
      <w:r>
        <w:rPr>
          <w:rFonts w:ascii="Times New Roman" w:hAnsi="Times New Roman" w:cs="Times New Roman"/>
          <w:sz w:val="24"/>
          <w:szCs w:val="24"/>
        </w:rPr>
        <w:fldChar w:fldCharType="separate"/>
      </w:r>
      <w:r w:rsidRPr="00DE3383">
        <w:rPr>
          <w:rFonts w:ascii="Times New Roman" w:hAnsi="Times New Roman" w:cs="Times New Roman"/>
          <w:noProof/>
          <w:sz w:val="24"/>
          <w:szCs w:val="24"/>
        </w:rPr>
        <w:t>(Zheng et al., 2017)</w:t>
      </w:r>
      <w:r>
        <w:rPr>
          <w:rFonts w:ascii="Times New Roman" w:hAnsi="Times New Roman" w:cs="Times New Roman"/>
          <w:sz w:val="24"/>
          <w:szCs w:val="24"/>
        </w:rPr>
        <w:fldChar w:fldCharType="end"/>
      </w:r>
      <w:r w:rsidR="00444E25" w:rsidRPr="00444E25">
        <w:rPr>
          <w:rFonts w:ascii="Times New Roman" w:hAnsi="Times New Roman" w:cs="Times New Roman"/>
          <w:sz w:val="24"/>
          <w:szCs w:val="24"/>
        </w:rPr>
        <w:t>. These institutional dynamics have been pivotal in shaping the trajectory of economic cooperation between the two nations.</w:t>
      </w:r>
    </w:p>
    <w:p w:rsidR="003419AD" w:rsidRDefault="003419AD" w:rsidP="00F15F62">
      <w:pPr>
        <w:spacing w:line="360" w:lineRule="auto"/>
        <w:jc w:val="both"/>
        <w:rPr>
          <w:rFonts w:ascii="Times New Roman" w:hAnsi="Times New Roman" w:cs="Times New Roman"/>
          <w:sz w:val="24"/>
          <w:szCs w:val="24"/>
        </w:rPr>
      </w:pPr>
      <w:r w:rsidRPr="003419AD">
        <w:rPr>
          <w:rFonts w:ascii="Times New Roman" w:hAnsi="Times New Roman" w:cs="Times New Roman"/>
          <w:sz w:val="24"/>
          <w:szCs w:val="24"/>
        </w:rPr>
        <w:t xml:space="preserve">Prior studies have mostly focused on certain elements of the economic relationship between the United States and Bangladesh, </w:t>
      </w:r>
      <w:r w:rsidR="00CA4CD6">
        <w:rPr>
          <w:rFonts w:ascii="Times New Roman" w:hAnsi="Times New Roman" w:cs="Times New Roman"/>
          <w:sz w:val="24"/>
          <w:szCs w:val="24"/>
        </w:rPr>
        <w:t xml:space="preserve">particularly </w:t>
      </w:r>
      <w:r w:rsidRPr="003419AD">
        <w:rPr>
          <w:rFonts w:ascii="Times New Roman" w:hAnsi="Times New Roman" w:cs="Times New Roman"/>
          <w:sz w:val="24"/>
          <w:szCs w:val="24"/>
        </w:rPr>
        <w:t xml:space="preserve">on Foreign Direct Investment (FDI). The United States has consistently been a significant provider of Foreign Direct Investment (FDI) for Bangladesh, mostly due to </w:t>
      </w:r>
      <w:r w:rsidR="00CA4CD6">
        <w:rPr>
          <w:rFonts w:ascii="Times New Roman" w:hAnsi="Times New Roman" w:cs="Times New Roman"/>
          <w:sz w:val="24"/>
          <w:szCs w:val="24"/>
        </w:rPr>
        <w:t xml:space="preserve">its </w:t>
      </w:r>
      <w:r w:rsidRPr="003419AD">
        <w:rPr>
          <w:rFonts w:ascii="Times New Roman" w:hAnsi="Times New Roman" w:cs="Times New Roman"/>
          <w:sz w:val="24"/>
          <w:szCs w:val="24"/>
        </w:rPr>
        <w:t xml:space="preserve">large market size, potential for expansion, and economic independence. According to </w:t>
      </w:r>
      <w:r w:rsidR="001E0E59">
        <w:rPr>
          <w:rFonts w:ascii="Times New Roman" w:hAnsi="Times New Roman" w:cs="Times New Roman"/>
          <w:sz w:val="24"/>
          <w:szCs w:val="24"/>
        </w:rPr>
        <w:t xml:space="preserve"> </w:t>
      </w:r>
      <w:r w:rsidR="001E0E59">
        <w:rPr>
          <w:rFonts w:ascii="Times New Roman" w:hAnsi="Times New Roman" w:cs="Times New Roman"/>
          <w:sz w:val="24"/>
          <w:szCs w:val="24"/>
        </w:rPr>
        <w:fldChar w:fldCharType="begin" w:fldLock="1"/>
      </w:r>
      <w:r w:rsidR="001E0E59">
        <w:rPr>
          <w:rFonts w:ascii="Times New Roman" w:hAnsi="Times New Roman" w:cs="Times New Roman"/>
          <w:sz w:val="24"/>
          <w:szCs w:val="24"/>
        </w:rPr>
        <w:instrText>ADDIN CSL_CITATION {"citationItems":[{"id":"ITEM-1","itemData":{"ISSN":"2664-4622","author":[{"dropping-particle":"","family":"Mostafa","given":"Muhammad Mahmud","non-dropping-particle":"","parse-names":false,"suffix":""}],"container-title":"Bangladesh Journal of Public Administration","id":"ITEM-1","issued":{"date-parts":[["2020"]]},"title":"Foreign direct investment, external debt, and balance of payment: A causality analysis for Bangladesh","type":"article-journal"},"uris":["http://www.mendeley.com/documents/?uuid=694e9b14-358c-4d86-9122-2383c2471e7a"]}],"mendeley":{"formattedCitation":"(Mostafa, 2020)","manualFormatting":"Mostafa (2020)","plainTextFormattedCitation":"(Mostafa, 2020)","previouslyFormattedCitation":"(Mostafa, 2020)"},"properties":{"noteIndex":0},"schema":"https://github.com/citation-style-language/schema/raw/master/csl-citation.json"}</w:instrText>
      </w:r>
      <w:r w:rsidR="001E0E59">
        <w:rPr>
          <w:rFonts w:ascii="Times New Roman" w:hAnsi="Times New Roman" w:cs="Times New Roman"/>
          <w:sz w:val="24"/>
          <w:szCs w:val="24"/>
        </w:rPr>
        <w:fldChar w:fldCharType="separate"/>
      </w:r>
      <w:r w:rsidR="001E0E59" w:rsidRPr="001E0E59">
        <w:rPr>
          <w:rFonts w:ascii="Times New Roman" w:hAnsi="Times New Roman" w:cs="Times New Roman"/>
          <w:noProof/>
          <w:sz w:val="24"/>
          <w:szCs w:val="24"/>
        </w:rPr>
        <w:t xml:space="preserve">Mostafa </w:t>
      </w:r>
      <w:r w:rsidR="001E0E59">
        <w:rPr>
          <w:rFonts w:ascii="Times New Roman" w:hAnsi="Times New Roman" w:cs="Times New Roman"/>
          <w:noProof/>
          <w:sz w:val="24"/>
          <w:szCs w:val="24"/>
        </w:rPr>
        <w:t>(</w:t>
      </w:r>
      <w:r w:rsidR="001E0E59" w:rsidRPr="001E0E59">
        <w:rPr>
          <w:rFonts w:ascii="Times New Roman" w:hAnsi="Times New Roman" w:cs="Times New Roman"/>
          <w:noProof/>
          <w:sz w:val="24"/>
          <w:szCs w:val="24"/>
        </w:rPr>
        <w:t>2020)</w:t>
      </w:r>
      <w:r w:rsidR="001E0E59">
        <w:rPr>
          <w:rFonts w:ascii="Times New Roman" w:hAnsi="Times New Roman" w:cs="Times New Roman"/>
          <w:sz w:val="24"/>
          <w:szCs w:val="24"/>
        </w:rPr>
        <w:fldChar w:fldCharType="end"/>
      </w:r>
      <w:r w:rsidRPr="003419AD">
        <w:rPr>
          <w:rFonts w:ascii="Times New Roman" w:hAnsi="Times New Roman" w:cs="Times New Roman"/>
          <w:sz w:val="24"/>
          <w:szCs w:val="24"/>
        </w:rPr>
        <w:t xml:space="preserve">, the investment made by the USA is greatly influenced by these beneficial conditions, which are in line with Dunning's FDI Theory. This theory suggests that nations with advantageous market conditions attract </w:t>
      </w:r>
      <w:r w:rsidR="00CA4CD6">
        <w:rPr>
          <w:rFonts w:ascii="Times New Roman" w:hAnsi="Times New Roman" w:cs="Times New Roman"/>
          <w:sz w:val="24"/>
          <w:szCs w:val="24"/>
        </w:rPr>
        <w:t xml:space="preserve">significant </w:t>
      </w:r>
      <w:r w:rsidRPr="003419AD">
        <w:rPr>
          <w:rFonts w:ascii="Times New Roman" w:hAnsi="Times New Roman" w:cs="Times New Roman"/>
          <w:sz w:val="24"/>
          <w:szCs w:val="24"/>
        </w:rPr>
        <w:t xml:space="preserve">foreign investment </w:t>
      </w:r>
      <w:r w:rsidR="001E0E59">
        <w:rPr>
          <w:rFonts w:ascii="Times New Roman" w:hAnsi="Times New Roman" w:cs="Times New Roman"/>
          <w:sz w:val="24"/>
          <w:szCs w:val="24"/>
        </w:rPr>
        <w:fldChar w:fldCharType="begin" w:fldLock="1"/>
      </w:r>
      <w:r w:rsidR="00EA7E4C">
        <w:rPr>
          <w:rFonts w:ascii="Times New Roman" w:hAnsi="Times New Roman" w:cs="Times New Roman"/>
          <w:sz w:val="24"/>
          <w:szCs w:val="24"/>
        </w:rPr>
        <w:instrText>ADDIN CSL_CITATION {"citationItems":[{"id":"ITEM-1","itemData":{"DOI":"10.11648/j.ijber.20150401.11","ISSN":"2328-7543","abstract":"Foreign Direct Investment (FDI) is assumed to benefit a poor country like Bangladesh, not only by supplementing domestic investment, but also in terms of employment creation, transfer of technology, increased domestic competition and other positive externalities. This paper focuses on the FDI-led growth hypothesis in the case of Bangladesh. The study is based on time series data from 1973 to 2013. The econometric framework of cointegration and error correction mechanism were used to capture two way linkages between variables interest. It is evident in the results that the regression analyses do not provide much support for the view of a robust link between FDI and growth in Bangladesh. It does not imply that FDI is insignificant. Rather, its analysis reduces the confidence in the belief that FDI has exerted an independent growth effect in Bangladesh. But net attitudes of the civil society on the impact of FDI on opportunities for domestic business and economic activities is positive and net attitudes of foreign firms toward FDI reveals that the investment climate has not improved in Bangladesh as a result of lack of good governance, corruption, political instability and disturbance, bureaucratic inertia, and poor low and order situation.","author":[{"dropping-particle":"","family":"Ali","given":"Shahjahan","non-dropping-particle":"","parse-names":false,"suffix":""},{"dropping-particle":"","family":"Rukunujjaman","given":"Md.","non-dropping-particle":"","parse-names":false,"suffix":""},{"dropping-particle":"","family":"Alam","given":"Khandaker Jahangir","non-dropping-particle":"","parse-names":false,"suffix":""}],"container-title":"International Journal of Business and Economics Research","id":"ITEM-1","issue":"1","issued":{"date-parts":[["2015"]]},"page":"1","title":"An Empirical Analysis of Foreign Direct Investment and Economic Growth in Bangladesh","type":"article-journal","volume":"4"},"uris":["http://www.mendeley.com/documents/?uuid=c4ab7912-cc29-4141-a925-cecce81439ba"]}],"mendeley":{"formattedCitation":"(Ali et al., 2015)","plainTextFormattedCitation":"(Ali et al., 2015)","previouslyFormattedCitation":"(Ali et al., 2015)"},"properties":{"noteIndex":0},"schema":"https://github.com/citation-style-language/schema/raw/master/csl-citation.json"}</w:instrText>
      </w:r>
      <w:r w:rsidR="001E0E59">
        <w:rPr>
          <w:rFonts w:ascii="Times New Roman" w:hAnsi="Times New Roman" w:cs="Times New Roman"/>
          <w:sz w:val="24"/>
          <w:szCs w:val="24"/>
        </w:rPr>
        <w:fldChar w:fldCharType="separate"/>
      </w:r>
      <w:r w:rsidR="001E0E59" w:rsidRPr="001E0E59">
        <w:rPr>
          <w:rFonts w:ascii="Times New Roman" w:hAnsi="Times New Roman" w:cs="Times New Roman"/>
          <w:noProof/>
          <w:sz w:val="24"/>
          <w:szCs w:val="24"/>
        </w:rPr>
        <w:t xml:space="preserve">(Ali et al., </w:t>
      </w:r>
      <w:r w:rsidR="001E0E59" w:rsidRPr="001E0E59">
        <w:rPr>
          <w:rFonts w:ascii="Times New Roman" w:hAnsi="Times New Roman" w:cs="Times New Roman"/>
          <w:noProof/>
          <w:sz w:val="24"/>
          <w:szCs w:val="24"/>
        </w:rPr>
        <w:lastRenderedPageBreak/>
        <w:t>2015)</w:t>
      </w:r>
      <w:r w:rsidR="001E0E59">
        <w:rPr>
          <w:rFonts w:ascii="Times New Roman" w:hAnsi="Times New Roman" w:cs="Times New Roman"/>
          <w:sz w:val="24"/>
          <w:szCs w:val="24"/>
        </w:rPr>
        <w:fldChar w:fldCharType="end"/>
      </w:r>
      <w:r w:rsidRPr="003419AD">
        <w:rPr>
          <w:rFonts w:ascii="Times New Roman" w:hAnsi="Times New Roman" w:cs="Times New Roman"/>
          <w:sz w:val="24"/>
          <w:szCs w:val="24"/>
        </w:rPr>
        <w:t xml:space="preserve">. Multiple studies have provided evidence supporting the hypothesis that </w:t>
      </w:r>
      <w:r w:rsidR="00CA4CD6">
        <w:rPr>
          <w:rFonts w:ascii="Times New Roman" w:hAnsi="Times New Roman" w:cs="Times New Roman"/>
          <w:sz w:val="24"/>
          <w:szCs w:val="24"/>
        </w:rPr>
        <w:t>a positive relationship exists</w:t>
      </w:r>
      <w:r w:rsidRPr="003419AD">
        <w:rPr>
          <w:rFonts w:ascii="Times New Roman" w:hAnsi="Times New Roman" w:cs="Times New Roman"/>
          <w:sz w:val="24"/>
          <w:szCs w:val="24"/>
        </w:rPr>
        <w:t xml:space="preserve"> between foreign direct investment (FDI) and economic growth in Bangladesh. These studies have demonstrated that FDI contributes to </w:t>
      </w:r>
      <w:r w:rsidR="00E86733">
        <w:rPr>
          <w:rFonts w:ascii="Times New Roman" w:hAnsi="Times New Roman" w:cs="Times New Roman"/>
          <w:sz w:val="24"/>
          <w:szCs w:val="24"/>
        </w:rPr>
        <w:t>developing</w:t>
      </w:r>
      <w:r w:rsidRPr="003419AD">
        <w:rPr>
          <w:rFonts w:ascii="Times New Roman" w:hAnsi="Times New Roman" w:cs="Times New Roman"/>
          <w:sz w:val="24"/>
          <w:szCs w:val="24"/>
        </w:rPr>
        <w:t xml:space="preserve"> the country's gross domestic product (GDP) by attracting more capital and facilitating the transfer of knowledge</w:t>
      </w:r>
      <w:r w:rsidR="00EA7E4C">
        <w:rPr>
          <w:rFonts w:ascii="Times New Roman" w:hAnsi="Times New Roman" w:cs="Times New Roman"/>
          <w:sz w:val="24"/>
          <w:szCs w:val="24"/>
        </w:rPr>
        <w:t xml:space="preserve"> </w:t>
      </w:r>
      <w:r w:rsidR="00EA7E4C">
        <w:rPr>
          <w:rFonts w:ascii="Times New Roman" w:hAnsi="Times New Roman" w:cs="Times New Roman"/>
          <w:sz w:val="24"/>
          <w:szCs w:val="24"/>
        </w:rPr>
        <w:fldChar w:fldCharType="begin" w:fldLock="1"/>
      </w:r>
      <w:r w:rsidR="00D02800">
        <w:rPr>
          <w:rFonts w:ascii="Times New Roman" w:hAnsi="Times New Roman" w:cs="Times New Roman"/>
          <w:sz w:val="24"/>
          <w:szCs w:val="24"/>
        </w:rPr>
        <w:instrText>ADDIN CSL_CITATION {"citationItems":[{"id":"ITEM-1","itemData":{"author":[{"dropping-particle":"","family":"Rahman","given":"Afsana","non-dropping-particle":"","parse-names":false,"suffix":""}],"container-title":"Asian Institute of Technology, School of Management, Thailan","id":"ITEM-1","issued":{"date-parts":[["2012"]]},"title":"Foreign direct investment in Bangladesh, prospects and challenges, and its impact on economy","type":"article-journal"},"uris":["http://www.mendeley.com/documents/?uuid=59247af4-2f17-4974-8739-4ef27f8b830c"]}],"mendeley":{"formattedCitation":"(Rahman, 2012)","manualFormatting":"(Rahman, 2012","plainTextFormattedCitation":"(Rahman, 2012)","previouslyFormattedCitation":"(Rahman, 2012)"},"properties":{"noteIndex":0},"schema":"https://github.com/citation-style-language/schema/raw/master/csl-citation.json"}</w:instrText>
      </w:r>
      <w:r w:rsidR="00EA7E4C">
        <w:rPr>
          <w:rFonts w:ascii="Times New Roman" w:hAnsi="Times New Roman" w:cs="Times New Roman"/>
          <w:sz w:val="24"/>
          <w:szCs w:val="24"/>
        </w:rPr>
        <w:fldChar w:fldCharType="separate"/>
      </w:r>
      <w:r w:rsidR="00EA7E4C" w:rsidRPr="00EA7E4C">
        <w:rPr>
          <w:rFonts w:ascii="Times New Roman" w:hAnsi="Times New Roman" w:cs="Times New Roman"/>
          <w:noProof/>
          <w:sz w:val="24"/>
          <w:szCs w:val="24"/>
        </w:rPr>
        <w:t>(Rahman, 2012</w:t>
      </w:r>
      <w:r w:rsidR="00EA7E4C">
        <w:rPr>
          <w:rFonts w:ascii="Times New Roman" w:hAnsi="Times New Roman" w:cs="Times New Roman"/>
          <w:sz w:val="24"/>
          <w:szCs w:val="24"/>
        </w:rPr>
        <w:fldChar w:fldCharType="end"/>
      </w:r>
      <w:r w:rsidR="00EA7E4C">
        <w:rPr>
          <w:rFonts w:ascii="Times New Roman" w:hAnsi="Times New Roman" w:cs="Times New Roman"/>
          <w:sz w:val="24"/>
          <w:szCs w:val="24"/>
        </w:rPr>
        <w:fldChar w:fldCharType="begin" w:fldLock="1"/>
      </w:r>
      <w:r w:rsidR="00D02800">
        <w:rPr>
          <w:rFonts w:ascii="Times New Roman" w:hAnsi="Times New Roman" w:cs="Times New Roman"/>
          <w:sz w:val="24"/>
          <w:szCs w:val="24"/>
        </w:rPr>
        <w:instrText>ADDIN CSL_CITATION {"citationItems":[{"id":"ITEM-1","itemData":{"DOI":"10.19044/esj.2020.v16n10p38","ISSN":"18577881","abstract":"Among various stimulus for growth in economy, Foreign Direct Investment (FDI) is being considered as a significant one even though there are lot of studies that shows otherwise. The relation of FDI and economic growth is been studied vigorously, but there is hardly any study in-depth about Bangladesh which can give us a rich insight into economic growth and bring out other factors to the picture of economic growth. To do that, this study explores the impact of FDI inflows on economic growth in Bangladesh in a period of 1989-2017 employing time series analysis techniques that recognize the problem of nonstationary. To ensure the regression is valid the Unit root test and Cointegration test is been used. Findings from empirical results show as FDI inflow, government consumption, population size and joining WTO have a positive impact on economic growth. Also, the exchange rate seems to be less significant in economic growth.","author":[{"dropping-particle":"","family":"Rajib","given":"Moshfequl Islam","non-dropping-particle":"","parse-names":false,"suffix":""},{"dropping-particle":"","family":"Rahman","given":"Redwanur","non-dropping-particle":"","parse-names":false,"suffix":""}],"container-title":"European Scientific Journal ESJ","id":"ITEM-1","issue":"10","issued":{"date-parts":[["2020"]]},"page":"38-55","title":"Foreign Direct Investment and Economic Growth: Evidence from Bangladesh Economy","type":"article-journal","volume":"16"},"uris":["http://www.mendeley.com/documents/?uuid=bf208059-87b4-4fad-aa6f-8aac672a1034"]}],"mendeley":{"formattedCitation":"(Rajib &amp; Rahman, 2020)","manualFormatting":"; Rajib &amp; Rahman, 2020)","plainTextFormattedCitation":"(Rajib &amp; Rahman, 2020)","previouslyFormattedCitation":"(Rajib &amp; Rahman, 2020)"},"properties":{"noteIndex":0},"schema":"https://github.com/citation-style-language/schema/raw/master/csl-citation.json"}</w:instrText>
      </w:r>
      <w:r w:rsidR="00EA7E4C">
        <w:rPr>
          <w:rFonts w:ascii="Times New Roman" w:hAnsi="Times New Roman" w:cs="Times New Roman"/>
          <w:sz w:val="24"/>
          <w:szCs w:val="24"/>
        </w:rPr>
        <w:fldChar w:fldCharType="separate"/>
      </w:r>
      <w:r w:rsidR="00EA7E4C">
        <w:rPr>
          <w:rFonts w:ascii="Times New Roman" w:hAnsi="Times New Roman" w:cs="Times New Roman"/>
          <w:noProof/>
          <w:sz w:val="24"/>
          <w:szCs w:val="24"/>
        </w:rPr>
        <w:t xml:space="preserve">; </w:t>
      </w:r>
      <w:r w:rsidR="00EA7E4C" w:rsidRPr="00EA7E4C">
        <w:rPr>
          <w:rFonts w:ascii="Times New Roman" w:hAnsi="Times New Roman" w:cs="Times New Roman"/>
          <w:noProof/>
          <w:sz w:val="24"/>
          <w:szCs w:val="24"/>
        </w:rPr>
        <w:t>Rajib &amp; Rahman, 2020)</w:t>
      </w:r>
      <w:r w:rsidR="00EA7E4C">
        <w:rPr>
          <w:rFonts w:ascii="Times New Roman" w:hAnsi="Times New Roman" w:cs="Times New Roman"/>
          <w:sz w:val="24"/>
          <w:szCs w:val="24"/>
        </w:rPr>
        <w:fldChar w:fldCharType="end"/>
      </w:r>
      <w:r w:rsidR="00EA7E4C">
        <w:rPr>
          <w:rFonts w:ascii="Times New Roman" w:hAnsi="Times New Roman" w:cs="Times New Roman"/>
          <w:sz w:val="24"/>
          <w:szCs w:val="24"/>
        </w:rPr>
        <w:t>.</w:t>
      </w:r>
    </w:p>
    <w:p w:rsidR="00A6325F" w:rsidRPr="00A6325F" w:rsidRDefault="00D02800" w:rsidP="00F15F62">
      <w:pPr>
        <w:spacing w:line="360" w:lineRule="auto"/>
        <w:jc w:val="both"/>
        <w:rPr>
          <w:rFonts w:ascii="Times New Roman" w:hAnsi="Times New Roman" w:cs="Times New Roman"/>
          <w:sz w:val="24"/>
          <w:szCs w:val="24"/>
        </w:rPr>
      </w:pPr>
      <w:r w:rsidRPr="00D02800">
        <w:rPr>
          <w:rFonts w:ascii="Times New Roman" w:hAnsi="Times New Roman" w:cs="Times New Roman"/>
          <w:sz w:val="24"/>
          <w:szCs w:val="24"/>
        </w:rPr>
        <w:t>The role of remittances in Bangladesh's economy is further underscored by their substantial share in total remittance inflows, with the USA being a major contributor.</w:t>
      </w:r>
      <w:r w:rsidRPr="00D02800">
        <w:rPr>
          <w:rFonts w:ascii="Arial" w:hAnsi="Arial" w:cs="Arial"/>
          <w:color w:val="1E1D1A"/>
          <w:shd w:val="clear" w:color="auto" w:fill="FFFFFF"/>
        </w:rPr>
        <w:t xml:space="preserve"> </w:t>
      </w:r>
      <w:r w:rsidRPr="00D02800">
        <w:rPr>
          <w:rFonts w:ascii="Times New Roman" w:hAnsi="Times New Roman" w:cs="Times New Roman"/>
          <w:sz w:val="24"/>
          <w:szCs w:val="24"/>
        </w:rPr>
        <w:t xml:space="preserve">This inflow has been crucial for the Bangladeshi economy, as remittances </w:t>
      </w:r>
      <w:r w:rsidR="00CA4CD6">
        <w:rPr>
          <w:rFonts w:ascii="Times New Roman" w:hAnsi="Times New Roman" w:cs="Times New Roman"/>
          <w:sz w:val="24"/>
          <w:szCs w:val="24"/>
        </w:rPr>
        <w:t>support household consumption and</w:t>
      </w:r>
      <w:r w:rsidRPr="00D02800">
        <w:rPr>
          <w:rFonts w:ascii="Times New Roman" w:hAnsi="Times New Roman" w:cs="Times New Roman"/>
          <w:sz w:val="24"/>
          <w:szCs w:val="24"/>
        </w:rPr>
        <w:t xml:space="preserve"> contribute to national savings and investment, fostering economic stability and growth. Studies by </w:t>
      </w:r>
      <w:r>
        <w:rPr>
          <w:rFonts w:ascii="Times New Roman" w:hAnsi="Times New Roman" w:cs="Times New Roman"/>
          <w:sz w:val="24"/>
          <w:szCs w:val="24"/>
        </w:rPr>
        <w:fldChar w:fldCharType="begin" w:fldLock="1"/>
      </w:r>
      <w:r w:rsidR="00CA4CD6">
        <w:rPr>
          <w:rFonts w:ascii="Times New Roman" w:hAnsi="Times New Roman" w:cs="Times New Roman"/>
          <w:sz w:val="24"/>
          <w:szCs w:val="24"/>
        </w:rPr>
        <w:instrText>ADDIN CSL_CITATION {"citationItems":[{"id":"ITEM-1","itemData":{"DOI":"10.1111/ecno.12139","ISSN":"14680300","abstract":"Das and Serieux (2010; 2015) and Serieux (2011) used the term “reverse flows” to define the part of external resources that is not domestically absorbed; instead used to finance debt obligations, capital flight, and accumulate reserves. While there is a vast literature on the growth and development impact of remittances in developing countries, the existing empirical literature has mostly ignored the potential diversion of remittances to reverse flows. This paper bridges the gap in the literature by estimating the reverse flows in the case of Bangladesh, which is one of the top remittance recipient countries in the world. The data set runs from 1976 to 2015. Econometric results obtained by employing the Autoregressive Distributed Lag (ARDL) approach show that almost 13–14% of remittances (as the ratio of gross domestic product, GDP) are diverted to finance reverse flows. In other words, the effects of remittances (as the ratio of GDP) on consumption and investment rates are no more than 86–87%. Therefore, the underlying assumption made in the existing literature that all remittances are used to increase consumption and/or investment overstates the impact of this external resource flow in Bangladesh. Findings from this study have important policy implications not only for Bangladesh but for other remittance recipient developing countries. Our findings will help the government to design policies to ensure the optimum allocation of remittances in the domestic economy.","author":[{"dropping-particle":"","family":"Das","given":"Anupam","non-dropping-particle":"","parse-names":false,"suffix":""},{"dropping-particle":"","family":"Chowdhury","given":"Murshed","non-dropping-particle":"","parse-names":false,"suffix":""}],"container-title":"Economic Notes","id":"ITEM-1","issue":"3","issued":{"date-parts":[["2019"]]},"title":"Macroeconomic impacts of remittances in Bangladesh: The role of reverse flows","type":"article-journal","volume":"48"},"uris":["http://www.mendeley.com/documents/?uuid=45fa4a02-da76-4b15-9639-e516a23de3b7"]}],"mendeley":{"formattedCitation":"(Das &amp; Chowdhury, 2019)","manualFormatting":"Das and Chowdhury (2019)","plainTextFormattedCitation":"(Das &amp; Chowdhury, 2019)","previouslyFormattedCitation":"(Das &amp; Chowdhury, 2019)"},"properties":{"noteIndex":0},"schema":"https://github.com/citation-style-language/schema/raw/master/csl-citation.json"}</w:instrText>
      </w:r>
      <w:r>
        <w:rPr>
          <w:rFonts w:ascii="Times New Roman" w:hAnsi="Times New Roman" w:cs="Times New Roman"/>
          <w:sz w:val="24"/>
          <w:szCs w:val="24"/>
        </w:rPr>
        <w:fldChar w:fldCharType="separate"/>
      </w:r>
      <w:r w:rsidRPr="00D02800">
        <w:rPr>
          <w:rFonts w:ascii="Times New Roman" w:hAnsi="Times New Roman" w:cs="Times New Roman"/>
          <w:noProof/>
          <w:sz w:val="24"/>
          <w:szCs w:val="24"/>
        </w:rPr>
        <w:t xml:space="preserve">Das </w:t>
      </w:r>
      <w:r w:rsidR="00CA4CD6">
        <w:rPr>
          <w:rFonts w:ascii="Times New Roman" w:hAnsi="Times New Roman" w:cs="Times New Roman"/>
          <w:noProof/>
          <w:sz w:val="24"/>
          <w:szCs w:val="24"/>
        </w:rPr>
        <w:t xml:space="preserve">and </w:t>
      </w:r>
      <w:r w:rsidRPr="00D02800">
        <w:rPr>
          <w:rFonts w:ascii="Times New Roman" w:hAnsi="Times New Roman" w:cs="Times New Roman"/>
          <w:noProof/>
          <w:sz w:val="24"/>
          <w:szCs w:val="24"/>
        </w:rPr>
        <w:t xml:space="preserve">Chowdhury </w:t>
      </w:r>
      <w:r>
        <w:rPr>
          <w:rFonts w:ascii="Times New Roman" w:hAnsi="Times New Roman" w:cs="Times New Roman"/>
          <w:noProof/>
          <w:sz w:val="24"/>
          <w:szCs w:val="24"/>
        </w:rPr>
        <w:t>(</w:t>
      </w:r>
      <w:r w:rsidRPr="00D02800">
        <w:rPr>
          <w:rFonts w:ascii="Times New Roman" w:hAnsi="Times New Roman" w:cs="Times New Roman"/>
          <w:noProof/>
          <w:sz w:val="24"/>
          <w:szCs w:val="24"/>
        </w:rPr>
        <w:t>2019)</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D02800">
        <w:rPr>
          <w:rFonts w:ascii="Times New Roman" w:hAnsi="Times New Roman" w:cs="Times New Roman"/>
          <w:sz w:val="24"/>
          <w:szCs w:val="24"/>
        </w:rPr>
        <w:t xml:space="preserve">reinforce this notion, indicating that remittances </w:t>
      </w:r>
      <w:r w:rsidR="00CA4CD6">
        <w:rPr>
          <w:rFonts w:ascii="Times New Roman" w:hAnsi="Times New Roman" w:cs="Times New Roman"/>
          <w:sz w:val="24"/>
          <w:szCs w:val="24"/>
        </w:rPr>
        <w:t>positively correlate</w:t>
      </w:r>
      <w:r w:rsidRPr="00D02800">
        <w:rPr>
          <w:rFonts w:ascii="Times New Roman" w:hAnsi="Times New Roman" w:cs="Times New Roman"/>
          <w:sz w:val="24"/>
          <w:szCs w:val="24"/>
        </w:rPr>
        <w:t xml:space="preserve"> with </w:t>
      </w:r>
      <w:r w:rsidR="00CA4CD6">
        <w:rPr>
          <w:rFonts w:ascii="Times New Roman" w:hAnsi="Times New Roman" w:cs="Times New Roman"/>
          <w:sz w:val="24"/>
          <w:szCs w:val="24"/>
        </w:rPr>
        <w:t>Bangladesh's economic growth and financial development</w:t>
      </w:r>
      <w:r w:rsidRPr="00D02800">
        <w:rPr>
          <w:rFonts w:ascii="Times New Roman" w:hAnsi="Times New Roman" w:cs="Times New Roman"/>
          <w:sz w:val="24"/>
          <w:szCs w:val="24"/>
        </w:rPr>
        <w:t>.</w:t>
      </w:r>
      <w:r>
        <w:rPr>
          <w:rFonts w:ascii="Times New Roman" w:hAnsi="Times New Roman" w:cs="Times New Roman"/>
          <w:sz w:val="24"/>
          <w:szCs w:val="24"/>
        </w:rPr>
        <w:t xml:space="preserve"> </w:t>
      </w:r>
      <w:r w:rsidR="00A6325F" w:rsidRPr="00A6325F">
        <w:rPr>
          <w:rFonts w:ascii="Times New Roman" w:hAnsi="Times New Roman" w:cs="Times New Roman"/>
          <w:sz w:val="24"/>
          <w:szCs w:val="24"/>
        </w:rPr>
        <w:t xml:space="preserve">Despite their importance, the role of remittances in the broader USA-Bangladesh economic relationship has </w:t>
      </w:r>
      <w:r w:rsidR="00E86733">
        <w:rPr>
          <w:rFonts w:ascii="Times New Roman" w:hAnsi="Times New Roman" w:cs="Times New Roman"/>
          <w:sz w:val="24"/>
          <w:szCs w:val="24"/>
        </w:rPr>
        <w:t>yet to be explored</w:t>
      </w:r>
      <w:r w:rsidR="00A6325F" w:rsidRPr="00A6325F">
        <w:rPr>
          <w:rFonts w:ascii="Times New Roman" w:hAnsi="Times New Roman" w:cs="Times New Roman"/>
          <w:sz w:val="24"/>
          <w:szCs w:val="24"/>
        </w:rPr>
        <w:t xml:space="preserve">, especially regarding their long-term impact on Bangladesh's </w:t>
      </w:r>
      <w:r w:rsidR="00E86733">
        <w:rPr>
          <w:rFonts w:ascii="Times New Roman" w:hAnsi="Times New Roman" w:cs="Times New Roman"/>
          <w:sz w:val="24"/>
          <w:szCs w:val="24"/>
        </w:rPr>
        <w:t>financial</w:t>
      </w:r>
      <w:r w:rsidR="00A6325F" w:rsidRPr="00A6325F">
        <w:rPr>
          <w:rFonts w:ascii="Times New Roman" w:hAnsi="Times New Roman" w:cs="Times New Roman"/>
          <w:sz w:val="24"/>
          <w:szCs w:val="24"/>
        </w:rPr>
        <w:t xml:space="preserve"> stability and growth. Addressing this gap is one of the key objectives of this study.</w:t>
      </w:r>
    </w:p>
    <w:p w:rsidR="006A11D8" w:rsidRDefault="00A6325F" w:rsidP="00F15F62">
      <w:pPr>
        <w:spacing w:line="360" w:lineRule="auto"/>
        <w:jc w:val="both"/>
        <w:rPr>
          <w:rFonts w:ascii="Times New Roman" w:hAnsi="Times New Roman" w:cs="Times New Roman"/>
          <w:sz w:val="24"/>
          <w:szCs w:val="24"/>
        </w:rPr>
      </w:pPr>
      <w:r w:rsidRPr="00A6325F">
        <w:rPr>
          <w:rFonts w:ascii="Times New Roman" w:hAnsi="Times New Roman" w:cs="Times New Roman"/>
          <w:sz w:val="24"/>
          <w:szCs w:val="24"/>
        </w:rPr>
        <w:t xml:space="preserve">Additionally, the role of trade, particularly the import-export balance, is critical in strengthening Bangladesh's foreign exchange reserves. However, the potential impact of trade within the USA-Bangladesh economic relationship has </w:t>
      </w:r>
      <w:r w:rsidR="00E86733">
        <w:rPr>
          <w:rFonts w:ascii="Times New Roman" w:hAnsi="Times New Roman" w:cs="Times New Roman"/>
          <w:sz w:val="24"/>
          <w:szCs w:val="24"/>
        </w:rPr>
        <w:t>yet to be</w:t>
      </w:r>
      <w:r w:rsidRPr="00A6325F">
        <w:rPr>
          <w:rFonts w:ascii="Times New Roman" w:hAnsi="Times New Roman" w:cs="Times New Roman"/>
          <w:sz w:val="24"/>
          <w:szCs w:val="24"/>
        </w:rPr>
        <w:t xml:space="preserve"> thoroughly examined. Given Bangladesh's ongoing efforts to bolster its reserves, </w:t>
      </w:r>
      <w:r w:rsidR="00CA4CD6">
        <w:rPr>
          <w:rFonts w:ascii="Times New Roman" w:hAnsi="Times New Roman" w:cs="Times New Roman"/>
          <w:sz w:val="24"/>
          <w:szCs w:val="24"/>
        </w:rPr>
        <w:t>it is essential to evaluate the USA's role in this context thoroughly</w:t>
      </w:r>
      <w:r w:rsidRPr="00A6325F">
        <w:rPr>
          <w:rFonts w:ascii="Times New Roman" w:hAnsi="Times New Roman" w:cs="Times New Roman"/>
          <w:sz w:val="24"/>
          <w:szCs w:val="24"/>
        </w:rPr>
        <w:t>. The existing literature has yet to fully assess how trade interactions between these two nations influence Bangladesh's economic resilience, representing another significant gap t</w:t>
      </w:r>
      <w:r w:rsidR="00D02800">
        <w:rPr>
          <w:rFonts w:ascii="Times New Roman" w:hAnsi="Times New Roman" w:cs="Times New Roman"/>
          <w:sz w:val="24"/>
          <w:szCs w:val="24"/>
        </w:rPr>
        <w:t xml:space="preserve">hat this research aims to fill. </w:t>
      </w:r>
      <w:r w:rsidRPr="00A6325F">
        <w:rPr>
          <w:rFonts w:ascii="Times New Roman" w:hAnsi="Times New Roman" w:cs="Times New Roman"/>
          <w:sz w:val="24"/>
          <w:szCs w:val="24"/>
        </w:rPr>
        <w:t xml:space="preserve">By situating this study within relevant economic theories and identifying gaps in the current literature, this research seeks to provide a more holistic understanding of the USA-Bangladesh economic relationship. The findings from this study will contribute </w:t>
      </w:r>
      <w:r w:rsidR="00CA4CD6">
        <w:rPr>
          <w:rFonts w:ascii="Times New Roman" w:hAnsi="Times New Roman" w:cs="Times New Roman"/>
          <w:sz w:val="24"/>
          <w:szCs w:val="24"/>
        </w:rPr>
        <w:t>to academic discourse and</w:t>
      </w:r>
      <w:r w:rsidRPr="00A6325F">
        <w:rPr>
          <w:rFonts w:ascii="Times New Roman" w:hAnsi="Times New Roman" w:cs="Times New Roman"/>
          <w:sz w:val="24"/>
          <w:szCs w:val="24"/>
        </w:rPr>
        <w:t xml:space="preserve"> offer valuable insights fo</w:t>
      </w:r>
      <w:r w:rsidR="00D41BD3">
        <w:rPr>
          <w:rFonts w:ascii="Times New Roman" w:hAnsi="Times New Roman" w:cs="Times New Roman"/>
          <w:sz w:val="24"/>
          <w:szCs w:val="24"/>
        </w:rPr>
        <w:t>r policymakers in both nations.</w:t>
      </w:r>
    </w:p>
    <w:p w:rsidR="00D41BD3" w:rsidRDefault="00D41BD3" w:rsidP="00F15F62">
      <w:pPr>
        <w:spacing w:line="360" w:lineRule="auto"/>
        <w:jc w:val="both"/>
        <w:rPr>
          <w:rFonts w:ascii="Times New Roman" w:hAnsi="Times New Roman" w:cs="Times New Roman"/>
          <w:sz w:val="24"/>
          <w:szCs w:val="24"/>
        </w:rPr>
      </w:pPr>
    </w:p>
    <w:p w:rsidR="006A11D8" w:rsidRPr="000C457F" w:rsidRDefault="000C457F" w:rsidP="00F15F62">
      <w:pPr>
        <w:pStyle w:val="ListParagraph"/>
        <w:numPr>
          <w:ilvl w:val="0"/>
          <w:numId w:val="1"/>
        </w:numPr>
        <w:spacing w:line="360" w:lineRule="auto"/>
        <w:jc w:val="both"/>
        <w:rPr>
          <w:rFonts w:ascii="Times New Roman" w:hAnsi="Times New Roman" w:cs="Times New Roman"/>
          <w:b/>
          <w:sz w:val="24"/>
          <w:szCs w:val="24"/>
        </w:rPr>
      </w:pPr>
      <w:r w:rsidRPr="000C457F">
        <w:rPr>
          <w:rFonts w:ascii="Times New Roman" w:hAnsi="Times New Roman" w:cs="Times New Roman"/>
          <w:b/>
          <w:sz w:val="24"/>
          <w:szCs w:val="24"/>
        </w:rPr>
        <w:t xml:space="preserve">Methodology </w:t>
      </w:r>
    </w:p>
    <w:p w:rsidR="00D41BD3" w:rsidRDefault="000C457F" w:rsidP="00F15F62">
      <w:pPr>
        <w:spacing w:line="360" w:lineRule="auto"/>
        <w:jc w:val="both"/>
        <w:rPr>
          <w:rFonts w:ascii="Times New Roman" w:hAnsi="Times New Roman" w:cs="Times New Roman"/>
          <w:sz w:val="24"/>
          <w:szCs w:val="24"/>
        </w:rPr>
      </w:pPr>
      <w:r w:rsidRPr="000C457F">
        <w:rPr>
          <w:rFonts w:ascii="Times New Roman" w:hAnsi="Times New Roman" w:cs="Times New Roman"/>
          <w:sz w:val="24"/>
          <w:szCs w:val="24"/>
        </w:rPr>
        <w:t xml:space="preserve">This study </w:t>
      </w:r>
      <w:r w:rsidR="00D41BD3">
        <w:rPr>
          <w:rFonts w:ascii="Times New Roman" w:hAnsi="Times New Roman" w:cs="Times New Roman"/>
          <w:sz w:val="24"/>
          <w:szCs w:val="24"/>
        </w:rPr>
        <w:t>utilizes</w:t>
      </w:r>
      <w:r w:rsidRPr="000C457F">
        <w:rPr>
          <w:rFonts w:ascii="Times New Roman" w:hAnsi="Times New Roman" w:cs="Times New Roman"/>
          <w:sz w:val="24"/>
          <w:szCs w:val="24"/>
        </w:rPr>
        <w:t xml:space="preserve"> a mixed-methods approach, combining quantitative and qualitative analysis to thoroughly assess the economic contributions of the United States to Bangladesh during the last five decades. The research primarily relies on secondary data from reputable governmental and </w:t>
      </w:r>
      <w:r w:rsidRPr="000C457F">
        <w:rPr>
          <w:rFonts w:ascii="Times New Roman" w:hAnsi="Times New Roman" w:cs="Times New Roman"/>
          <w:sz w:val="24"/>
          <w:szCs w:val="24"/>
        </w:rPr>
        <w:lastRenderedPageBreak/>
        <w:t xml:space="preserve">non-governmental sources such as the Bangladesh Bureau of Statistics, </w:t>
      </w:r>
      <w:r w:rsidR="00CA4CD6">
        <w:rPr>
          <w:rFonts w:ascii="Times New Roman" w:hAnsi="Times New Roman" w:cs="Times New Roman"/>
          <w:sz w:val="24"/>
          <w:szCs w:val="24"/>
        </w:rPr>
        <w:t xml:space="preserve">the </w:t>
      </w:r>
      <w:r w:rsidRPr="000C457F">
        <w:rPr>
          <w:rFonts w:ascii="Times New Roman" w:hAnsi="Times New Roman" w:cs="Times New Roman"/>
          <w:sz w:val="24"/>
          <w:szCs w:val="24"/>
        </w:rPr>
        <w:t xml:space="preserve">U.S. Department of State, and the Bangladesh Economic Review. The focus is on essential economic indicators, including Foreign Direct Investment (FDI), foreign aid, remittance inflows, and import-export figures. The quantitative data were </w:t>
      </w:r>
      <w:r w:rsidR="00D41BD3">
        <w:rPr>
          <w:rFonts w:ascii="Times New Roman" w:hAnsi="Times New Roman" w:cs="Times New Roman"/>
          <w:sz w:val="24"/>
          <w:szCs w:val="24"/>
        </w:rPr>
        <w:t>analyzed</w:t>
      </w:r>
      <w:r w:rsidRPr="000C457F">
        <w:rPr>
          <w:rFonts w:ascii="Times New Roman" w:hAnsi="Times New Roman" w:cs="Times New Roman"/>
          <w:sz w:val="24"/>
          <w:szCs w:val="24"/>
        </w:rPr>
        <w:t xml:space="preserve"> to identify temporal trends and patterns. The qualitative data, obtained through content analysis of policy documents, speeches, and reports, were thematically </w:t>
      </w:r>
      <w:r w:rsidR="00D41BD3">
        <w:rPr>
          <w:rFonts w:ascii="Times New Roman" w:hAnsi="Times New Roman" w:cs="Times New Roman"/>
          <w:sz w:val="24"/>
          <w:szCs w:val="24"/>
        </w:rPr>
        <w:t>analyzed</w:t>
      </w:r>
      <w:r w:rsidRPr="000C457F">
        <w:rPr>
          <w:rFonts w:ascii="Times New Roman" w:hAnsi="Times New Roman" w:cs="Times New Roman"/>
          <w:sz w:val="24"/>
          <w:szCs w:val="24"/>
        </w:rPr>
        <w:t xml:space="preserve"> to explore the broader geopolitical implications and socio-economic impacts. </w:t>
      </w:r>
      <w:r w:rsidR="00E86733">
        <w:rPr>
          <w:rFonts w:ascii="Times New Roman" w:hAnsi="Times New Roman" w:cs="Times New Roman"/>
          <w:sz w:val="24"/>
          <w:szCs w:val="24"/>
        </w:rPr>
        <w:t>Data triangulation was utilized to improve the accuracy and dependability of the results</w:t>
      </w:r>
      <w:r w:rsidRPr="000C457F">
        <w:rPr>
          <w:rFonts w:ascii="Times New Roman" w:hAnsi="Times New Roman" w:cs="Times New Roman"/>
          <w:sz w:val="24"/>
          <w:szCs w:val="24"/>
        </w:rPr>
        <w:t xml:space="preserve">, which involved cross-checking information from various reliable sources. The study's assessment is thorough but limited by its use of secondary data, which may </w:t>
      </w:r>
      <w:r w:rsidR="00E86733">
        <w:rPr>
          <w:rFonts w:ascii="Times New Roman" w:hAnsi="Times New Roman" w:cs="Times New Roman"/>
          <w:sz w:val="24"/>
          <w:szCs w:val="24"/>
        </w:rPr>
        <w:t>only partially</w:t>
      </w:r>
      <w:r w:rsidRPr="000C457F">
        <w:rPr>
          <w:rFonts w:ascii="Times New Roman" w:hAnsi="Times New Roman" w:cs="Times New Roman"/>
          <w:sz w:val="24"/>
          <w:szCs w:val="24"/>
        </w:rPr>
        <w:t xml:space="preserve"> capture the subtle effects of U.S. contributions. This suggests that future research should include primary data to strengthen the findings.</w:t>
      </w:r>
    </w:p>
    <w:p w:rsidR="00D41BD3" w:rsidRPr="00D41BD3" w:rsidRDefault="00D41BD3" w:rsidP="00F15F62">
      <w:pPr>
        <w:pStyle w:val="ListParagraph"/>
        <w:numPr>
          <w:ilvl w:val="0"/>
          <w:numId w:val="1"/>
        </w:numPr>
        <w:spacing w:line="360" w:lineRule="auto"/>
        <w:jc w:val="both"/>
        <w:rPr>
          <w:rFonts w:ascii="Times New Roman" w:hAnsi="Times New Roman" w:cs="Times New Roman"/>
          <w:b/>
          <w:sz w:val="24"/>
          <w:szCs w:val="24"/>
        </w:rPr>
      </w:pPr>
      <w:r w:rsidRPr="00D41BD3">
        <w:rPr>
          <w:rFonts w:ascii="Times New Roman" w:eastAsia="Calibri" w:hAnsi="Times New Roman" w:cs="Times New Roman"/>
          <w:b/>
          <w:bCs/>
          <w:sz w:val="24"/>
          <w:szCs w:val="24"/>
        </w:rPr>
        <w:t xml:space="preserve">Findings  </w:t>
      </w:r>
    </w:p>
    <w:p w:rsidR="00D41BD3" w:rsidRPr="00D41BD3" w:rsidRDefault="00D41BD3" w:rsidP="00F15F62">
      <w:pPr>
        <w:pStyle w:val="ListParagraph"/>
        <w:spacing w:line="360" w:lineRule="auto"/>
        <w:jc w:val="both"/>
        <w:rPr>
          <w:rFonts w:ascii="Times New Roman" w:hAnsi="Times New Roman" w:cs="Times New Roman"/>
          <w:b/>
          <w:sz w:val="24"/>
          <w:szCs w:val="24"/>
        </w:rPr>
      </w:pPr>
    </w:p>
    <w:p w:rsidR="00D41BD3" w:rsidRPr="00D41BD3" w:rsidRDefault="00D41BD3" w:rsidP="00F15F62">
      <w:pPr>
        <w:pStyle w:val="ListParagraph"/>
        <w:numPr>
          <w:ilvl w:val="1"/>
          <w:numId w:val="1"/>
        </w:numPr>
        <w:spacing w:line="360" w:lineRule="auto"/>
        <w:jc w:val="both"/>
        <w:rPr>
          <w:rFonts w:ascii="Times New Roman" w:eastAsia="Calibri" w:hAnsi="Times New Roman" w:cs="Times New Roman"/>
          <w:b/>
          <w:lang w:val="en"/>
        </w:rPr>
      </w:pPr>
      <w:r w:rsidRPr="00D41BD3">
        <w:rPr>
          <w:rFonts w:ascii="Times New Roman" w:eastAsia="Calibri" w:hAnsi="Times New Roman" w:cs="Times New Roman"/>
          <w:b/>
          <w:sz w:val="24"/>
          <w:szCs w:val="24"/>
          <w:lang w:val="en"/>
        </w:rPr>
        <w:t xml:space="preserve"> Historical analysis of the economic relationship between the USA-Bangladesh</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 xml:space="preserve">The United States has been one of Bangladesh's most significant development allies since its independence. The United States formally recognized the newly independent nation on April 4, 1972, and pledged $300 million in aid. The United States gave strategic support to West Pakistan to postpone the liberation of Bangladesh, while the Soviet Axis supported East Pakistan (modern-day Bangladesh). The freedom and fears of Soviet influence led to a policy shift, and in 1972, the United States recognized the newly independent </w:t>
      </w:r>
      <w:r w:rsidRPr="00F769BB">
        <w:rPr>
          <w:rFonts w:ascii="Times New Roman" w:eastAsia="Calibri" w:hAnsi="Times New Roman" w:cs="Times New Roman"/>
          <w:bCs/>
          <w:sz w:val="24"/>
          <w:szCs w:val="24"/>
          <w:lang w:val="en"/>
        </w:rPr>
        <w:t>country</w:t>
      </w:r>
      <w:r w:rsidR="00D9190C">
        <w:rPr>
          <w:rFonts w:ascii="Times New Roman" w:eastAsia="Calibri" w:hAnsi="Times New Roman" w:cs="Times New Roman"/>
          <w:bCs/>
          <w:sz w:val="24"/>
          <w:szCs w:val="24"/>
          <w:lang w:val="en"/>
        </w:rPr>
        <w:t xml:space="preserve"> </w:t>
      </w:r>
      <w:r w:rsidR="00D9190C">
        <w:rPr>
          <w:rFonts w:ascii="Times New Roman" w:eastAsia="Calibri" w:hAnsi="Times New Roman" w:cs="Times New Roman"/>
          <w:bCs/>
          <w:sz w:val="24"/>
          <w:szCs w:val="24"/>
          <w:lang w:val="en"/>
        </w:rPr>
        <w:fldChar w:fldCharType="begin" w:fldLock="1"/>
      </w:r>
      <w:r w:rsidR="00D9190C">
        <w:rPr>
          <w:rFonts w:ascii="Times New Roman" w:eastAsia="Calibri" w:hAnsi="Times New Roman" w:cs="Times New Roman"/>
          <w:bCs/>
          <w:sz w:val="24"/>
          <w:szCs w:val="24"/>
          <w:lang w:val="en"/>
        </w:rPr>
        <w:instrText>ADDIN CSL_CITATION {"citationItems":[{"id":"ITEM-1","itemData":{"ISBN":"8131304086","author":[{"dropping-particle":"","family":"Nair","given":"P Sukumaran","non-dropping-particle":"","parse-names":false,"suffix":""}],"id":"ITEM-1","issued":{"date-parts":[["2008"]]},"publisher":"APH Publishing","title":"Indo-Bangladesh Relations","type":"book"},"uris":["http://www.mendeley.com/documents/?uuid=95da2a56-09bb-4bf9-bf0e-86bc7c8cfe4e"]}],"mendeley":{"formattedCitation":"(Nair, 2008)","plainTextFormattedCitation":"(Nair, 2008)","previouslyFormattedCitation":"(Nair, 2008)"},"properties":{"noteIndex":0},"schema":"https://github.com/citation-style-language/schema/raw/master/csl-citation.json"}</w:instrText>
      </w:r>
      <w:r w:rsidR="00D9190C">
        <w:rPr>
          <w:rFonts w:ascii="Times New Roman" w:eastAsia="Calibri" w:hAnsi="Times New Roman" w:cs="Times New Roman"/>
          <w:bCs/>
          <w:sz w:val="24"/>
          <w:szCs w:val="24"/>
          <w:lang w:val="en"/>
        </w:rPr>
        <w:fldChar w:fldCharType="separate"/>
      </w:r>
      <w:r w:rsidR="00D9190C" w:rsidRPr="00D9190C">
        <w:rPr>
          <w:rFonts w:ascii="Times New Roman" w:eastAsia="Calibri" w:hAnsi="Times New Roman" w:cs="Times New Roman"/>
          <w:bCs/>
          <w:noProof/>
          <w:sz w:val="24"/>
          <w:szCs w:val="24"/>
          <w:lang w:val="en"/>
        </w:rPr>
        <w:t>(Nair, 2008)</w:t>
      </w:r>
      <w:r w:rsidR="00D9190C">
        <w:rPr>
          <w:rFonts w:ascii="Times New Roman" w:eastAsia="Calibri" w:hAnsi="Times New Roman" w:cs="Times New Roman"/>
          <w:bCs/>
          <w:sz w:val="24"/>
          <w:szCs w:val="24"/>
          <w:lang w:val="en"/>
        </w:rPr>
        <w:fldChar w:fldCharType="end"/>
      </w:r>
      <w:r w:rsidRPr="00D41BD3">
        <w:rPr>
          <w:rFonts w:ascii="Times New Roman" w:eastAsia="Calibri" w:hAnsi="Times New Roman" w:cs="Times New Roman"/>
          <w:bCs/>
          <w:sz w:val="24"/>
          <w:szCs w:val="24"/>
          <w:lang w:val="en"/>
        </w:rPr>
        <w:t>. Because Bangladesh is a democratic nation, the United States has continued to provide financial assistance to Bangladesh in the years following the end of the Cold War. In addition, the United States has absolved Bangladesh of its 260 million doll</w:t>
      </w:r>
      <w:r w:rsidRPr="00F769BB">
        <w:rPr>
          <w:rFonts w:ascii="Times New Roman" w:eastAsia="Calibri" w:hAnsi="Times New Roman" w:cs="Times New Roman"/>
          <w:bCs/>
          <w:sz w:val="24"/>
          <w:szCs w:val="24"/>
          <w:lang w:val="en"/>
        </w:rPr>
        <w:t>ar debt</w:t>
      </w:r>
      <w:r w:rsidR="00D9190C">
        <w:rPr>
          <w:rFonts w:ascii="Times New Roman" w:eastAsia="Calibri" w:hAnsi="Times New Roman" w:cs="Times New Roman"/>
          <w:bCs/>
          <w:sz w:val="24"/>
          <w:szCs w:val="24"/>
          <w:lang w:val="en"/>
        </w:rPr>
        <w:t xml:space="preserve"> </w:t>
      </w:r>
      <w:r w:rsidR="00D9190C">
        <w:rPr>
          <w:rFonts w:ascii="Times New Roman" w:eastAsia="Calibri" w:hAnsi="Times New Roman" w:cs="Times New Roman"/>
          <w:bCs/>
          <w:sz w:val="24"/>
          <w:szCs w:val="24"/>
          <w:lang w:val="en"/>
        </w:rPr>
        <w:fldChar w:fldCharType="begin" w:fldLock="1"/>
      </w:r>
      <w:r w:rsidR="00CA4CD6">
        <w:rPr>
          <w:rFonts w:ascii="Times New Roman" w:eastAsia="Calibri" w:hAnsi="Times New Roman" w:cs="Times New Roman"/>
          <w:bCs/>
          <w:sz w:val="24"/>
          <w:szCs w:val="24"/>
          <w:lang w:val="en"/>
        </w:rPr>
        <w:instrText>ADDIN CSL_CITATION {"citationItems":[{"id":"ITEM-1","itemData":{"author":[{"dropping-particle":"","family":"Vaughn, B and Mackey","given":"wil","non-dropping-particle":"","parse-names":false,"suffix":""}],"container-title":"Current Politics and Economics","id":"ITEM-1","issue":"3","issued":{"date-parts":[["2017"]]},"page":"44094","title":"BANGLADESH AND BANGLADESH-U.S. RELATIONS","type":"article-journal","volume":"27"},"uris":["http://www.mendeley.com/documents/?uuid=c9f7a1a8-944f-401f-87a6-3baeba38b67b"]}],"mendeley":{"formattedCitation":"(Vaughn, B and Mackey, 2017)","manualFormatting":"(Vaughn et al., 2017)","plainTextFormattedCitation":"(Vaughn, B and Mackey, 2017)","previouslyFormattedCitation":"(Vaughn, B and Mackey, 2017)"},"properties":{"noteIndex":0},"schema":"https://github.com/citation-style-language/schema/raw/master/csl-citation.json"}</w:instrText>
      </w:r>
      <w:r w:rsidR="00D9190C">
        <w:rPr>
          <w:rFonts w:ascii="Times New Roman" w:eastAsia="Calibri" w:hAnsi="Times New Roman" w:cs="Times New Roman"/>
          <w:bCs/>
          <w:sz w:val="24"/>
          <w:szCs w:val="24"/>
          <w:lang w:val="en"/>
        </w:rPr>
        <w:fldChar w:fldCharType="separate"/>
      </w:r>
      <w:r w:rsidR="00D9190C" w:rsidRPr="00D9190C">
        <w:rPr>
          <w:rFonts w:ascii="Times New Roman" w:eastAsia="Calibri" w:hAnsi="Times New Roman" w:cs="Times New Roman"/>
          <w:bCs/>
          <w:noProof/>
          <w:sz w:val="24"/>
          <w:szCs w:val="24"/>
          <w:lang w:val="en"/>
        </w:rPr>
        <w:t>(Vaughn</w:t>
      </w:r>
      <w:r w:rsidR="00CA4CD6">
        <w:rPr>
          <w:rFonts w:ascii="Times New Roman" w:eastAsia="Calibri" w:hAnsi="Times New Roman" w:cs="Times New Roman"/>
          <w:bCs/>
          <w:noProof/>
          <w:sz w:val="24"/>
          <w:szCs w:val="24"/>
          <w:lang w:val="en"/>
        </w:rPr>
        <w:t xml:space="preserve"> et al.</w:t>
      </w:r>
      <w:r w:rsidR="00D9190C" w:rsidRPr="00D9190C">
        <w:rPr>
          <w:rFonts w:ascii="Times New Roman" w:eastAsia="Calibri" w:hAnsi="Times New Roman" w:cs="Times New Roman"/>
          <w:bCs/>
          <w:noProof/>
          <w:sz w:val="24"/>
          <w:szCs w:val="24"/>
          <w:lang w:val="en"/>
        </w:rPr>
        <w:t>, 2017)</w:t>
      </w:r>
      <w:r w:rsidR="00D9190C">
        <w:rPr>
          <w:rFonts w:ascii="Times New Roman" w:eastAsia="Calibri" w:hAnsi="Times New Roman" w:cs="Times New Roman"/>
          <w:bCs/>
          <w:sz w:val="24"/>
          <w:szCs w:val="24"/>
          <w:lang w:val="en"/>
        </w:rPr>
        <w:fldChar w:fldCharType="end"/>
      </w:r>
      <w:r w:rsidR="00D9190C">
        <w:rPr>
          <w:rFonts w:ascii="Times New Roman" w:eastAsia="Calibri" w:hAnsi="Times New Roman" w:cs="Times New Roman"/>
          <w:bCs/>
          <w:sz w:val="24"/>
          <w:szCs w:val="24"/>
          <w:lang w:val="en"/>
        </w:rPr>
        <w:t xml:space="preserve">. </w:t>
      </w:r>
      <w:r w:rsidRPr="00D41BD3">
        <w:rPr>
          <w:rFonts w:ascii="Times New Roman" w:eastAsia="Calibri" w:hAnsi="Times New Roman" w:cs="Times New Roman"/>
          <w:bCs/>
          <w:sz w:val="24"/>
          <w:szCs w:val="24"/>
          <w:lang w:val="en"/>
        </w:rPr>
        <w:t xml:space="preserve"> In 1991, Bangladesh was given a large amount of assistance for cyclone relief as part of an operation called "Operation Sea </w:t>
      </w:r>
      <w:r w:rsidRPr="00F769BB">
        <w:rPr>
          <w:rFonts w:ascii="Times New Roman" w:eastAsia="Calibri" w:hAnsi="Times New Roman" w:cs="Times New Roman"/>
          <w:bCs/>
          <w:sz w:val="24"/>
          <w:szCs w:val="24"/>
          <w:lang w:val="en"/>
        </w:rPr>
        <w:t>Angel"</w:t>
      </w:r>
      <w:r w:rsidRPr="00D41BD3">
        <w:rPr>
          <w:rFonts w:ascii="Times New Roman" w:eastAsia="Calibri" w:hAnsi="Times New Roman" w:cs="Times New Roman"/>
          <w:bCs/>
          <w:sz w:val="24"/>
          <w:szCs w:val="24"/>
          <w:lang w:val="en"/>
        </w:rPr>
        <w:t xml:space="preserve"> </w:t>
      </w:r>
      <w:r w:rsidR="00D9190C">
        <w:rPr>
          <w:rFonts w:ascii="Times New Roman" w:eastAsia="Calibri" w:hAnsi="Times New Roman" w:cs="Times New Roman"/>
          <w:bCs/>
          <w:sz w:val="24"/>
          <w:szCs w:val="24"/>
          <w:lang w:val="en"/>
        </w:rPr>
        <w:fldChar w:fldCharType="begin" w:fldLock="1"/>
      </w:r>
      <w:r w:rsidR="00D9190C">
        <w:rPr>
          <w:rFonts w:ascii="Times New Roman" w:eastAsia="Calibri" w:hAnsi="Times New Roman" w:cs="Times New Roman"/>
          <w:bCs/>
          <w:sz w:val="24"/>
          <w:szCs w:val="24"/>
          <w:lang w:val="en"/>
        </w:rPr>
        <w:instrText>ADDIN CSL_CITATION {"citationItems":[{"id":"ITEM-1","itemData":{"author":[{"dropping-particle":"","family":"Reliefweb","given":"","non-dropping-particle":"","parse-names":false,"suffix":""}],"id":"ITEM-1","issued":{"date-parts":[["2008"]]},"title":"Cyclone Sidr - Nov 2007","type":"webpage"},"uris":["http://www.mendeley.com/documents/?uuid=0a1a74e3-4242-4e39-bac1-6c58b07aa2fa"]}],"mendeley":{"formattedCitation":"(Reliefweb, 2008)","plainTextFormattedCitation":"(Reliefweb, 2008)","previouslyFormattedCitation":"(Reliefweb, 2008)"},"properties":{"noteIndex":0},"schema":"https://github.com/citation-style-language/schema/raw/master/csl-citation.json"}</w:instrText>
      </w:r>
      <w:r w:rsidR="00D9190C">
        <w:rPr>
          <w:rFonts w:ascii="Times New Roman" w:eastAsia="Calibri" w:hAnsi="Times New Roman" w:cs="Times New Roman"/>
          <w:bCs/>
          <w:sz w:val="24"/>
          <w:szCs w:val="24"/>
          <w:lang w:val="en"/>
        </w:rPr>
        <w:fldChar w:fldCharType="separate"/>
      </w:r>
      <w:r w:rsidR="00D9190C" w:rsidRPr="00D9190C">
        <w:rPr>
          <w:rFonts w:ascii="Times New Roman" w:eastAsia="Calibri" w:hAnsi="Times New Roman" w:cs="Times New Roman"/>
          <w:bCs/>
          <w:noProof/>
          <w:sz w:val="24"/>
          <w:szCs w:val="24"/>
          <w:lang w:val="en"/>
        </w:rPr>
        <w:t>(Reliefweb, 2008)</w:t>
      </w:r>
      <w:r w:rsidR="00D9190C">
        <w:rPr>
          <w:rFonts w:ascii="Times New Roman" w:eastAsia="Calibri" w:hAnsi="Times New Roman" w:cs="Times New Roman"/>
          <w:bCs/>
          <w:sz w:val="24"/>
          <w:szCs w:val="24"/>
          <w:lang w:val="en"/>
        </w:rPr>
        <w:fldChar w:fldCharType="end"/>
      </w:r>
      <w:r w:rsidR="00D9190C">
        <w:rPr>
          <w:rFonts w:ascii="Times New Roman" w:eastAsia="Calibri" w:hAnsi="Times New Roman" w:cs="Times New Roman"/>
          <w:bCs/>
          <w:sz w:val="24"/>
          <w:szCs w:val="24"/>
          <w:lang w:val="en"/>
        </w:rPr>
        <w:t xml:space="preserve">. </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 xml:space="preserve">Exports to the United States are Bangladesh's major market. In 2014, bilateral trade was worth $6 billion. Bangladesh is also a major source of foreign direct investment from the United States. The operations of Chevron, which generates half of Bangladesh's natural gas, are the largest American investment in the country. Agricultural items (soybeans, cotton, wheat, dairy), airplanes, machinery, engines, and iron-and-steel products are the principal exports of the United States to </w:t>
      </w:r>
      <w:r w:rsidRPr="00D41BD3">
        <w:rPr>
          <w:rFonts w:ascii="Times New Roman" w:eastAsia="Calibri" w:hAnsi="Times New Roman" w:cs="Times New Roman"/>
          <w:bCs/>
          <w:sz w:val="24"/>
          <w:szCs w:val="24"/>
          <w:lang w:val="en"/>
        </w:rPr>
        <w:lastRenderedPageBreak/>
        <w:t>Bangladesh. Toys, games, athletic items, shrimp and prawns, and agricultural products are some Bangladeshi goods the United States buys from Bangladesh.</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Since gaining independence in 1971, Bangladesh has made enormous strides. It has made considerable progress in empowering women, reducing infant mortality, and raising the literacy rate dramatically. Until recently, Bangladesh was one of the world's most dynamic economies. The country's GDP expanded at an annual rate of 8.0% in 2019. The demographic dividend, stable macroeconomic conditions, and high garment exports have all contributed to its rapid rise. Bangladesh's socio-economic development has been greatly aided by the United States, which has sent more than $7 billion in aid since 1971.</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 xml:space="preserve">A shift from a predominantly agricultural economy to one with the ability to participate in global supply chains has taken place in Bangladesh over the past half-century. This market offers great potential for American companies, our allies, and partners because of its impressive growth and willingness to accept private sector investment. Bangladesh's economy has risen </w:t>
      </w:r>
      <w:r w:rsidR="00CA4CD6">
        <w:rPr>
          <w:rFonts w:ascii="Times New Roman" w:eastAsia="Calibri" w:hAnsi="Times New Roman" w:cs="Times New Roman"/>
          <w:bCs/>
          <w:sz w:val="24"/>
          <w:szCs w:val="24"/>
          <w:lang w:val="en"/>
        </w:rPr>
        <w:t xml:space="preserve">more than 6% annually </w:t>
      </w:r>
      <w:r w:rsidRPr="00D41BD3">
        <w:rPr>
          <w:rFonts w:ascii="Times New Roman" w:eastAsia="Calibri" w:hAnsi="Times New Roman" w:cs="Times New Roman"/>
          <w:bCs/>
          <w:sz w:val="24"/>
          <w:szCs w:val="24"/>
          <w:lang w:val="en"/>
        </w:rPr>
        <w:t xml:space="preserve">for the past two decades. </w:t>
      </w:r>
      <w:r w:rsidR="00CA4CD6">
        <w:rPr>
          <w:rFonts w:ascii="Times New Roman" w:eastAsia="Calibri" w:hAnsi="Times New Roman" w:cs="Times New Roman"/>
          <w:bCs/>
          <w:sz w:val="24"/>
          <w:szCs w:val="24"/>
          <w:lang w:val="en"/>
        </w:rPr>
        <w:t>In 2021,</w:t>
      </w:r>
      <w:r w:rsidRPr="00D41BD3">
        <w:rPr>
          <w:rFonts w:ascii="Times New Roman" w:eastAsia="Calibri" w:hAnsi="Times New Roman" w:cs="Times New Roman"/>
          <w:bCs/>
          <w:sz w:val="24"/>
          <w:szCs w:val="24"/>
          <w:lang w:val="en"/>
        </w:rPr>
        <w:t xml:space="preserve"> the United States would import $8.3 billion of Bangladeshi goods. In 2021, the United States will be the leading source of Foreign Direct Investment (FDI) in Bangladesh. As of 2021, US corporations have invested $4.3 billion in Bangladesh, which accounts for 20% of the country's entire FDI stock. </w:t>
      </w:r>
      <w:r w:rsidR="00CA4CD6">
        <w:rPr>
          <w:rFonts w:ascii="Times New Roman" w:eastAsia="Calibri" w:hAnsi="Times New Roman" w:cs="Times New Roman"/>
          <w:bCs/>
          <w:sz w:val="24"/>
          <w:szCs w:val="24"/>
          <w:lang w:val="en"/>
        </w:rPr>
        <w:t>These</w:t>
      </w:r>
      <w:r w:rsidRPr="00D41BD3">
        <w:rPr>
          <w:rFonts w:ascii="Times New Roman" w:eastAsia="Calibri" w:hAnsi="Times New Roman" w:cs="Times New Roman"/>
          <w:bCs/>
          <w:sz w:val="24"/>
          <w:szCs w:val="24"/>
          <w:lang w:val="en"/>
        </w:rPr>
        <w:t xml:space="preserve"> investments include natural gas production, banking and insurance, and electricity generation. The transportation and infrastructure industries also benefit from the high-quality items made in the United States, such as aircraft, trains, power generation turbines, and dredging equipment. The U.S.-Bangladesh Business Council in 2021 further demonstrates the strengthening of commercial connections between the two countries.</w:t>
      </w:r>
    </w:p>
    <w:p w:rsid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The COVID-19 pandemic has expanded inequality in Bangladesh, which is still dealing with the Rohingya refugee crisis and vaccination issues. The United States can help Bangladesh recover from the COVID-19 disaster while also encouraging the country's long-term growth and development. Through the United States Agency for International Development (USAID), the United States government has announced an additional $25 million in urgent COVID-19 assistance to help Bangladesh provide life-saving medical and oxygen supplies as well as cold chain equipment to store, transport and administer vaccines s</w:t>
      </w:r>
      <w:r w:rsidRPr="00F769BB">
        <w:rPr>
          <w:rFonts w:ascii="Times New Roman" w:eastAsia="Calibri" w:hAnsi="Times New Roman" w:cs="Times New Roman"/>
          <w:bCs/>
          <w:sz w:val="24"/>
          <w:szCs w:val="24"/>
          <w:lang w:val="en"/>
        </w:rPr>
        <w:t>afely</w:t>
      </w:r>
      <w:r w:rsidRPr="00D41BD3">
        <w:rPr>
          <w:rFonts w:ascii="Times New Roman" w:eastAsia="Calibri" w:hAnsi="Times New Roman" w:cs="Times New Roman"/>
          <w:bCs/>
          <w:sz w:val="24"/>
          <w:szCs w:val="24"/>
          <w:lang w:val="en"/>
        </w:rPr>
        <w:t xml:space="preserve"> </w:t>
      </w:r>
      <w:r w:rsidR="00D9190C">
        <w:rPr>
          <w:rFonts w:ascii="Times New Roman" w:eastAsia="Calibri" w:hAnsi="Times New Roman" w:cs="Times New Roman"/>
          <w:bCs/>
          <w:sz w:val="24"/>
          <w:szCs w:val="24"/>
          <w:lang w:val="en"/>
        </w:rPr>
        <w:fldChar w:fldCharType="begin" w:fldLock="1"/>
      </w:r>
      <w:r w:rsidR="00D9190C">
        <w:rPr>
          <w:rFonts w:ascii="Times New Roman" w:eastAsia="Calibri" w:hAnsi="Times New Roman" w:cs="Times New Roman"/>
          <w:bCs/>
          <w:sz w:val="24"/>
          <w:szCs w:val="24"/>
          <w:lang w:val="en"/>
        </w:rPr>
        <w:instrText>ADDIN CSL_CITATION {"citationItems":[{"id":"ITEM-1","itemData":{"author":[{"dropping-particle":"","family":"Reliefweb","given":"","non-dropping-particle":"","parse-names":false,"suffix":""}],"id":"ITEM-1","issued":{"date-parts":[["2021"]]},"title":"United States Provides Assistance to Bangladesh to Respond to Novel Coronavirus COVID-19","type":"report"},"uris":["http://www.mendeley.com/documents/?uuid=7203938d-2749-4139-9ce0-459bcf7fa437"]}],"mendeley":{"formattedCitation":"(Reliefweb, 2021)","plainTextFormattedCitation":"(Reliefweb, 2021)","previouslyFormattedCitation":"(Reliefweb, 2021)"},"properties":{"noteIndex":0},"schema":"https://github.com/citation-style-language/schema/raw/master/csl-citation.json"}</w:instrText>
      </w:r>
      <w:r w:rsidR="00D9190C">
        <w:rPr>
          <w:rFonts w:ascii="Times New Roman" w:eastAsia="Calibri" w:hAnsi="Times New Roman" w:cs="Times New Roman"/>
          <w:bCs/>
          <w:sz w:val="24"/>
          <w:szCs w:val="24"/>
          <w:lang w:val="en"/>
        </w:rPr>
        <w:fldChar w:fldCharType="separate"/>
      </w:r>
      <w:r w:rsidR="00D9190C" w:rsidRPr="00D9190C">
        <w:rPr>
          <w:rFonts w:ascii="Times New Roman" w:eastAsia="Calibri" w:hAnsi="Times New Roman" w:cs="Times New Roman"/>
          <w:bCs/>
          <w:noProof/>
          <w:sz w:val="24"/>
          <w:szCs w:val="24"/>
          <w:lang w:val="en"/>
        </w:rPr>
        <w:t>(Reliefweb, 2021)</w:t>
      </w:r>
      <w:r w:rsidR="00D9190C">
        <w:rPr>
          <w:rFonts w:ascii="Times New Roman" w:eastAsia="Calibri" w:hAnsi="Times New Roman" w:cs="Times New Roman"/>
          <w:bCs/>
          <w:sz w:val="24"/>
          <w:szCs w:val="24"/>
          <w:lang w:val="en"/>
        </w:rPr>
        <w:fldChar w:fldCharType="end"/>
      </w:r>
      <w:r w:rsidR="00D9190C">
        <w:rPr>
          <w:rFonts w:ascii="Times New Roman" w:eastAsia="Calibri" w:hAnsi="Times New Roman" w:cs="Times New Roman"/>
          <w:bCs/>
          <w:sz w:val="24"/>
          <w:szCs w:val="24"/>
          <w:lang w:val="en"/>
        </w:rPr>
        <w:t>.</w:t>
      </w:r>
      <w:r w:rsidRPr="00D41BD3">
        <w:rPr>
          <w:rFonts w:ascii="Times New Roman" w:eastAsia="Calibri" w:hAnsi="Times New Roman" w:cs="Times New Roman"/>
          <w:bCs/>
          <w:sz w:val="24"/>
          <w:szCs w:val="24"/>
          <w:lang w:val="en"/>
        </w:rPr>
        <w:t xml:space="preserve"> This assistance is part of the COVID-19 response. This new assistance from the United States has helped Bangladesh </w:t>
      </w:r>
      <w:r w:rsidRPr="00D41BD3">
        <w:rPr>
          <w:rFonts w:ascii="Times New Roman" w:eastAsia="Calibri" w:hAnsi="Times New Roman" w:cs="Times New Roman"/>
          <w:bCs/>
          <w:sz w:val="24"/>
          <w:szCs w:val="24"/>
          <w:lang w:val="en"/>
        </w:rPr>
        <w:lastRenderedPageBreak/>
        <w:t>expand vaccinations to people throughout the country, enabling health workers to treat critically ill patients more effectively and enhancing the quality of care provided in health facilities. In addition, the United States has donated vaccines to the coun</w:t>
      </w:r>
      <w:r w:rsidRPr="00F769BB">
        <w:rPr>
          <w:rFonts w:ascii="Times New Roman" w:eastAsia="Calibri" w:hAnsi="Times New Roman" w:cs="Times New Roman"/>
          <w:bCs/>
          <w:sz w:val="24"/>
          <w:szCs w:val="24"/>
          <w:lang w:val="en"/>
        </w:rPr>
        <w:t>try</w:t>
      </w:r>
      <w:r w:rsidRPr="00D41BD3">
        <w:rPr>
          <w:rFonts w:ascii="Times New Roman" w:eastAsia="Calibri" w:hAnsi="Times New Roman" w:cs="Times New Roman"/>
          <w:bCs/>
          <w:sz w:val="24"/>
          <w:szCs w:val="24"/>
          <w:lang w:val="en"/>
        </w:rPr>
        <w:t xml:space="preserve"> </w:t>
      </w:r>
      <w:r w:rsidR="00D9190C">
        <w:rPr>
          <w:rFonts w:ascii="Times New Roman" w:eastAsia="Calibri" w:hAnsi="Times New Roman" w:cs="Times New Roman"/>
          <w:bCs/>
          <w:sz w:val="24"/>
          <w:szCs w:val="24"/>
          <w:lang w:val="en"/>
        </w:rPr>
        <w:fldChar w:fldCharType="begin" w:fldLock="1"/>
      </w:r>
      <w:r w:rsidR="00D9190C">
        <w:rPr>
          <w:rFonts w:ascii="Times New Roman" w:eastAsia="Calibri" w:hAnsi="Times New Roman" w:cs="Times New Roman"/>
          <w:bCs/>
          <w:sz w:val="24"/>
          <w:szCs w:val="24"/>
          <w:lang w:val="en"/>
        </w:rPr>
        <w:instrText>ADDIN CSL_CITATION {"citationItems":[{"id":"ITEM-1","itemData":{"author":[{"dropping-particle":"","family":"TBS","given":"","non-dropping-particle":"","parse-names":false,"suffix":""}],"id":"ITEM-1","issued":{"date-parts":[["2021"]]},"title":"US announces an additional $25m in Covid-19 assistance for Bangladesh","type":"article-newspaper"},"uris":["http://www.mendeley.com/documents/?uuid=67e74e5d-969c-45a8-86a0-f94d4f8f9d1f"]}],"mendeley":{"formattedCitation":"(TBS, 2021)","plainTextFormattedCitation":"(TBS, 2021)","previouslyFormattedCitation":"(TBS, 2021)"},"properties":{"noteIndex":0},"schema":"https://github.com/citation-style-language/schema/raw/master/csl-citation.json"}</w:instrText>
      </w:r>
      <w:r w:rsidR="00D9190C">
        <w:rPr>
          <w:rFonts w:ascii="Times New Roman" w:eastAsia="Calibri" w:hAnsi="Times New Roman" w:cs="Times New Roman"/>
          <w:bCs/>
          <w:sz w:val="24"/>
          <w:szCs w:val="24"/>
          <w:lang w:val="en"/>
        </w:rPr>
        <w:fldChar w:fldCharType="separate"/>
      </w:r>
      <w:r w:rsidR="00D9190C" w:rsidRPr="00D9190C">
        <w:rPr>
          <w:rFonts w:ascii="Times New Roman" w:eastAsia="Calibri" w:hAnsi="Times New Roman" w:cs="Times New Roman"/>
          <w:bCs/>
          <w:noProof/>
          <w:sz w:val="24"/>
          <w:szCs w:val="24"/>
          <w:lang w:val="en"/>
        </w:rPr>
        <w:t>(TBS, 2021)</w:t>
      </w:r>
      <w:r w:rsidR="00D9190C">
        <w:rPr>
          <w:rFonts w:ascii="Times New Roman" w:eastAsia="Calibri" w:hAnsi="Times New Roman" w:cs="Times New Roman"/>
          <w:bCs/>
          <w:sz w:val="24"/>
          <w:szCs w:val="24"/>
          <w:lang w:val="en"/>
        </w:rPr>
        <w:fldChar w:fldCharType="end"/>
      </w:r>
      <w:r w:rsidR="00D9190C">
        <w:rPr>
          <w:rFonts w:ascii="Times New Roman" w:eastAsia="Calibri" w:hAnsi="Times New Roman" w:cs="Times New Roman"/>
          <w:bCs/>
          <w:sz w:val="24"/>
          <w:szCs w:val="24"/>
          <w:lang w:val="en"/>
        </w:rPr>
        <w:t>.</w:t>
      </w:r>
    </w:p>
    <w:p w:rsidR="00D41BD3" w:rsidRPr="00D41BD3" w:rsidRDefault="00D41BD3" w:rsidP="00F15F62">
      <w:pPr>
        <w:pStyle w:val="ListParagraph"/>
        <w:numPr>
          <w:ilvl w:val="1"/>
          <w:numId w:val="1"/>
        </w:numPr>
        <w:spacing w:line="360" w:lineRule="auto"/>
        <w:jc w:val="both"/>
        <w:rPr>
          <w:rFonts w:ascii="Times New Roman" w:eastAsia="Calibri" w:hAnsi="Times New Roman" w:cs="Times New Roman"/>
          <w:b/>
          <w:bCs/>
          <w:sz w:val="24"/>
          <w:szCs w:val="24"/>
          <w:lang w:val="en"/>
        </w:rPr>
      </w:pPr>
      <w:r w:rsidRPr="00D41BD3">
        <w:rPr>
          <w:rFonts w:ascii="Times New Roman" w:eastAsia="Calibri" w:hAnsi="Times New Roman" w:cs="Times New Roman"/>
          <w:b/>
          <w:bCs/>
          <w:sz w:val="24"/>
          <w:szCs w:val="24"/>
        </w:rPr>
        <w:t>Foreign Direct Investment (FDI)</w:t>
      </w:r>
    </w:p>
    <w:p w:rsidR="00D41BD3" w:rsidRPr="00D41BD3" w:rsidRDefault="00D41BD3" w:rsidP="00F15F62">
      <w:pPr>
        <w:spacing w:line="360" w:lineRule="auto"/>
        <w:jc w:val="both"/>
        <w:rPr>
          <w:rFonts w:ascii="Times New Roman" w:eastAsia="Calibri" w:hAnsi="Times New Roman" w:cs="Times New Roman"/>
          <w:b/>
          <w:bCs/>
          <w:sz w:val="24"/>
          <w:szCs w:val="24"/>
          <w:lang w:val="en"/>
        </w:rPr>
      </w:pPr>
      <w:r w:rsidRPr="00D41BD3">
        <w:rPr>
          <w:rFonts w:ascii="Times New Roman" w:eastAsia="Calibri" w:hAnsi="Times New Roman" w:cs="Times New Roman"/>
          <w:bCs/>
          <w:sz w:val="24"/>
          <w:szCs w:val="24"/>
        </w:rPr>
        <w:t>These days, the topic of direct investments made by foreign companies is receiving a greater amount of attention both on the national and international lev</w:t>
      </w:r>
      <w:r w:rsidRPr="00F769BB">
        <w:rPr>
          <w:rFonts w:ascii="Times New Roman" w:eastAsia="Calibri" w:hAnsi="Times New Roman" w:cs="Times New Roman"/>
          <w:bCs/>
          <w:sz w:val="24"/>
          <w:szCs w:val="24"/>
        </w:rPr>
        <w:t>els</w:t>
      </w:r>
      <w:r w:rsidR="00D9190C">
        <w:rPr>
          <w:rFonts w:ascii="Times New Roman" w:eastAsia="Calibri" w:hAnsi="Times New Roman" w:cs="Times New Roman"/>
          <w:bCs/>
          <w:sz w:val="24"/>
          <w:szCs w:val="24"/>
        </w:rPr>
        <w:t xml:space="preserve"> </w:t>
      </w:r>
      <w:r w:rsidR="00D9190C">
        <w:rPr>
          <w:rFonts w:ascii="Times New Roman" w:eastAsia="Calibri" w:hAnsi="Times New Roman" w:cs="Times New Roman"/>
          <w:bCs/>
          <w:sz w:val="24"/>
          <w:szCs w:val="24"/>
        </w:rPr>
        <w:fldChar w:fldCharType="begin" w:fldLock="1"/>
      </w:r>
      <w:r w:rsidR="00D9190C">
        <w:rPr>
          <w:rFonts w:ascii="Times New Roman" w:eastAsia="Calibri" w:hAnsi="Times New Roman" w:cs="Times New Roman"/>
          <w:bCs/>
          <w:sz w:val="24"/>
          <w:szCs w:val="24"/>
        </w:rPr>
        <w:instrText>ADDIN CSL_CITATION {"citationItems":[{"id":"ITEM-1","itemData":{"ISBN":"0306-9192","ISSN":"03069192","abstract":"Foreign Direct Investment (FDI) acquired an important role in the international economy after the Second World War. Theoretical studies on FDI have led to a better understanding of the economic mechanism and the behavior of economic agents, both at micro and macro level allowing the opening of new areas of study in economic theory. To understand foreign direct investment must first understand the basic motivations that cause a firm to invest abroad rather than export or outsource production to national firms. The purpose of this study is to identify the main trends in FDI theory and highlight how these theories were developed, the motivations that led to the need for new approaches to enrich economic theory ofFDI. Although several researchers have tried to explain the phenomenon of FDI, we cannot say there is a generally accepted theory, every new evidence adding some new elements and criticism to the previous ones","author":[{"dropping-particle":"","family":"Denisia","given":"Vintila","non-dropping-particle":"","parse-names":false,"suffix":""}],"container-title":"European Journal of Interdisciplinary Studies","id":"ITEM-1","issue":"2","issued":{"date-parts":[["2010"]]},"page":"104-110","title":"Foreign Direct Investment Theories: An Overview of the Main FDI Theories","type":"article-journal","volume":"2"},"uris":["http://www.mendeley.com/documents/?uuid=b470d850-eb56-469c-9000-93b22c006831"]}],"mendeley":{"formattedCitation":"(Denisia, 2010)","plainTextFormattedCitation":"(Denisia, 2010)","previouslyFormattedCitation":"(Denisia, 2010)"},"properties":{"noteIndex":0},"schema":"https://github.com/citation-style-language/schema/raw/master/csl-citation.json"}</w:instrText>
      </w:r>
      <w:r w:rsidR="00D9190C">
        <w:rPr>
          <w:rFonts w:ascii="Times New Roman" w:eastAsia="Calibri" w:hAnsi="Times New Roman" w:cs="Times New Roman"/>
          <w:bCs/>
          <w:sz w:val="24"/>
          <w:szCs w:val="24"/>
        </w:rPr>
        <w:fldChar w:fldCharType="separate"/>
      </w:r>
      <w:r w:rsidR="00D9190C" w:rsidRPr="00D9190C">
        <w:rPr>
          <w:rFonts w:ascii="Times New Roman" w:eastAsia="Calibri" w:hAnsi="Times New Roman" w:cs="Times New Roman"/>
          <w:bCs/>
          <w:noProof/>
          <w:sz w:val="24"/>
          <w:szCs w:val="24"/>
        </w:rPr>
        <w:t>(Denisia, 2010)</w:t>
      </w:r>
      <w:r w:rsidR="00D9190C">
        <w:rPr>
          <w:rFonts w:ascii="Times New Roman" w:eastAsia="Calibri" w:hAnsi="Times New Roman" w:cs="Times New Roman"/>
          <w:bCs/>
          <w:sz w:val="24"/>
          <w:szCs w:val="24"/>
        </w:rPr>
        <w:fldChar w:fldCharType="end"/>
      </w:r>
      <w:r w:rsidR="00D9190C">
        <w:rPr>
          <w:rFonts w:ascii="Times New Roman" w:eastAsia="Calibri" w:hAnsi="Times New Roman" w:cs="Times New Roman"/>
          <w:bCs/>
          <w:sz w:val="24"/>
          <w:szCs w:val="24"/>
        </w:rPr>
        <w:t>.</w:t>
      </w:r>
      <w:r w:rsidRPr="00D41BD3">
        <w:rPr>
          <w:rFonts w:ascii="Times New Roman" w:eastAsia="Calibri" w:hAnsi="Times New Roman" w:cs="Times New Roman"/>
          <w:bCs/>
          <w:sz w:val="24"/>
          <w:szCs w:val="24"/>
        </w:rPr>
        <w:t xml:space="preserve"> It plays an important role in any economy, especially in developing countries. The asset package that multinational corporations (MNCs) bring to the table with their investments is one of the primary reasons why developing nations value foreign direct investment (FDI) so </w:t>
      </w:r>
      <w:r w:rsidRPr="00F769BB">
        <w:rPr>
          <w:rFonts w:ascii="Times New Roman" w:eastAsia="Calibri" w:hAnsi="Times New Roman" w:cs="Times New Roman"/>
          <w:bCs/>
          <w:sz w:val="24"/>
          <w:szCs w:val="24"/>
        </w:rPr>
        <w:t>highly</w:t>
      </w:r>
      <w:r w:rsidR="00D9190C">
        <w:rPr>
          <w:rFonts w:ascii="Times New Roman" w:eastAsia="Calibri" w:hAnsi="Times New Roman" w:cs="Times New Roman"/>
          <w:bCs/>
          <w:sz w:val="24"/>
          <w:szCs w:val="24"/>
        </w:rPr>
        <w:t xml:space="preserve"> </w:t>
      </w:r>
      <w:r w:rsidR="00D9190C">
        <w:rPr>
          <w:rFonts w:ascii="Times New Roman" w:eastAsia="Calibri" w:hAnsi="Times New Roman" w:cs="Times New Roman"/>
          <w:bCs/>
          <w:sz w:val="24"/>
          <w:szCs w:val="24"/>
        </w:rPr>
        <w:fldChar w:fldCharType="begin" w:fldLock="1"/>
      </w:r>
      <w:r w:rsidR="00D9190C">
        <w:rPr>
          <w:rFonts w:ascii="Times New Roman" w:eastAsia="Calibri" w:hAnsi="Times New Roman" w:cs="Times New Roman"/>
          <w:bCs/>
          <w:sz w:val="24"/>
          <w:szCs w:val="24"/>
        </w:rPr>
        <w:instrText>ADDIN CSL_CITATION {"citationItems":[{"id":"ITEM-1","itemData":{"DOI":"10.1080/13600810500137749","ISSN":"13600818","abstract":"This paper assesses the extent to which foreign direct investment (FDI) in developing countries crowds in or crowds out domestic investment. The core of the paper is the development of a theoretical model for investment that includes a FDI variable and its estimation and testing with panel data for the period 1971-2000 and the three decades involved. The model is run for 12 countries in each of three developing regions (Africa, Asia and Latin America). The results indicate that, in all three developing regions, FDI has, at best, left domestic investment unchanged, and that there are several sub-periods for specific regions where FDI displaces domestic investment. In particular, there seems to be crowding out of domestic investment by FDI in Latin America. If these results are in fact correct, they suggests the need for policies to make FDI more effective in enhancing domestic investment in developing countries. The conclusion is that the effects of FDI on domestic investment are by no means always favourable, that simplistic policies towards FDI are unlikely to be optimal and, foremost, that more attention needs to be paid to economic policies that foster the domestic component of total investment. © 2005 International Development Centre, Oxford.","author":[{"dropping-particle":"","family":"Agosin","given":"Manuel R.","non-dropping-particle":"","parse-names":false,"suffix":""},{"dropping-particle":"","family":"Machado","given":"Roberto","non-dropping-particle":"","parse-names":false,"suffix":""}],"container-title":"Oxford Development Studies","id":"ITEM-1","issue":"2","issued":{"date-parts":[["2005"]]},"page":"149-162","title":"Foreign investment in developing countries: Does it crowd in domestic investment?","type":"article-journal","volume":"33"},"uris":["http://www.mendeley.com/documents/?uuid=8a5836e8-811e-40e2-94d7-fdd5e8d8c227"]}],"mendeley":{"formattedCitation":"(Agosin &amp; Machado, 2005)","plainTextFormattedCitation":"(Agosin &amp; Machado, 2005)","previouslyFormattedCitation":"(Agosin &amp; Machado, 2005)"},"properties":{"noteIndex":0},"schema":"https://github.com/citation-style-language/schema/raw/master/csl-citation.json"}</w:instrText>
      </w:r>
      <w:r w:rsidR="00D9190C">
        <w:rPr>
          <w:rFonts w:ascii="Times New Roman" w:eastAsia="Calibri" w:hAnsi="Times New Roman" w:cs="Times New Roman"/>
          <w:bCs/>
          <w:sz w:val="24"/>
          <w:szCs w:val="24"/>
        </w:rPr>
        <w:fldChar w:fldCharType="separate"/>
      </w:r>
      <w:r w:rsidR="00D9190C" w:rsidRPr="00D9190C">
        <w:rPr>
          <w:rFonts w:ascii="Times New Roman" w:eastAsia="Calibri" w:hAnsi="Times New Roman" w:cs="Times New Roman"/>
          <w:bCs/>
          <w:noProof/>
          <w:sz w:val="24"/>
          <w:szCs w:val="24"/>
        </w:rPr>
        <w:t>(Agosin &amp; Machado, 2005)</w:t>
      </w:r>
      <w:r w:rsidR="00D9190C">
        <w:rPr>
          <w:rFonts w:ascii="Times New Roman" w:eastAsia="Calibri" w:hAnsi="Times New Roman" w:cs="Times New Roman"/>
          <w:bCs/>
          <w:sz w:val="24"/>
          <w:szCs w:val="24"/>
        </w:rPr>
        <w:fldChar w:fldCharType="end"/>
      </w:r>
      <w:r w:rsidR="00D9190C">
        <w:rPr>
          <w:rFonts w:ascii="Times New Roman" w:eastAsia="Calibri" w:hAnsi="Times New Roman" w:cs="Times New Roman"/>
          <w:bCs/>
          <w:sz w:val="24"/>
          <w:szCs w:val="24"/>
        </w:rPr>
        <w:t>.</w:t>
      </w:r>
      <w:r w:rsidRPr="00D41BD3">
        <w:rPr>
          <w:rFonts w:ascii="Times New Roman" w:eastAsia="Calibri" w:hAnsi="Times New Roman" w:cs="Times New Roman"/>
          <w:bCs/>
          <w:sz w:val="24"/>
          <w:szCs w:val="24"/>
        </w:rPr>
        <w:t xml:space="preserve"> Foreign direct investment (FDI) plays a very significant part in Bangladesh's ability to achieve the anticipated economic growth level </w:t>
      </w:r>
    </w:p>
    <w:p w:rsidR="00D41BD3" w:rsidRPr="00D41BD3" w:rsidRDefault="00D41BD3" w:rsidP="00F15F62">
      <w:pPr>
        <w:spacing w:line="360" w:lineRule="auto"/>
        <w:jc w:val="both"/>
        <w:rPr>
          <w:rFonts w:ascii="Times New Roman" w:eastAsia="Calibri" w:hAnsi="Times New Roman" w:cs="Times New Roman"/>
          <w:bCs/>
          <w:sz w:val="24"/>
          <w:szCs w:val="24"/>
        </w:rPr>
      </w:pPr>
      <w:r w:rsidRPr="00D41BD3">
        <w:rPr>
          <w:rFonts w:ascii="Times New Roman" w:eastAsia="Calibri" w:hAnsi="Times New Roman" w:cs="Times New Roman"/>
          <w:bCs/>
          <w:sz w:val="24"/>
          <w:szCs w:val="24"/>
        </w:rPr>
        <w:t xml:space="preserve">The American market in Bangladesh is significant and continues to expand, making it an attractive location for business and financial </w:t>
      </w:r>
      <w:r w:rsidRPr="00F769BB">
        <w:rPr>
          <w:rFonts w:ascii="Times New Roman" w:eastAsia="Calibri" w:hAnsi="Times New Roman" w:cs="Times New Roman"/>
          <w:bCs/>
          <w:sz w:val="24"/>
          <w:szCs w:val="24"/>
        </w:rPr>
        <w:t>investments</w:t>
      </w:r>
      <w:r w:rsidRPr="00D41BD3">
        <w:rPr>
          <w:rFonts w:ascii="Times New Roman" w:eastAsia="Calibri" w:hAnsi="Times New Roman" w:cs="Times New Roman"/>
          <w:bCs/>
          <w:sz w:val="24"/>
          <w:szCs w:val="24"/>
        </w:rPr>
        <w:t xml:space="preserve"> </w:t>
      </w:r>
      <w:r w:rsidR="00D9190C">
        <w:rPr>
          <w:rFonts w:ascii="Times New Roman" w:eastAsia="Calibri" w:hAnsi="Times New Roman" w:cs="Times New Roman"/>
          <w:bCs/>
          <w:sz w:val="24"/>
          <w:szCs w:val="24"/>
        </w:rPr>
        <w:fldChar w:fldCharType="begin" w:fldLock="1"/>
      </w:r>
      <w:r w:rsidR="00D9190C">
        <w:rPr>
          <w:rFonts w:ascii="Times New Roman" w:eastAsia="Calibri" w:hAnsi="Times New Roman" w:cs="Times New Roman"/>
          <w:bCs/>
          <w:sz w:val="24"/>
          <w:szCs w:val="24"/>
        </w:rPr>
        <w:instrText>ADDIN CSL_CITATION {"citationItems":[{"id":"ITEM-1","itemData":{"DOI":"10.18034/abr.v4i1.70","ISSN":"23042613","abstract":"This research will try to examine the FDI plays a dominant role in the economy of Bangladesh through accelerating Gross Domestic Product (GDP), export and domestic investment followed by overall economic growth. So it is vital for a developing country like Bangladesh to carry out effective measures in protecting the prospective foreign investors so that they can get a congenial atmosphere to invest their capital. They should feel that their role in the business arena of Bangladesh is respectfully valued. In this connection, friendly regulations, simplifying regulatory practices, investment incentives and removal of inefficient bureaucratic procedures should be ensured.","author":[{"dropping-particle":"","family":"","given":"","non-dropping-particle":"","parse-names":false,"suffix":""},{"dropping-particle":"","family":"Islam","given":"K. M. Anwarul","non-dropping-particle":"","parse-names":false,"suffix":""}],"container-title":"Asian Business Review","id":"ITEM-1","issue":"1","issued":{"date-parts":[["2014"]]},"page":"24-36","title":"Foreign Direct Investment (FDI) in Bangladesh: Prospects and Challenges and Its Impact on Economy","type":"article-journal","volume":"4"},"uris":["http://www.mendeley.com/documents/?uuid=20875f17-5470-4c96-9644-658aadedbaa4"]}],"mendeley":{"formattedCitation":"(Islam, 2014)","plainTextFormattedCitation":"(Islam, 2014)","previouslyFormattedCitation":"(Islam, 2014)"},"properties":{"noteIndex":0},"schema":"https://github.com/citation-style-language/schema/raw/master/csl-citation.json"}</w:instrText>
      </w:r>
      <w:r w:rsidR="00D9190C">
        <w:rPr>
          <w:rFonts w:ascii="Times New Roman" w:eastAsia="Calibri" w:hAnsi="Times New Roman" w:cs="Times New Roman"/>
          <w:bCs/>
          <w:sz w:val="24"/>
          <w:szCs w:val="24"/>
        </w:rPr>
        <w:fldChar w:fldCharType="separate"/>
      </w:r>
      <w:r w:rsidR="00D9190C" w:rsidRPr="00D9190C">
        <w:rPr>
          <w:rFonts w:ascii="Times New Roman" w:eastAsia="Calibri" w:hAnsi="Times New Roman" w:cs="Times New Roman"/>
          <w:bCs/>
          <w:noProof/>
          <w:sz w:val="24"/>
          <w:szCs w:val="24"/>
        </w:rPr>
        <w:t>(Islam, 2014)</w:t>
      </w:r>
      <w:r w:rsidR="00D9190C">
        <w:rPr>
          <w:rFonts w:ascii="Times New Roman" w:eastAsia="Calibri" w:hAnsi="Times New Roman" w:cs="Times New Roman"/>
          <w:bCs/>
          <w:sz w:val="24"/>
          <w:szCs w:val="24"/>
        </w:rPr>
        <w:fldChar w:fldCharType="end"/>
      </w:r>
      <w:r w:rsidR="00F769BB">
        <w:rPr>
          <w:rFonts w:ascii="Times New Roman" w:eastAsia="Calibri" w:hAnsi="Times New Roman" w:cs="Times New Roman"/>
          <w:bCs/>
          <w:sz w:val="24"/>
          <w:szCs w:val="24"/>
        </w:rPr>
        <w:t>.</w:t>
      </w:r>
    </w:p>
    <w:p w:rsidR="00D41BD3" w:rsidRPr="00D41BD3" w:rsidRDefault="00D41BD3" w:rsidP="00F15F62">
      <w:pPr>
        <w:keepNext/>
        <w:spacing w:line="360" w:lineRule="auto"/>
        <w:jc w:val="both"/>
        <w:rPr>
          <w:rFonts w:ascii="Calibri" w:eastAsia="Calibri" w:hAnsi="Calibri" w:cs="Times New Roman"/>
        </w:rPr>
      </w:pPr>
      <w:r w:rsidRPr="00D41BD3">
        <w:rPr>
          <w:rFonts w:ascii="Calibri" w:eastAsia="Calibri" w:hAnsi="Calibri" w:cs="Times New Roman"/>
          <w:bCs/>
        </w:rPr>
        <w:t xml:space="preserve"> </w:t>
      </w:r>
      <w:r w:rsidRPr="00D41BD3">
        <w:rPr>
          <w:rFonts w:ascii="Calibri" w:eastAsia="Calibri" w:hAnsi="Calibri" w:cs="Times New Roman"/>
          <w:noProof/>
        </w:rPr>
        <w:drawing>
          <wp:inline distT="0" distB="0" distL="0" distR="0" wp14:anchorId="62C5FCD7" wp14:editId="6081B4A5">
            <wp:extent cx="5924550" cy="2962275"/>
            <wp:effectExtent l="0" t="0" r="0" b="9525"/>
            <wp:docPr id="1" name="Chart 1">
              <a:extLst xmlns:a="http://schemas.openxmlformats.org/drawingml/2006/main">
                <a:ext uri="{FF2B5EF4-FFF2-40B4-BE49-F238E27FC236}">
                  <a16:creationId xmlns:a16="http://schemas.microsoft.com/office/drawing/2014/main" id="{2C5BB893-4549-4DDB-D42C-1BC0BF2DC12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41BD3" w:rsidRPr="00D41BD3" w:rsidRDefault="00D41BD3" w:rsidP="00F15F62">
      <w:pPr>
        <w:spacing w:after="200" w:line="360" w:lineRule="auto"/>
        <w:rPr>
          <w:rFonts w:ascii="Calibri" w:eastAsia="Calibri" w:hAnsi="Calibri" w:cs="Times New Roman"/>
          <w:bCs/>
          <w:i/>
          <w:iCs/>
          <w:color w:val="44546A"/>
          <w:sz w:val="18"/>
          <w:szCs w:val="18"/>
        </w:rPr>
      </w:pPr>
      <w:bookmarkStart w:id="0" w:name="_Ref110503830"/>
      <w:r w:rsidRPr="00D41BD3">
        <w:rPr>
          <w:rFonts w:ascii="Calibri" w:eastAsia="Calibri" w:hAnsi="Calibri" w:cs="Times New Roman"/>
          <w:i/>
          <w:iCs/>
          <w:color w:val="44546A"/>
          <w:sz w:val="18"/>
          <w:szCs w:val="18"/>
        </w:rPr>
        <w:t xml:space="preserve">Figure </w:t>
      </w:r>
      <w:r w:rsidRPr="00D41BD3">
        <w:rPr>
          <w:rFonts w:ascii="Calibri" w:eastAsia="Calibri" w:hAnsi="Calibri" w:cs="Times New Roman"/>
          <w:i/>
          <w:iCs/>
          <w:color w:val="44546A"/>
          <w:sz w:val="18"/>
          <w:szCs w:val="18"/>
        </w:rPr>
        <w:fldChar w:fldCharType="begin"/>
      </w:r>
      <w:r w:rsidRPr="00D41BD3">
        <w:rPr>
          <w:rFonts w:ascii="Calibri" w:eastAsia="Calibri" w:hAnsi="Calibri" w:cs="Times New Roman"/>
          <w:i/>
          <w:iCs/>
          <w:color w:val="44546A"/>
          <w:sz w:val="18"/>
          <w:szCs w:val="18"/>
        </w:rPr>
        <w:instrText xml:space="preserve"> SEQ Figure \* ARABIC </w:instrText>
      </w:r>
      <w:r w:rsidRPr="00D41BD3">
        <w:rPr>
          <w:rFonts w:ascii="Calibri" w:eastAsia="Calibri" w:hAnsi="Calibri" w:cs="Times New Roman"/>
          <w:i/>
          <w:iCs/>
          <w:color w:val="44546A"/>
          <w:sz w:val="18"/>
          <w:szCs w:val="18"/>
        </w:rPr>
        <w:fldChar w:fldCharType="separate"/>
      </w:r>
      <w:r w:rsidRPr="00D41BD3">
        <w:rPr>
          <w:rFonts w:ascii="Calibri" w:eastAsia="Calibri" w:hAnsi="Calibri" w:cs="Times New Roman"/>
          <w:i/>
          <w:iCs/>
          <w:noProof/>
          <w:color w:val="44546A"/>
          <w:sz w:val="18"/>
          <w:szCs w:val="18"/>
        </w:rPr>
        <w:t>1</w:t>
      </w:r>
      <w:r w:rsidRPr="00D41BD3">
        <w:rPr>
          <w:rFonts w:ascii="Calibri" w:eastAsia="Calibri" w:hAnsi="Calibri" w:cs="Times New Roman"/>
          <w:i/>
          <w:iCs/>
          <w:noProof/>
          <w:color w:val="44546A"/>
          <w:sz w:val="18"/>
          <w:szCs w:val="18"/>
        </w:rPr>
        <w:fldChar w:fldCharType="end"/>
      </w:r>
      <w:bookmarkEnd w:id="0"/>
      <w:r w:rsidRPr="00D41BD3">
        <w:rPr>
          <w:rFonts w:ascii="Calibri" w:eastAsia="Calibri" w:hAnsi="Calibri" w:cs="Times New Roman"/>
          <w:i/>
          <w:iCs/>
          <w:color w:val="44546A"/>
          <w:sz w:val="18"/>
          <w:szCs w:val="18"/>
        </w:rPr>
        <w:t>: FDI Inflows in Bangladesh by the USA</w:t>
      </w:r>
    </w:p>
    <w:p w:rsidR="00D41BD3" w:rsidRPr="00D41BD3" w:rsidRDefault="00D41BD3" w:rsidP="00F15F62">
      <w:pPr>
        <w:spacing w:line="360" w:lineRule="auto"/>
        <w:jc w:val="both"/>
        <w:rPr>
          <w:rFonts w:ascii="Times New Roman" w:eastAsia="Calibri" w:hAnsi="Times New Roman" w:cs="Times New Roman"/>
          <w:sz w:val="24"/>
          <w:szCs w:val="24"/>
        </w:rPr>
      </w:pPr>
      <w:r w:rsidRPr="00D41BD3">
        <w:rPr>
          <w:rFonts w:ascii="Times New Roman" w:eastAsia="Calibri" w:hAnsi="Times New Roman" w:cs="Times New Roman"/>
          <w:sz w:val="24"/>
          <w:szCs w:val="24"/>
        </w:rPr>
        <w:t xml:space="preserve">Figure 1 above signifies the economic contribution of the USA by giving FDI. It shows the time series data of FDI from 1996 to 2019. We can see here that the United States has been supplying </w:t>
      </w:r>
      <w:r w:rsidRPr="00D41BD3">
        <w:rPr>
          <w:rFonts w:ascii="Times New Roman" w:eastAsia="Calibri" w:hAnsi="Times New Roman" w:cs="Times New Roman"/>
          <w:sz w:val="24"/>
          <w:szCs w:val="24"/>
        </w:rPr>
        <w:lastRenderedPageBreak/>
        <w:t>this to Bangladesh for some time and has always played a vital part in the country's economic development. From 1996 to 1997, the FDI inflows were 14.39 million USD and 67.64 million USD. It increased several times in 1998 to 232.9 million USD. FDI inflows also declined slightly in subsequent years. Since 2003, there has been a steady rise in FDI inflows from the USA; in 2006, it was 175.72 million USD. FDI inflows increase for several years; when it decreases, it decreases for several years. After 1996, the lowest inflow was seen in 2014, 17.34 million USD. However, the USA's highest FDI in the History of Bangladesh was recorded in 2015 at 573.77 million USD. This is the highest FDI in a year from the USA to Bangladesh. A fall in FDI was seen again in 2016 but was still higher than the previously fallen phrases. After 2017, a steady rise is seen again.</w:t>
      </w:r>
    </w:p>
    <w:p w:rsidR="00D41BD3" w:rsidRPr="00D41BD3" w:rsidRDefault="00D41BD3" w:rsidP="00F15F62">
      <w:pPr>
        <w:spacing w:line="360" w:lineRule="auto"/>
        <w:ind w:left="720"/>
        <w:jc w:val="both"/>
        <w:rPr>
          <w:rFonts w:ascii="Times New Roman" w:eastAsia="Calibri" w:hAnsi="Times New Roman" w:cs="Times New Roman"/>
          <w:b/>
          <w:sz w:val="24"/>
          <w:szCs w:val="24"/>
          <w:lang w:val="en"/>
        </w:rPr>
      </w:pPr>
      <w:r>
        <w:rPr>
          <w:rFonts w:ascii="Times New Roman" w:eastAsia="Calibri" w:hAnsi="Times New Roman" w:cs="Times New Roman"/>
          <w:b/>
          <w:bCs/>
          <w:sz w:val="24"/>
          <w:szCs w:val="24"/>
        </w:rPr>
        <w:t>4</w:t>
      </w:r>
      <w:r w:rsidRPr="00D41BD3">
        <w:rPr>
          <w:rFonts w:ascii="Times New Roman" w:eastAsia="Calibri" w:hAnsi="Times New Roman" w:cs="Times New Roman"/>
          <w:b/>
          <w:bCs/>
          <w:sz w:val="24"/>
          <w:szCs w:val="24"/>
        </w:rPr>
        <w:t>.3</w:t>
      </w:r>
      <w:r w:rsidRPr="00D41BD3">
        <w:rPr>
          <w:rFonts w:ascii="Times New Roman" w:eastAsia="Calibri" w:hAnsi="Times New Roman" w:cs="Times New Roman"/>
          <w:sz w:val="24"/>
          <w:szCs w:val="24"/>
        </w:rPr>
        <w:t xml:space="preserve"> </w:t>
      </w:r>
      <w:r w:rsidRPr="00D41BD3">
        <w:rPr>
          <w:rFonts w:ascii="Times New Roman" w:eastAsia="Calibri" w:hAnsi="Times New Roman" w:cs="Times New Roman"/>
          <w:b/>
          <w:sz w:val="24"/>
          <w:szCs w:val="24"/>
          <w:lang w:val="en"/>
        </w:rPr>
        <w:t>Foreign aid and grants</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 xml:space="preserve">Foreign aid, which can also be referred to as development assistance, development aid, or simply aid, is a method by which economically and socially advanced nations assist </w:t>
      </w:r>
      <w:r w:rsidR="00E86733">
        <w:rPr>
          <w:rFonts w:ascii="Times New Roman" w:eastAsia="Calibri" w:hAnsi="Times New Roman" w:cs="Times New Roman"/>
          <w:bCs/>
          <w:sz w:val="24"/>
          <w:szCs w:val="24"/>
          <w:lang w:val="en"/>
        </w:rPr>
        <w:t>financially</w:t>
      </w:r>
      <w:r w:rsidRPr="00D41BD3">
        <w:rPr>
          <w:rFonts w:ascii="Times New Roman" w:eastAsia="Calibri" w:hAnsi="Times New Roman" w:cs="Times New Roman"/>
          <w:bCs/>
          <w:sz w:val="24"/>
          <w:szCs w:val="24"/>
          <w:lang w:val="en"/>
        </w:rPr>
        <w:t xml:space="preserve"> and socially developing </w:t>
      </w:r>
      <w:r w:rsidRPr="00F769BB">
        <w:rPr>
          <w:rFonts w:ascii="Times New Roman" w:eastAsia="Calibri" w:hAnsi="Times New Roman" w:cs="Times New Roman"/>
          <w:bCs/>
          <w:sz w:val="24"/>
          <w:szCs w:val="24"/>
          <w:lang w:val="en"/>
        </w:rPr>
        <w:t>nations</w:t>
      </w:r>
      <w:r w:rsidR="00F769BB">
        <w:rPr>
          <w:rFonts w:ascii="Times New Roman" w:eastAsia="Calibri" w:hAnsi="Times New Roman" w:cs="Times New Roman"/>
          <w:bCs/>
          <w:sz w:val="24"/>
          <w:szCs w:val="24"/>
          <w:lang w:val="en"/>
        </w:rPr>
        <w:t>.</w:t>
      </w:r>
      <w:r w:rsidR="00CA4CD6">
        <w:rPr>
          <w:rFonts w:ascii="Times New Roman" w:eastAsia="Calibri" w:hAnsi="Times New Roman" w:cs="Times New Roman"/>
          <w:bCs/>
          <w:sz w:val="24"/>
          <w:szCs w:val="24"/>
          <w:lang w:val="en"/>
        </w:rPr>
        <w:t xml:space="preserve"> </w:t>
      </w:r>
      <w:r w:rsidRPr="00D41BD3">
        <w:rPr>
          <w:rFonts w:ascii="Times New Roman" w:eastAsia="Calibri" w:hAnsi="Times New Roman" w:cs="Times New Roman"/>
          <w:bCs/>
          <w:sz w:val="24"/>
          <w:szCs w:val="24"/>
          <w:lang w:val="en"/>
        </w:rPr>
        <w:t xml:space="preserve">Bangladesh needs foreign aid in large numbers </w:t>
      </w:r>
      <w:r w:rsidR="00CA4CD6">
        <w:rPr>
          <w:rFonts w:ascii="Times New Roman" w:eastAsia="Calibri" w:hAnsi="Times New Roman" w:cs="Times New Roman"/>
          <w:bCs/>
          <w:sz w:val="24"/>
          <w:szCs w:val="24"/>
          <w:lang w:val="en"/>
        </w:rPr>
        <w:t>even though</w:t>
      </w:r>
      <w:r w:rsidRPr="00D41BD3">
        <w:rPr>
          <w:rFonts w:ascii="Times New Roman" w:eastAsia="Calibri" w:hAnsi="Times New Roman" w:cs="Times New Roman"/>
          <w:bCs/>
          <w:sz w:val="24"/>
          <w:szCs w:val="24"/>
          <w:lang w:val="en"/>
        </w:rPr>
        <w:t xml:space="preserve"> it is moving from least developed to developing countr</w:t>
      </w:r>
      <w:r w:rsidRPr="00F769BB">
        <w:rPr>
          <w:rFonts w:ascii="Times New Roman" w:eastAsia="Calibri" w:hAnsi="Times New Roman" w:cs="Times New Roman"/>
          <w:bCs/>
          <w:sz w:val="24"/>
          <w:szCs w:val="24"/>
          <w:lang w:val="en"/>
        </w:rPr>
        <w:t>ies</w:t>
      </w:r>
      <w:r w:rsidRPr="00D41BD3">
        <w:rPr>
          <w:rFonts w:ascii="Times New Roman" w:eastAsia="Calibri" w:hAnsi="Times New Roman" w:cs="Times New Roman"/>
          <w:bCs/>
          <w:sz w:val="24"/>
          <w:szCs w:val="24"/>
          <w:lang w:val="en"/>
        </w:rPr>
        <w:t xml:space="preserve"> </w:t>
      </w:r>
      <w:r w:rsidR="00D9190C">
        <w:rPr>
          <w:rFonts w:ascii="Times New Roman" w:eastAsia="Calibri" w:hAnsi="Times New Roman" w:cs="Times New Roman"/>
          <w:bCs/>
          <w:sz w:val="24"/>
          <w:szCs w:val="24"/>
          <w:lang w:val="en"/>
        </w:rPr>
        <w:fldChar w:fldCharType="begin" w:fldLock="1"/>
      </w:r>
      <w:r w:rsidR="00F769BB">
        <w:rPr>
          <w:rFonts w:ascii="Times New Roman" w:eastAsia="Calibri" w:hAnsi="Times New Roman" w:cs="Times New Roman"/>
          <w:bCs/>
          <w:sz w:val="24"/>
          <w:szCs w:val="24"/>
          <w:lang w:val="en"/>
        </w:rPr>
        <w:instrText>ADDIN CSL_CITATION {"citationItems":[{"id":"ITEM-1","itemData":{"author":[{"dropping-particle":"","family":"Lancaster","given":"Carol","non-dropping-particle":"","parse-names":false,"suffix":""}],"container-title":"Foreign Aid and Foreign Policy","id":"ITEM-1","issued":{"date-parts":[["2015"]]},"page":"39-60","publisher":"Routledge","title":"Foreign Aid in the Twenty-First Century: What Purposes?","type":"chapter"},"uris":["http://www.mendeley.com/documents/?uuid=089f059a-33be-4b9d-8cb1-cf48ab8c059d"]}],"mendeley":{"formattedCitation":"(Lancaster, 2015)","plainTextFormattedCitation":"(Lancaster, 2015)","previouslyFormattedCitation":"(Lancaster, 2015)"},"properties":{"noteIndex":0},"schema":"https://github.com/citation-style-language/schema/raw/master/csl-citation.json"}</w:instrText>
      </w:r>
      <w:r w:rsidR="00D9190C">
        <w:rPr>
          <w:rFonts w:ascii="Times New Roman" w:eastAsia="Calibri" w:hAnsi="Times New Roman" w:cs="Times New Roman"/>
          <w:bCs/>
          <w:sz w:val="24"/>
          <w:szCs w:val="24"/>
          <w:lang w:val="en"/>
        </w:rPr>
        <w:fldChar w:fldCharType="separate"/>
      </w:r>
      <w:r w:rsidR="00D9190C" w:rsidRPr="00D9190C">
        <w:rPr>
          <w:rFonts w:ascii="Times New Roman" w:eastAsia="Calibri" w:hAnsi="Times New Roman" w:cs="Times New Roman"/>
          <w:bCs/>
          <w:noProof/>
          <w:sz w:val="24"/>
          <w:szCs w:val="24"/>
          <w:lang w:val="en"/>
        </w:rPr>
        <w:t>(Lancaster, 2015)</w:t>
      </w:r>
      <w:r w:rsidR="00D9190C">
        <w:rPr>
          <w:rFonts w:ascii="Times New Roman" w:eastAsia="Calibri" w:hAnsi="Times New Roman" w:cs="Times New Roman"/>
          <w:bCs/>
          <w:sz w:val="24"/>
          <w:szCs w:val="24"/>
          <w:lang w:val="en"/>
        </w:rPr>
        <w:fldChar w:fldCharType="end"/>
      </w:r>
      <w:r w:rsidR="00F769BB">
        <w:rPr>
          <w:rFonts w:ascii="Times New Roman" w:eastAsia="Calibri" w:hAnsi="Times New Roman" w:cs="Times New Roman"/>
          <w:bCs/>
          <w:sz w:val="24"/>
          <w:szCs w:val="24"/>
          <w:lang w:val="en"/>
        </w:rPr>
        <w:t>.</w:t>
      </w:r>
    </w:p>
    <w:p w:rsidR="00D41BD3" w:rsidRPr="00D41BD3" w:rsidRDefault="00E86733" w:rsidP="00F15F62">
      <w:pPr>
        <w:spacing w:line="360" w:lineRule="auto"/>
        <w:jc w:val="both"/>
        <w:rPr>
          <w:rFonts w:ascii="Times New Roman" w:eastAsia="Calibri" w:hAnsi="Times New Roman" w:cs="Times New Roman"/>
          <w:bCs/>
          <w:sz w:val="24"/>
          <w:szCs w:val="24"/>
          <w:lang w:val="en"/>
        </w:rPr>
      </w:pPr>
      <w:r>
        <w:rPr>
          <w:rFonts w:ascii="Times New Roman" w:eastAsia="Calibri" w:hAnsi="Times New Roman" w:cs="Times New Roman"/>
          <w:bCs/>
          <w:sz w:val="24"/>
          <w:szCs w:val="24"/>
          <w:lang w:val="en"/>
        </w:rPr>
        <w:t>Over the past 50 years, the United States has invested over $8 billion in Bangladesh, which is currently</w:t>
      </w:r>
      <w:r w:rsidR="00D41BD3" w:rsidRPr="00D41BD3">
        <w:rPr>
          <w:rFonts w:ascii="Times New Roman" w:eastAsia="Calibri" w:hAnsi="Times New Roman" w:cs="Times New Roman"/>
          <w:bCs/>
          <w:sz w:val="24"/>
          <w:szCs w:val="24"/>
          <w:lang w:val="en"/>
        </w:rPr>
        <w:t xml:space="preserve"> the greatest receiver of American aid in Asia. The United States assists developing countries in various ways, including promoting sustainable agriculture and food security, modernizing small-scale farming, bolstering the business and trade environment, coping with climate change, preserving biodiversity, and enhancing public health and education.</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For humanitarian aid to refugees and host populations, the United States has been the top donor to the Rohingya refugee crisis response. When the time is right, the United States will assist Bangladesh and the Rohingya to ensure the safe, voluntary, dignified, and long-term repatriation of Rohingya refugees.</w:t>
      </w:r>
    </w:p>
    <w:p w:rsidR="00D41BD3" w:rsidRPr="00D41BD3" w:rsidRDefault="00D41BD3" w:rsidP="00F15F62">
      <w:pPr>
        <w:keepNext/>
        <w:spacing w:line="360" w:lineRule="auto"/>
        <w:jc w:val="both"/>
        <w:rPr>
          <w:rFonts w:ascii="Calibri" w:eastAsia="Calibri" w:hAnsi="Calibri" w:cs="Times New Roman"/>
        </w:rPr>
      </w:pPr>
      <w:r w:rsidRPr="00D41BD3">
        <w:rPr>
          <w:rFonts w:ascii="Calibri" w:eastAsia="Calibri" w:hAnsi="Calibri" w:cs="Times New Roman"/>
          <w:noProof/>
        </w:rPr>
        <w:lastRenderedPageBreak/>
        <w:drawing>
          <wp:inline distT="0" distB="0" distL="0" distR="0" wp14:anchorId="3B3CC0B1" wp14:editId="24B90F95">
            <wp:extent cx="5905500" cy="2743200"/>
            <wp:effectExtent l="0" t="0" r="0" b="0"/>
            <wp:docPr id="2" name="Chart 2">
              <a:extLst xmlns:a="http://schemas.openxmlformats.org/drawingml/2006/main">
                <a:ext uri="{FF2B5EF4-FFF2-40B4-BE49-F238E27FC236}">
                  <a16:creationId xmlns:a16="http://schemas.microsoft.com/office/drawing/2014/main" id="{B8A9C600-2699-A588-E0B4-A110D2B18C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41BD3" w:rsidRPr="00D41BD3" w:rsidRDefault="00D41BD3" w:rsidP="00F15F62">
      <w:pPr>
        <w:spacing w:after="0" w:line="360" w:lineRule="auto"/>
        <w:rPr>
          <w:rFonts w:ascii="Times New Roman" w:eastAsia="Calibri" w:hAnsi="Times New Roman" w:cs="Times New Roman"/>
          <w:i/>
          <w:iCs/>
          <w:color w:val="44546A"/>
          <w:sz w:val="18"/>
          <w:szCs w:val="18"/>
        </w:rPr>
      </w:pPr>
      <w:r w:rsidRPr="00D41BD3">
        <w:rPr>
          <w:rFonts w:ascii="Calibri" w:eastAsia="Calibri" w:hAnsi="Calibri" w:cs="Times New Roman"/>
          <w:i/>
          <w:iCs/>
          <w:color w:val="44546A"/>
          <w:sz w:val="18"/>
          <w:szCs w:val="18"/>
        </w:rPr>
        <w:t xml:space="preserve">Figure </w:t>
      </w:r>
      <w:r w:rsidRPr="00D41BD3">
        <w:rPr>
          <w:rFonts w:ascii="Calibri" w:eastAsia="Calibri" w:hAnsi="Calibri" w:cs="Times New Roman"/>
          <w:i/>
          <w:iCs/>
          <w:color w:val="44546A"/>
          <w:sz w:val="18"/>
          <w:szCs w:val="18"/>
        </w:rPr>
        <w:fldChar w:fldCharType="begin"/>
      </w:r>
      <w:r w:rsidRPr="00D41BD3">
        <w:rPr>
          <w:rFonts w:ascii="Calibri" w:eastAsia="Calibri" w:hAnsi="Calibri" w:cs="Times New Roman"/>
          <w:i/>
          <w:iCs/>
          <w:color w:val="44546A"/>
          <w:sz w:val="18"/>
          <w:szCs w:val="18"/>
        </w:rPr>
        <w:instrText xml:space="preserve"> SEQ Figure \* ARABIC </w:instrText>
      </w:r>
      <w:r w:rsidRPr="00D41BD3">
        <w:rPr>
          <w:rFonts w:ascii="Calibri" w:eastAsia="Calibri" w:hAnsi="Calibri" w:cs="Times New Roman"/>
          <w:i/>
          <w:iCs/>
          <w:color w:val="44546A"/>
          <w:sz w:val="18"/>
          <w:szCs w:val="18"/>
        </w:rPr>
        <w:fldChar w:fldCharType="separate"/>
      </w:r>
      <w:r w:rsidRPr="00D41BD3">
        <w:rPr>
          <w:rFonts w:ascii="Calibri" w:eastAsia="Calibri" w:hAnsi="Calibri" w:cs="Times New Roman"/>
          <w:i/>
          <w:iCs/>
          <w:noProof/>
          <w:color w:val="44546A"/>
          <w:sz w:val="18"/>
          <w:szCs w:val="18"/>
        </w:rPr>
        <w:t>2</w:t>
      </w:r>
      <w:r w:rsidRPr="00D41BD3">
        <w:rPr>
          <w:rFonts w:ascii="Calibri" w:eastAsia="Calibri" w:hAnsi="Calibri" w:cs="Times New Roman"/>
          <w:i/>
          <w:iCs/>
          <w:noProof/>
          <w:color w:val="44546A"/>
          <w:sz w:val="18"/>
          <w:szCs w:val="18"/>
        </w:rPr>
        <w:fldChar w:fldCharType="end"/>
      </w:r>
      <w:r w:rsidRPr="00D41BD3">
        <w:rPr>
          <w:rFonts w:ascii="Calibri" w:eastAsia="Calibri" w:hAnsi="Calibri" w:cs="Times New Roman"/>
          <w:i/>
          <w:iCs/>
          <w:color w:val="44546A"/>
          <w:sz w:val="18"/>
          <w:szCs w:val="18"/>
        </w:rPr>
        <w:t>: Foreign Aid from the USA</w:t>
      </w:r>
    </w:p>
    <w:p w:rsidR="00D41BD3" w:rsidRPr="00D41BD3" w:rsidRDefault="00D41BD3" w:rsidP="00F15F62">
      <w:pPr>
        <w:spacing w:after="0" w:line="360" w:lineRule="auto"/>
        <w:rPr>
          <w:rFonts w:ascii="Times New Roman" w:eastAsia="Calibri" w:hAnsi="Times New Roman" w:cs="Times New Roman"/>
          <w:bCs/>
          <w:sz w:val="20"/>
          <w:szCs w:val="20"/>
          <w:lang w:val="en"/>
        </w:rPr>
      </w:pPr>
      <w:r w:rsidRPr="00D41BD3">
        <w:rPr>
          <w:rFonts w:ascii="Times New Roman" w:eastAsia="Calibri" w:hAnsi="Times New Roman" w:cs="Times New Roman"/>
          <w:bCs/>
          <w:sz w:val="20"/>
          <w:szCs w:val="20"/>
          <w:lang w:val="en"/>
        </w:rPr>
        <w:t xml:space="preserve">Source: </w:t>
      </w:r>
      <w:r w:rsidR="00CA4CD6">
        <w:rPr>
          <w:rFonts w:ascii="Times New Roman" w:eastAsia="Calibri" w:hAnsi="Times New Roman" w:cs="Times New Roman"/>
          <w:bCs/>
          <w:sz w:val="20"/>
          <w:szCs w:val="20"/>
          <w:lang w:val="en"/>
        </w:rPr>
        <w:fldChar w:fldCharType="begin" w:fldLock="1"/>
      </w:r>
      <w:r w:rsidR="00CA4CD6">
        <w:rPr>
          <w:rFonts w:ascii="Times New Roman" w:eastAsia="Calibri" w:hAnsi="Times New Roman" w:cs="Times New Roman"/>
          <w:bCs/>
          <w:sz w:val="20"/>
          <w:szCs w:val="20"/>
          <w:lang w:val="en"/>
        </w:rPr>
        <w:instrText>ADDIN CSL_CITATION {"citationItems":[{"id":"ITEM-1","itemData":{"author":[{"dropping-particle":"","family":"Review","given":"Bangladesh Economic","non-dropping-particle":"","parse-names":false,"suffix":""}],"id":"ITEM-1","issued":{"date-parts":[["2024"]]},"title":"Bangladesh Economic Review","type":"report"},"uris":["http://www.mendeley.com/documents/?uuid=2d0e2242-57f4-4844-8b64-8e9d511d015b"]}],"mendeley":{"formattedCitation":"(Review, 2024)","manualFormatting":"(Bangladesh Economic Review, 2024)","plainTextFormattedCitation":"(Review, 2024)","previouslyFormattedCitation":"(Review, 2024)"},"properties":{"noteIndex":0},"schema":"https://github.com/citation-style-language/schema/raw/master/csl-citation.json"}</w:instrText>
      </w:r>
      <w:r w:rsidR="00CA4CD6">
        <w:rPr>
          <w:rFonts w:ascii="Times New Roman" w:eastAsia="Calibri" w:hAnsi="Times New Roman" w:cs="Times New Roman"/>
          <w:bCs/>
          <w:sz w:val="20"/>
          <w:szCs w:val="20"/>
          <w:lang w:val="en"/>
        </w:rPr>
        <w:fldChar w:fldCharType="separate"/>
      </w:r>
      <w:r w:rsidR="00CA4CD6" w:rsidRPr="00CA4CD6">
        <w:rPr>
          <w:rFonts w:ascii="Times New Roman" w:eastAsia="Calibri" w:hAnsi="Times New Roman" w:cs="Times New Roman"/>
          <w:bCs/>
          <w:noProof/>
          <w:sz w:val="20"/>
          <w:szCs w:val="20"/>
          <w:lang w:val="en"/>
        </w:rPr>
        <w:t>(</w:t>
      </w:r>
      <w:r w:rsidR="00CA4CD6">
        <w:rPr>
          <w:rFonts w:ascii="Times New Roman" w:eastAsia="Calibri" w:hAnsi="Times New Roman" w:cs="Times New Roman"/>
          <w:bCs/>
          <w:noProof/>
          <w:sz w:val="20"/>
          <w:szCs w:val="20"/>
          <w:lang w:val="en"/>
        </w:rPr>
        <w:t xml:space="preserve">Bangladesh Economic </w:t>
      </w:r>
      <w:r w:rsidR="00CA4CD6" w:rsidRPr="00CA4CD6">
        <w:rPr>
          <w:rFonts w:ascii="Times New Roman" w:eastAsia="Calibri" w:hAnsi="Times New Roman" w:cs="Times New Roman"/>
          <w:bCs/>
          <w:noProof/>
          <w:sz w:val="20"/>
          <w:szCs w:val="20"/>
          <w:lang w:val="en"/>
        </w:rPr>
        <w:t>Review, 2024)</w:t>
      </w:r>
      <w:r w:rsidR="00CA4CD6">
        <w:rPr>
          <w:rFonts w:ascii="Times New Roman" w:eastAsia="Calibri" w:hAnsi="Times New Roman" w:cs="Times New Roman"/>
          <w:bCs/>
          <w:sz w:val="20"/>
          <w:szCs w:val="20"/>
          <w:lang w:val="en"/>
        </w:rPr>
        <w:fldChar w:fldCharType="end"/>
      </w:r>
    </w:p>
    <w:p w:rsidR="00D41BD3" w:rsidRPr="00D41BD3" w:rsidRDefault="00D41BD3" w:rsidP="00F15F62">
      <w:pPr>
        <w:spacing w:line="360" w:lineRule="auto"/>
        <w:jc w:val="both"/>
        <w:rPr>
          <w:rFonts w:ascii="Times New Roman" w:eastAsia="Calibri" w:hAnsi="Times New Roman" w:cs="Times New Roman"/>
          <w:bCs/>
          <w:sz w:val="24"/>
          <w:szCs w:val="24"/>
          <w:lang w:val="en"/>
        </w:rPr>
      </w:pP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The above (Figure-2) line shows the trend of foreign aid that the USA gives to Bangladesh. A foreign assistance program is an international transfer of resources from a government or an international organization to a recipient country or its population. Assistance might be financial, military, or humanitarian. As a political tool, a government can use foreign aid to achieve diplomatic recognition, acquire respect for its participation in international institutions, or increase the access of its diplomats to foreign countries.</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 xml:space="preserve">The USA gave Bangladesh the highest </w:t>
      </w:r>
      <w:r w:rsidR="00CA4CD6">
        <w:rPr>
          <w:rFonts w:ascii="Times New Roman" w:eastAsia="Calibri" w:hAnsi="Times New Roman" w:cs="Times New Roman"/>
          <w:bCs/>
          <w:sz w:val="24"/>
          <w:szCs w:val="24"/>
          <w:lang w:val="en"/>
        </w:rPr>
        <w:t xml:space="preserve">foreign aid, 61.91 million USD </w:t>
      </w:r>
      <w:r w:rsidRPr="00D41BD3">
        <w:rPr>
          <w:rFonts w:ascii="Times New Roman" w:eastAsia="Calibri" w:hAnsi="Times New Roman" w:cs="Times New Roman"/>
          <w:bCs/>
          <w:sz w:val="24"/>
          <w:szCs w:val="24"/>
          <w:lang w:val="en"/>
        </w:rPr>
        <w:t xml:space="preserve">2006. However, </w:t>
      </w:r>
      <w:r w:rsidR="00E86733">
        <w:rPr>
          <w:rFonts w:ascii="Times New Roman" w:eastAsia="Calibri" w:hAnsi="Times New Roman" w:cs="Times New Roman"/>
          <w:bCs/>
          <w:sz w:val="24"/>
          <w:szCs w:val="24"/>
          <w:lang w:val="en"/>
        </w:rPr>
        <w:t>assistance</w:t>
      </w:r>
      <w:r w:rsidRPr="00D41BD3">
        <w:rPr>
          <w:rFonts w:ascii="Times New Roman" w:eastAsia="Calibri" w:hAnsi="Times New Roman" w:cs="Times New Roman"/>
          <w:bCs/>
          <w:sz w:val="24"/>
          <w:szCs w:val="24"/>
          <w:lang w:val="en"/>
        </w:rPr>
        <w:t xml:space="preserve"> from the USA gradually declined in the following years. From 2008 to 2012, Bangladesh did not receive any foreign aid from the USA directly. </w:t>
      </w:r>
      <w:r w:rsidR="00CA4CD6">
        <w:rPr>
          <w:rFonts w:ascii="Times New Roman" w:eastAsia="Calibri" w:hAnsi="Times New Roman" w:cs="Times New Roman"/>
          <w:bCs/>
          <w:sz w:val="24"/>
          <w:szCs w:val="24"/>
          <w:lang w:val="en"/>
        </w:rPr>
        <w:t>2014</w:t>
      </w:r>
      <w:r w:rsidRPr="00D41BD3">
        <w:rPr>
          <w:rFonts w:ascii="Times New Roman" w:eastAsia="Calibri" w:hAnsi="Times New Roman" w:cs="Times New Roman"/>
          <w:bCs/>
          <w:sz w:val="24"/>
          <w:szCs w:val="24"/>
          <w:lang w:val="en"/>
        </w:rPr>
        <w:t xml:space="preserve"> Bangladesh received 1.53 million USD; in 2018, it was 4.88 million USD. Notably, in 2006, the USA gave Bangladesh the Highest amount of foreign aid.</w:t>
      </w:r>
    </w:p>
    <w:p w:rsidR="00D41BD3" w:rsidRPr="00D41BD3" w:rsidRDefault="00D41BD3" w:rsidP="00F15F62">
      <w:pPr>
        <w:keepNext/>
        <w:spacing w:line="360" w:lineRule="auto"/>
        <w:jc w:val="both"/>
        <w:rPr>
          <w:rFonts w:ascii="Calibri" w:eastAsia="Calibri" w:hAnsi="Calibri" w:cs="Times New Roman"/>
        </w:rPr>
      </w:pPr>
      <w:r w:rsidRPr="00D41BD3">
        <w:rPr>
          <w:rFonts w:ascii="Calibri" w:eastAsia="Calibri" w:hAnsi="Calibri" w:cs="Times New Roman"/>
          <w:noProof/>
        </w:rPr>
        <w:lastRenderedPageBreak/>
        <w:drawing>
          <wp:inline distT="0" distB="0" distL="0" distR="0" wp14:anchorId="6A979354" wp14:editId="53FBF34D">
            <wp:extent cx="5943600" cy="2762250"/>
            <wp:effectExtent l="0" t="0" r="0" b="0"/>
            <wp:docPr id="3" name="Chart 3">
              <a:extLst xmlns:a="http://schemas.openxmlformats.org/drawingml/2006/main">
                <a:ext uri="{FF2B5EF4-FFF2-40B4-BE49-F238E27FC236}">
                  <a16:creationId xmlns:a16="http://schemas.microsoft.com/office/drawing/2014/main" id="{2F28DC45-8F01-AB9F-321D-7BC8481F24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41BD3" w:rsidRPr="00D41BD3" w:rsidRDefault="00D41BD3" w:rsidP="00F15F62">
      <w:pPr>
        <w:spacing w:after="0" w:line="360" w:lineRule="auto"/>
        <w:rPr>
          <w:rFonts w:ascii="Times New Roman" w:eastAsia="Calibri" w:hAnsi="Times New Roman" w:cs="Times New Roman"/>
          <w:i/>
          <w:iCs/>
          <w:color w:val="44546A"/>
          <w:sz w:val="24"/>
          <w:szCs w:val="24"/>
        </w:rPr>
      </w:pPr>
      <w:r w:rsidRPr="00D41BD3">
        <w:rPr>
          <w:rFonts w:ascii="Calibri" w:eastAsia="Calibri" w:hAnsi="Calibri" w:cs="Times New Roman"/>
          <w:i/>
          <w:iCs/>
          <w:color w:val="44546A"/>
          <w:sz w:val="18"/>
          <w:szCs w:val="18"/>
        </w:rPr>
        <w:t xml:space="preserve">Figure </w:t>
      </w:r>
      <w:r w:rsidRPr="00D41BD3">
        <w:rPr>
          <w:rFonts w:ascii="Calibri" w:eastAsia="Calibri" w:hAnsi="Calibri" w:cs="Times New Roman"/>
          <w:i/>
          <w:iCs/>
          <w:color w:val="44546A"/>
          <w:sz w:val="18"/>
          <w:szCs w:val="18"/>
        </w:rPr>
        <w:fldChar w:fldCharType="begin"/>
      </w:r>
      <w:r w:rsidRPr="00D41BD3">
        <w:rPr>
          <w:rFonts w:ascii="Calibri" w:eastAsia="Calibri" w:hAnsi="Calibri" w:cs="Times New Roman"/>
          <w:i/>
          <w:iCs/>
          <w:color w:val="44546A"/>
          <w:sz w:val="18"/>
          <w:szCs w:val="18"/>
        </w:rPr>
        <w:instrText xml:space="preserve"> SEQ Figure \* ARABIC </w:instrText>
      </w:r>
      <w:r w:rsidRPr="00D41BD3">
        <w:rPr>
          <w:rFonts w:ascii="Calibri" w:eastAsia="Calibri" w:hAnsi="Calibri" w:cs="Times New Roman"/>
          <w:i/>
          <w:iCs/>
          <w:color w:val="44546A"/>
          <w:sz w:val="18"/>
          <w:szCs w:val="18"/>
        </w:rPr>
        <w:fldChar w:fldCharType="separate"/>
      </w:r>
      <w:r w:rsidRPr="00D41BD3">
        <w:rPr>
          <w:rFonts w:ascii="Calibri" w:eastAsia="Calibri" w:hAnsi="Calibri" w:cs="Times New Roman"/>
          <w:i/>
          <w:iCs/>
          <w:noProof/>
          <w:color w:val="44546A"/>
          <w:sz w:val="18"/>
          <w:szCs w:val="18"/>
        </w:rPr>
        <w:t>3</w:t>
      </w:r>
      <w:r w:rsidRPr="00D41BD3">
        <w:rPr>
          <w:rFonts w:ascii="Calibri" w:eastAsia="Calibri" w:hAnsi="Calibri" w:cs="Times New Roman"/>
          <w:i/>
          <w:iCs/>
          <w:noProof/>
          <w:color w:val="44546A"/>
          <w:sz w:val="18"/>
          <w:szCs w:val="18"/>
        </w:rPr>
        <w:fldChar w:fldCharType="end"/>
      </w:r>
      <w:r w:rsidRPr="00D41BD3">
        <w:rPr>
          <w:rFonts w:ascii="Calibri" w:eastAsia="Calibri" w:hAnsi="Calibri" w:cs="Times New Roman"/>
          <w:i/>
          <w:iCs/>
          <w:color w:val="44546A"/>
          <w:sz w:val="18"/>
          <w:szCs w:val="18"/>
        </w:rPr>
        <w:t>: Foreign Aid inflows in the last 15 years by countries</w:t>
      </w:r>
    </w:p>
    <w:p w:rsidR="00D41BD3" w:rsidRPr="00D41BD3" w:rsidRDefault="00D41BD3" w:rsidP="00F15F62">
      <w:pPr>
        <w:spacing w:after="0" w:line="360" w:lineRule="auto"/>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 xml:space="preserve">Source: </w:t>
      </w:r>
      <w:r w:rsidR="00CA4CD6">
        <w:rPr>
          <w:rFonts w:ascii="Times New Roman" w:eastAsia="Calibri" w:hAnsi="Times New Roman" w:cs="Times New Roman"/>
          <w:bCs/>
          <w:sz w:val="24"/>
          <w:szCs w:val="24"/>
          <w:lang w:val="en"/>
        </w:rPr>
        <w:fldChar w:fldCharType="begin" w:fldLock="1"/>
      </w:r>
      <w:r w:rsidR="00CA4CD6">
        <w:rPr>
          <w:rFonts w:ascii="Times New Roman" w:eastAsia="Calibri" w:hAnsi="Times New Roman" w:cs="Times New Roman"/>
          <w:bCs/>
          <w:sz w:val="24"/>
          <w:szCs w:val="24"/>
          <w:lang w:val="en"/>
        </w:rPr>
        <w:instrText>ADDIN CSL_CITATION {"citationItems":[{"id":"ITEM-1","itemData":{"author":[{"dropping-particle":"","family":"Review","given":"Bangladesh Economic","non-dropping-particle":"","parse-names":false,"suffix":""}],"id":"ITEM-1","issued":{"date-parts":[["2024"]]},"title":"Bangladesh Economic Review","type":"report"},"uris":["http://www.mendeley.com/documents/?uuid=2d0e2242-57f4-4844-8b64-8e9d511d015b"]}],"mendeley":{"formattedCitation":"(Review, 2024)","manualFormatting":"(Bangladesh Economic Review, 2024)","plainTextFormattedCitation":"(Review, 2024)","previouslyFormattedCitation":"(Review, 2024)"},"properties":{"noteIndex":0},"schema":"https://github.com/citation-style-language/schema/raw/master/csl-citation.json"}</w:instrText>
      </w:r>
      <w:r w:rsidR="00CA4CD6">
        <w:rPr>
          <w:rFonts w:ascii="Times New Roman" w:eastAsia="Calibri" w:hAnsi="Times New Roman" w:cs="Times New Roman"/>
          <w:bCs/>
          <w:sz w:val="24"/>
          <w:szCs w:val="24"/>
          <w:lang w:val="en"/>
        </w:rPr>
        <w:fldChar w:fldCharType="separate"/>
      </w:r>
      <w:r w:rsidR="00CA4CD6" w:rsidRPr="00CA4CD6">
        <w:rPr>
          <w:rFonts w:ascii="Times New Roman" w:eastAsia="Calibri" w:hAnsi="Times New Roman" w:cs="Times New Roman"/>
          <w:bCs/>
          <w:noProof/>
          <w:sz w:val="24"/>
          <w:szCs w:val="24"/>
          <w:lang w:val="en"/>
        </w:rPr>
        <w:t>(</w:t>
      </w:r>
      <w:r w:rsidR="00CA4CD6">
        <w:rPr>
          <w:rFonts w:ascii="Times New Roman" w:eastAsia="Calibri" w:hAnsi="Times New Roman" w:cs="Times New Roman"/>
          <w:bCs/>
          <w:noProof/>
          <w:sz w:val="24"/>
          <w:szCs w:val="24"/>
          <w:lang w:val="en"/>
        </w:rPr>
        <w:t xml:space="preserve">Bangladesh Economic </w:t>
      </w:r>
      <w:r w:rsidR="00CA4CD6" w:rsidRPr="00CA4CD6">
        <w:rPr>
          <w:rFonts w:ascii="Times New Roman" w:eastAsia="Calibri" w:hAnsi="Times New Roman" w:cs="Times New Roman"/>
          <w:bCs/>
          <w:noProof/>
          <w:sz w:val="24"/>
          <w:szCs w:val="24"/>
          <w:lang w:val="en"/>
        </w:rPr>
        <w:t>Review, 2024)</w:t>
      </w:r>
      <w:r w:rsidR="00CA4CD6">
        <w:rPr>
          <w:rFonts w:ascii="Times New Roman" w:eastAsia="Calibri" w:hAnsi="Times New Roman" w:cs="Times New Roman"/>
          <w:bCs/>
          <w:sz w:val="24"/>
          <w:szCs w:val="24"/>
          <w:lang w:val="en"/>
        </w:rPr>
        <w:fldChar w:fldCharType="end"/>
      </w:r>
    </w:p>
    <w:p w:rsidR="00D41BD3" w:rsidRPr="00D41BD3" w:rsidRDefault="00D41BD3" w:rsidP="00F15F62">
      <w:pPr>
        <w:spacing w:line="360" w:lineRule="auto"/>
        <w:jc w:val="both"/>
        <w:rPr>
          <w:rFonts w:ascii="Times New Roman" w:eastAsia="Calibri" w:hAnsi="Times New Roman" w:cs="Times New Roman"/>
          <w:bCs/>
          <w:sz w:val="24"/>
          <w:szCs w:val="24"/>
          <w:lang w:val="en"/>
        </w:rPr>
      </w:pPr>
    </w:p>
    <w:p w:rsidR="00101BDF"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Foreign aid influxes from various countries during the previous 15 years are depicted in the pie chart (</w:t>
      </w:r>
      <w:r w:rsidR="00CA4CD6">
        <w:rPr>
          <w:rFonts w:ascii="Times New Roman" w:eastAsia="Calibri" w:hAnsi="Times New Roman" w:cs="Times New Roman"/>
          <w:bCs/>
          <w:sz w:val="24"/>
          <w:szCs w:val="24"/>
          <w:lang w:val="en"/>
        </w:rPr>
        <w:t>Figure 3</w:t>
      </w:r>
      <w:r w:rsidRPr="00D41BD3">
        <w:rPr>
          <w:rFonts w:ascii="Times New Roman" w:eastAsia="Calibri" w:hAnsi="Times New Roman" w:cs="Times New Roman"/>
          <w:bCs/>
          <w:sz w:val="24"/>
          <w:szCs w:val="24"/>
          <w:lang w:val="en"/>
        </w:rPr>
        <w:t xml:space="preserve">) above. Bangladesh receives aid from countries with strong political and economic ties. A large chunk of this graph is dedicated to Japan. In the last 15 years, Japan has donated 8473.17 million dollars in foreign aid (FY2005-06 to FY2020-2021). Japan provided the most assistance to Bangladesh during the COVID-19 pandemic. Amounts for 2019-20 and 2020-21 were 1692.91 million and 973.22 million USD, respectively. China and Russia, two of the world's wealthiest nations, contributed 16 percent and 19 percent to global foreign aid during the previous 15 years. </w:t>
      </w:r>
      <w:r w:rsidR="00E86733">
        <w:rPr>
          <w:rFonts w:ascii="Times New Roman" w:eastAsia="Calibri" w:hAnsi="Times New Roman" w:cs="Times New Roman"/>
          <w:bCs/>
          <w:sz w:val="24"/>
          <w:szCs w:val="24"/>
          <w:lang w:val="en"/>
        </w:rPr>
        <w:t>In the last</w:t>
      </w:r>
      <w:r w:rsidRPr="00D41BD3">
        <w:rPr>
          <w:rFonts w:ascii="Times New Roman" w:eastAsia="Calibri" w:hAnsi="Times New Roman" w:cs="Times New Roman"/>
          <w:bCs/>
          <w:sz w:val="24"/>
          <w:szCs w:val="24"/>
          <w:lang w:val="en"/>
        </w:rPr>
        <w:t xml:space="preserve"> 15 years, the United States has provided just a minor amount of d</w:t>
      </w:r>
      <w:r w:rsidR="00101BDF">
        <w:rPr>
          <w:rFonts w:ascii="Times New Roman" w:eastAsia="Calibri" w:hAnsi="Times New Roman" w:cs="Times New Roman"/>
          <w:bCs/>
          <w:sz w:val="24"/>
          <w:szCs w:val="24"/>
          <w:lang w:val="en"/>
        </w:rPr>
        <w:t xml:space="preserve">irect foreign </w:t>
      </w:r>
      <w:r w:rsidR="00E86733">
        <w:rPr>
          <w:rFonts w:ascii="Times New Roman" w:eastAsia="Calibri" w:hAnsi="Times New Roman" w:cs="Times New Roman"/>
          <w:bCs/>
          <w:sz w:val="24"/>
          <w:szCs w:val="24"/>
          <w:lang w:val="en"/>
        </w:rPr>
        <w:t>assistance</w:t>
      </w:r>
      <w:r w:rsidR="00101BDF">
        <w:rPr>
          <w:rFonts w:ascii="Times New Roman" w:eastAsia="Calibri" w:hAnsi="Times New Roman" w:cs="Times New Roman"/>
          <w:bCs/>
          <w:sz w:val="24"/>
          <w:szCs w:val="24"/>
          <w:lang w:val="en"/>
        </w:rPr>
        <w:t xml:space="preserve"> to Bangladesh.</w:t>
      </w:r>
    </w:p>
    <w:p w:rsidR="00101BDF" w:rsidRPr="00101BDF" w:rsidRDefault="00101BDF" w:rsidP="00101BDF">
      <w:pPr>
        <w:pStyle w:val="ListParagraph"/>
        <w:numPr>
          <w:ilvl w:val="1"/>
          <w:numId w:val="1"/>
        </w:numPr>
        <w:spacing w:line="360" w:lineRule="auto"/>
        <w:jc w:val="both"/>
        <w:rPr>
          <w:rFonts w:ascii="Times New Roman" w:eastAsia="Calibri" w:hAnsi="Times New Roman" w:cs="Times New Roman"/>
          <w:b/>
          <w:bCs/>
          <w:sz w:val="24"/>
          <w:szCs w:val="24"/>
          <w:lang w:val="en"/>
        </w:rPr>
      </w:pPr>
      <w:r w:rsidRPr="00101BDF">
        <w:rPr>
          <w:rFonts w:ascii="Times New Roman" w:eastAsia="Calibri" w:hAnsi="Times New Roman" w:cs="Times New Roman"/>
          <w:b/>
          <w:bCs/>
          <w:sz w:val="24"/>
          <w:szCs w:val="24"/>
          <w:lang w:val="en"/>
        </w:rPr>
        <w:t xml:space="preserve">International Trade </w:t>
      </w:r>
    </w:p>
    <w:p w:rsidR="00D41BD3" w:rsidRPr="00101BDF" w:rsidRDefault="00101BDF" w:rsidP="00101BDF">
      <w:pPr>
        <w:spacing w:line="360" w:lineRule="auto"/>
        <w:jc w:val="both"/>
        <w:rPr>
          <w:rFonts w:ascii="Times New Roman" w:eastAsia="Calibri" w:hAnsi="Times New Roman" w:cs="Times New Roman"/>
          <w:bCs/>
          <w:sz w:val="24"/>
          <w:szCs w:val="24"/>
          <w:lang w:val="en"/>
        </w:rPr>
      </w:pPr>
      <w:r w:rsidRPr="00101BDF">
        <w:rPr>
          <w:rFonts w:ascii="Times New Roman" w:eastAsia="Calibri" w:hAnsi="Times New Roman" w:cs="Times New Roman"/>
          <w:bCs/>
          <w:sz w:val="24"/>
          <w:szCs w:val="24"/>
          <w:lang w:val="en"/>
        </w:rPr>
        <w:t xml:space="preserve"> </w:t>
      </w:r>
      <w:r w:rsidR="00D41BD3" w:rsidRPr="00101BDF">
        <w:rPr>
          <w:rFonts w:ascii="Times New Roman" w:eastAsia="Calibri" w:hAnsi="Times New Roman" w:cs="Times New Roman"/>
          <w:bCs/>
          <w:sz w:val="24"/>
          <w:szCs w:val="24"/>
          <w:lang w:val="en"/>
        </w:rPr>
        <w:t>Bangladesh is one of the most important trade partners of the United States. Roughly 19–20 percent of Bangladesh's exports are headed for the United States. In 2021, the United States and Bangladesh engaged in more than $10 billion worth of mutually beneficial trade. However, when viewed from the perspective of the United States, Bangladesh is a relatively minor commercial partner. Bangladesh was the United States' 46th largest trading partner in 2020.</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lastRenderedPageBreak/>
        <w:t xml:space="preserve">Most of Bangladesh's exports consist of woven clothing, knit clothing, assorted textiles, caps, headgear, footwear, tobacco, snack foods, furniture, ceramic ware, toys, plastic items, artificial flowers, </w:t>
      </w:r>
      <w:r w:rsidR="00E86733">
        <w:rPr>
          <w:rFonts w:ascii="Times New Roman" w:eastAsia="Calibri" w:hAnsi="Times New Roman" w:cs="Times New Roman"/>
          <w:bCs/>
          <w:sz w:val="24"/>
          <w:szCs w:val="24"/>
          <w:lang w:val="en"/>
        </w:rPr>
        <w:t>etc</w:t>
      </w:r>
      <w:r w:rsidRPr="00D41BD3">
        <w:rPr>
          <w:rFonts w:ascii="Times New Roman" w:eastAsia="Calibri" w:hAnsi="Times New Roman" w:cs="Times New Roman"/>
          <w:bCs/>
          <w:sz w:val="24"/>
          <w:szCs w:val="24"/>
          <w:lang w:val="en"/>
        </w:rPr>
        <w:t>. Most of Bangladesh's imports include raw cotton, chemicals, machinery and equipment, pharmaceuticals, aircraft, electrical equipment, iron and steel, etc.</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In recent years, Bangladesh has been able to successfully penetrate the United States garment market despite the hefty import taxes that are in place in that country. It is estimated that readymade clothes account for between 87 and 88 percent of Bangladesh's exports to the United States. The overall value of Bangladesh's garment product exports to the United States was $4.29 billion in 2010 and is projected to reach approximately $7.30 billion by 2021 (Source: BGMEA). The United States is Bangladesh's third largest market for garments imported from Bangladesh.</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 xml:space="preserve">Bangladesh's readymade garment (RMG) industry now boasts 155 green factories with the Leadership in Energy and Environmental Design (LEED) accreditation from the US Green Building Council (USGBC), the highest level of certification available anywhere in the world. Seven </w:t>
      </w:r>
      <w:r w:rsidR="00E86733">
        <w:rPr>
          <w:rFonts w:ascii="Times New Roman" w:eastAsia="Calibri" w:hAnsi="Times New Roman" w:cs="Times New Roman"/>
          <w:bCs/>
          <w:sz w:val="24"/>
          <w:szCs w:val="24"/>
          <w:lang w:val="en"/>
        </w:rPr>
        <w:t xml:space="preserve">of the world's top ten LEED-certified factories are </w:t>
      </w:r>
      <w:r w:rsidRPr="00D41BD3">
        <w:rPr>
          <w:rFonts w:ascii="Times New Roman" w:eastAsia="Calibri" w:hAnsi="Times New Roman" w:cs="Times New Roman"/>
          <w:bCs/>
          <w:sz w:val="24"/>
          <w:szCs w:val="24"/>
          <w:lang w:val="en"/>
        </w:rPr>
        <w:t>in Bangladesh.</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 xml:space="preserve">The rise in wages in China and improved safety in the readymade garment industry over the past few years have </w:t>
      </w:r>
      <w:r w:rsidR="00E86733">
        <w:rPr>
          <w:rFonts w:ascii="Times New Roman" w:eastAsia="Calibri" w:hAnsi="Times New Roman" w:cs="Times New Roman"/>
          <w:bCs/>
          <w:sz w:val="24"/>
          <w:szCs w:val="24"/>
          <w:lang w:val="en"/>
        </w:rPr>
        <w:t>increased</w:t>
      </w:r>
      <w:r w:rsidRPr="00D41BD3">
        <w:rPr>
          <w:rFonts w:ascii="Times New Roman" w:eastAsia="Calibri" w:hAnsi="Times New Roman" w:cs="Times New Roman"/>
          <w:bCs/>
          <w:sz w:val="24"/>
          <w:szCs w:val="24"/>
          <w:lang w:val="en"/>
        </w:rPr>
        <w:t xml:space="preserve"> buyers' confidence in Bangladesh apparel. As a result, buyers in the United States increasingly lean toward Bangladesh as a source of merchandise. Bangladesh is a source of low-cost but high-quality goods in the garment industry, and companies operating in the United States can take advantage of this.</w:t>
      </w:r>
    </w:p>
    <w:p w:rsidR="00D41BD3" w:rsidRPr="00D41BD3" w:rsidRDefault="00D41BD3" w:rsidP="00F15F62">
      <w:pPr>
        <w:keepNext/>
        <w:spacing w:line="360" w:lineRule="auto"/>
        <w:jc w:val="both"/>
        <w:rPr>
          <w:rFonts w:ascii="Calibri" w:eastAsia="Calibri" w:hAnsi="Calibri" w:cs="Times New Roman"/>
        </w:rPr>
      </w:pPr>
      <w:r w:rsidRPr="00D41BD3">
        <w:rPr>
          <w:rFonts w:ascii="Calibri" w:eastAsia="Calibri" w:hAnsi="Calibri" w:cs="Times New Roman"/>
          <w:noProof/>
        </w:rPr>
        <w:lastRenderedPageBreak/>
        <w:drawing>
          <wp:inline distT="0" distB="0" distL="0" distR="0" wp14:anchorId="03B1BF7F" wp14:editId="550C1B8A">
            <wp:extent cx="5768340" cy="3038475"/>
            <wp:effectExtent l="0" t="0" r="3810" b="9525"/>
            <wp:docPr id="4" name="Chart 4">
              <a:extLst xmlns:a="http://schemas.openxmlformats.org/drawingml/2006/main">
                <a:ext uri="{FF2B5EF4-FFF2-40B4-BE49-F238E27FC236}">
                  <a16:creationId xmlns:a16="http://schemas.microsoft.com/office/drawing/2014/main" id="{39B406A3-FFE0-D7A6-4A0F-F45F654B4A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41BD3" w:rsidRPr="00D41BD3" w:rsidRDefault="00D41BD3" w:rsidP="00F15F62">
      <w:pPr>
        <w:spacing w:after="200" w:line="360" w:lineRule="auto"/>
        <w:rPr>
          <w:rFonts w:ascii="Times New Roman" w:eastAsia="Calibri" w:hAnsi="Times New Roman" w:cs="Times New Roman"/>
          <w:i/>
          <w:iCs/>
          <w:color w:val="44546A"/>
          <w:sz w:val="24"/>
          <w:szCs w:val="24"/>
        </w:rPr>
      </w:pPr>
      <w:r w:rsidRPr="00D41BD3">
        <w:rPr>
          <w:rFonts w:ascii="Calibri" w:eastAsia="Calibri" w:hAnsi="Calibri" w:cs="Times New Roman"/>
          <w:i/>
          <w:iCs/>
          <w:color w:val="44546A"/>
          <w:sz w:val="18"/>
          <w:szCs w:val="18"/>
        </w:rPr>
        <w:t xml:space="preserve">Figure </w:t>
      </w:r>
      <w:r w:rsidRPr="00D41BD3">
        <w:rPr>
          <w:rFonts w:ascii="Calibri" w:eastAsia="Calibri" w:hAnsi="Calibri" w:cs="Times New Roman"/>
          <w:i/>
          <w:iCs/>
          <w:color w:val="44546A"/>
          <w:sz w:val="18"/>
          <w:szCs w:val="18"/>
        </w:rPr>
        <w:fldChar w:fldCharType="begin"/>
      </w:r>
      <w:r w:rsidRPr="00D41BD3">
        <w:rPr>
          <w:rFonts w:ascii="Calibri" w:eastAsia="Calibri" w:hAnsi="Calibri" w:cs="Times New Roman"/>
          <w:i/>
          <w:iCs/>
          <w:color w:val="44546A"/>
          <w:sz w:val="18"/>
          <w:szCs w:val="18"/>
        </w:rPr>
        <w:instrText xml:space="preserve"> SEQ Figure \* ARABIC </w:instrText>
      </w:r>
      <w:r w:rsidRPr="00D41BD3">
        <w:rPr>
          <w:rFonts w:ascii="Calibri" w:eastAsia="Calibri" w:hAnsi="Calibri" w:cs="Times New Roman"/>
          <w:i/>
          <w:iCs/>
          <w:color w:val="44546A"/>
          <w:sz w:val="18"/>
          <w:szCs w:val="18"/>
        </w:rPr>
        <w:fldChar w:fldCharType="separate"/>
      </w:r>
      <w:r w:rsidRPr="00D41BD3">
        <w:rPr>
          <w:rFonts w:ascii="Calibri" w:eastAsia="Calibri" w:hAnsi="Calibri" w:cs="Times New Roman"/>
          <w:i/>
          <w:iCs/>
          <w:noProof/>
          <w:color w:val="44546A"/>
          <w:sz w:val="18"/>
          <w:szCs w:val="18"/>
        </w:rPr>
        <w:t>4</w:t>
      </w:r>
      <w:r w:rsidRPr="00D41BD3">
        <w:rPr>
          <w:rFonts w:ascii="Calibri" w:eastAsia="Calibri" w:hAnsi="Calibri" w:cs="Times New Roman"/>
          <w:i/>
          <w:iCs/>
          <w:noProof/>
          <w:color w:val="44546A"/>
          <w:sz w:val="18"/>
          <w:szCs w:val="18"/>
        </w:rPr>
        <w:fldChar w:fldCharType="end"/>
      </w:r>
      <w:r w:rsidRPr="00D41BD3">
        <w:rPr>
          <w:rFonts w:ascii="Calibri" w:eastAsia="Calibri" w:hAnsi="Calibri" w:cs="Times New Roman"/>
          <w:i/>
          <w:iCs/>
          <w:color w:val="44546A"/>
          <w:sz w:val="18"/>
          <w:szCs w:val="18"/>
        </w:rPr>
        <w:t>: Import-Export of the USA with Bangladesh</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 xml:space="preserve">The line chart in Figure 4 shows the USA's Bangladesh imports and exports. It is noteworthy that the USA imports a large amount from Bangladesh. For Bangladesh, this is a major source of revenue. Since 1985, the amount of imports from Bangladesh has gradually increased. Although there is a slight decline, it is seen to </w:t>
      </w:r>
      <w:r w:rsidR="00E86733">
        <w:rPr>
          <w:rFonts w:ascii="Times New Roman" w:eastAsia="Calibri" w:hAnsi="Times New Roman" w:cs="Times New Roman"/>
          <w:bCs/>
          <w:sz w:val="24"/>
          <w:szCs w:val="24"/>
          <w:lang w:val="en"/>
        </w:rPr>
        <w:t>grow</w:t>
      </w:r>
      <w:r w:rsidRPr="00D41BD3">
        <w:rPr>
          <w:rFonts w:ascii="Times New Roman" w:eastAsia="Calibri" w:hAnsi="Times New Roman" w:cs="Times New Roman"/>
          <w:bCs/>
          <w:sz w:val="24"/>
          <w:szCs w:val="24"/>
          <w:lang w:val="en"/>
        </w:rPr>
        <w:t xml:space="preserve"> again after some time. </w:t>
      </w:r>
      <w:r w:rsidR="00E86733">
        <w:rPr>
          <w:rFonts w:ascii="Times New Roman" w:eastAsia="Calibri" w:hAnsi="Times New Roman" w:cs="Times New Roman"/>
          <w:bCs/>
          <w:sz w:val="24"/>
          <w:szCs w:val="24"/>
          <w:lang w:val="en"/>
        </w:rPr>
        <w:t>Notably,</w:t>
      </w:r>
      <w:r w:rsidRPr="00D41BD3">
        <w:rPr>
          <w:rFonts w:ascii="Times New Roman" w:eastAsia="Calibri" w:hAnsi="Times New Roman" w:cs="Times New Roman"/>
          <w:bCs/>
          <w:sz w:val="24"/>
          <w:szCs w:val="24"/>
          <w:lang w:val="en"/>
        </w:rPr>
        <w:t xml:space="preserve"> in 2021, the USA imported the highest amount of goods and services from Bangladesh, which is 8299.45 million USD. It is the highest for Bangladesh to earn revenue by export from the USA in its trade history. Since 2021 was the post-COVID-19 pandemic, it has helped Bangladesh survive and rebuild the economy. Besides, FDI was highest in 2015, and imports from Bangladesh did not decrease. It increased in 2015 compared to 2014. So, in that phrase, Bangladesh generated a winsome amount of US currency.</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 xml:space="preserve">This line chart also shows the USA's exports to Bangladesh. The USA's exports to Bangladesh have steadily increased over the years. However, the striking point is that the gap between the import </w:t>
      </w:r>
      <w:r w:rsidR="00E86733">
        <w:rPr>
          <w:rFonts w:ascii="Times New Roman" w:eastAsia="Calibri" w:hAnsi="Times New Roman" w:cs="Times New Roman"/>
          <w:bCs/>
          <w:sz w:val="24"/>
          <w:szCs w:val="24"/>
          <w:lang w:val="en"/>
        </w:rPr>
        <w:t>and export lines</w:t>
      </w:r>
      <w:r w:rsidRPr="00D41BD3">
        <w:rPr>
          <w:rFonts w:ascii="Times New Roman" w:eastAsia="Calibri" w:hAnsi="Times New Roman" w:cs="Times New Roman"/>
          <w:bCs/>
          <w:sz w:val="24"/>
          <w:szCs w:val="24"/>
          <w:lang w:val="en"/>
        </w:rPr>
        <w:t xml:space="preserve"> has become larger over the years. The USA imports several times more than what it exports. Bangladesh's highest exports are seen in 2019 and 2021, which are close to each other. However, the imports are much higher than that.</w:t>
      </w:r>
    </w:p>
    <w:p w:rsidR="00101BDF" w:rsidRDefault="00E86733" w:rsidP="00101BDF">
      <w:pPr>
        <w:spacing w:line="360" w:lineRule="auto"/>
        <w:jc w:val="both"/>
        <w:rPr>
          <w:rFonts w:ascii="Times New Roman" w:eastAsia="Calibri" w:hAnsi="Times New Roman" w:cs="Times New Roman"/>
          <w:bCs/>
          <w:sz w:val="24"/>
          <w:szCs w:val="24"/>
          <w:lang w:val="en"/>
        </w:rPr>
      </w:pPr>
      <w:r>
        <w:rPr>
          <w:rFonts w:ascii="Times New Roman" w:eastAsia="Calibri" w:hAnsi="Times New Roman" w:cs="Times New Roman"/>
          <w:bCs/>
          <w:sz w:val="24"/>
          <w:szCs w:val="24"/>
          <w:lang w:val="en"/>
        </w:rPr>
        <w:t>This shows that Bangladesh benefits greatly from the import-export trade between Bangladesh and the USA</w:t>
      </w:r>
      <w:r w:rsidR="00D41BD3" w:rsidRPr="00D41BD3">
        <w:rPr>
          <w:rFonts w:ascii="Times New Roman" w:eastAsia="Calibri" w:hAnsi="Times New Roman" w:cs="Times New Roman"/>
          <w:bCs/>
          <w:sz w:val="24"/>
          <w:szCs w:val="24"/>
          <w:lang w:val="en"/>
        </w:rPr>
        <w:t>.</w:t>
      </w:r>
    </w:p>
    <w:p w:rsidR="00101BDF" w:rsidRPr="00101BDF" w:rsidRDefault="00D41BD3" w:rsidP="00101BDF">
      <w:pPr>
        <w:pStyle w:val="ListParagraph"/>
        <w:numPr>
          <w:ilvl w:val="1"/>
          <w:numId w:val="1"/>
        </w:numPr>
        <w:spacing w:line="360" w:lineRule="auto"/>
        <w:jc w:val="both"/>
        <w:rPr>
          <w:rFonts w:ascii="Times New Roman" w:eastAsia="Calibri" w:hAnsi="Times New Roman" w:cs="Times New Roman"/>
          <w:b/>
          <w:bCs/>
          <w:sz w:val="24"/>
          <w:szCs w:val="24"/>
          <w:lang w:val="en"/>
        </w:rPr>
      </w:pPr>
      <w:r w:rsidRPr="00101BDF">
        <w:rPr>
          <w:rFonts w:ascii="Times New Roman" w:eastAsia="Calibri" w:hAnsi="Times New Roman" w:cs="Times New Roman"/>
          <w:b/>
          <w:sz w:val="24"/>
          <w:szCs w:val="24"/>
          <w:lang w:val="en"/>
        </w:rPr>
        <w:lastRenderedPageBreak/>
        <w:t xml:space="preserve">Remittance and skilled migration </w:t>
      </w:r>
    </w:p>
    <w:p w:rsidR="00D41BD3" w:rsidRPr="00101BDF" w:rsidRDefault="00D41BD3" w:rsidP="00101BDF">
      <w:pPr>
        <w:spacing w:line="360" w:lineRule="auto"/>
        <w:jc w:val="both"/>
        <w:rPr>
          <w:rFonts w:ascii="Times New Roman" w:eastAsia="Calibri" w:hAnsi="Times New Roman" w:cs="Times New Roman"/>
          <w:bCs/>
          <w:sz w:val="24"/>
          <w:szCs w:val="24"/>
          <w:lang w:val="en"/>
        </w:rPr>
      </w:pPr>
      <w:r w:rsidRPr="00101BDF">
        <w:rPr>
          <w:rFonts w:ascii="Times New Roman" w:eastAsia="Calibri" w:hAnsi="Times New Roman" w:cs="Times New Roman"/>
          <w:bCs/>
          <w:sz w:val="24"/>
          <w:szCs w:val="24"/>
          <w:lang w:val="en"/>
        </w:rPr>
        <w:t>It is feasible to describe remittances as the portion of a migrant worker's earnings that is sent back to the country of the worker's birth from where the worker is employed. This definition is one way to think about remittances. Remittances are seen as a stable source of cash in less developed countries, where they play an important source of income for households and play a substantial role overall</w:t>
      </w:r>
      <w:r w:rsidR="00F769BB" w:rsidRPr="00101BDF">
        <w:rPr>
          <w:rFonts w:ascii="Times New Roman" w:eastAsia="Calibri" w:hAnsi="Times New Roman" w:cs="Times New Roman"/>
          <w:bCs/>
          <w:sz w:val="24"/>
          <w:szCs w:val="24"/>
          <w:lang w:val="en"/>
        </w:rPr>
        <w:t xml:space="preserve"> </w:t>
      </w:r>
      <w:r w:rsidR="00F769BB" w:rsidRPr="00101BDF">
        <w:rPr>
          <w:rFonts w:ascii="Times New Roman" w:eastAsia="Calibri" w:hAnsi="Times New Roman" w:cs="Times New Roman"/>
          <w:bCs/>
          <w:sz w:val="24"/>
          <w:szCs w:val="24"/>
          <w:lang w:val="en"/>
        </w:rPr>
        <w:fldChar w:fldCharType="begin" w:fldLock="1"/>
      </w:r>
      <w:r w:rsidR="005065E7" w:rsidRPr="00101BDF">
        <w:rPr>
          <w:rFonts w:ascii="Times New Roman" w:eastAsia="Calibri" w:hAnsi="Times New Roman" w:cs="Times New Roman"/>
          <w:bCs/>
          <w:sz w:val="24"/>
          <w:szCs w:val="24"/>
          <w:lang w:val="en"/>
        </w:rPr>
        <w:instrText>ADDIN CSL_CITATION {"citationItems":[{"id":"ITEM-1","itemData":{"author":[{"dropping-particle":"","family":"Alfieri","given":"A and Havinga ivo","non-dropping-particle":"","parse-names":false,"suffix":""}],"container-title":"United Nations Statistics Division","id":"ITEM-1","issue":"May","issued":{"date-parts":[["2006"]]},"number-of-pages":"1-13","title":"DEFINITION OF REMITTANCES","type":"report","volume":"14"},"uris":["http://www.mendeley.com/documents/?uuid=1dd2d9ae-2bcc-4fae-b704-fec35b1a0ff1"]}],"mendeley":{"formattedCitation":"(Alfieri, 2006)","plainTextFormattedCitation":"(Alfieri, 2006)","previouslyFormattedCitation":"(Alfieri, 2006)"},"properties":{"noteIndex":0},"schema":"https://github.com/citation-style-language/schema/raw/master/csl-citation.json"}</w:instrText>
      </w:r>
      <w:r w:rsidR="00F769BB" w:rsidRPr="00101BDF">
        <w:rPr>
          <w:rFonts w:ascii="Times New Roman" w:eastAsia="Calibri" w:hAnsi="Times New Roman" w:cs="Times New Roman"/>
          <w:bCs/>
          <w:sz w:val="24"/>
          <w:szCs w:val="24"/>
          <w:lang w:val="en"/>
        </w:rPr>
        <w:fldChar w:fldCharType="separate"/>
      </w:r>
      <w:r w:rsidR="00F769BB" w:rsidRPr="00101BDF">
        <w:rPr>
          <w:rFonts w:ascii="Times New Roman" w:eastAsia="Calibri" w:hAnsi="Times New Roman" w:cs="Times New Roman"/>
          <w:bCs/>
          <w:noProof/>
          <w:sz w:val="24"/>
          <w:szCs w:val="24"/>
          <w:lang w:val="en"/>
        </w:rPr>
        <w:t>(Alfieri, 2006)</w:t>
      </w:r>
      <w:r w:rsidR="00F769BB" w:rsidRPr="00101BDF">
        <w:rPr>
          <w:rFonts w:ascii="Times New Roman" w:eastAsia="Calibri" w:hAnsi="Times New Roman" w:cs="Times New Roman"/>
          <w:bCs/>
          <w:sz w:val="24"/>
          <w:szCs w:val="24"/>
          <w:lang w:val="en"/>
        </w:rPr>
        <w:fldChar w:fldCharType="end"/>
      </w:r>
      <w:r w:rsidR="00F769BB" w:rsidRPr="00101BDF">
        <w:rPr>
          <w:rFonts w:ascii="Times New Roman" w:eastAsia="Calibri" w:hAnsi="Times New Roman" w:cs="Times New Roman"/>
          <w:bCs/>
          <w:sz w:val="24"/>
          <w:szCs w:val="24"/>
          <w:lang w:val="en"/>
        </w:rPr>
        <w:t>.</w:t>
      </w:r>
    </w:p>
    <w:p w:rsidR="00D41BD3" w:rsidRPr="00D41BD3" w:rsidRDefault="00D41BD3" w:rsidP="00F15F62">
      <w:pPr>
        <w:keepNext/>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According to the BB's latest remittance statement, Bangladesh received the most remittances from the United States in March, at USD 308.82 million.</w:t>
      </w:r>
    </w:p>
    <w:p w:rsidR="00D41BD3" w:rsidRPr="00D41BD3" w:rsidRDefault="00D41BD3" w:rsidP="00F15F62">
      <w:pPr>
        <w:keepNext/>
        <w:spacing w:line="360" w:lineRule="auto"/>
        <w:jc w:val="both"/>
        <w:rPr>
          <w:rFonts w:ascii="Calibri" w:eastAsia="Calibri" w:hAnsi="Calibri" w:cs="Times New Roman"/>
        </w:rPr>
      </w:pPr>
      <w:r w:rsidRPr="00D41BD3">
        <w:rPr>
          <w:rFonts w:ascii="Calibri" w:eastAsia="Calibri" w:hAnsi="Calibri" w:cs="Times New Roman"/>
          <w:noProof/>
        </w:rPr>
        <w:drawing>
          <wp:inline distT="0" distB="0" distL="0" distR="0" wp14:anchorId="4C896402" wp14:editId="4DCE89A0">
            <wp:extent cx="5737860" cy="2872740"/>
            <wp:effectExtent l="0" t="0" r="15240" b="3810"/>
            <wp:docPr id="5" name="Chart 5">
              <a:extLst xmlns:a="http://schemas.openxmlformats.org/drawingml/2006/main">
                <a:ext uri="{FF2B5EF4-FFF2-40B4-BE49-F238E27FC236}">
                  <a16:creationId xmlns:a16="http://schemas.microsoft.com/office/drawing/2014/main" id="{3CFBCADB-EDB9-0594-A6CF-3EEF6DF2CE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41BD3" w:rsidRPr="00D41BD3" w:rsidRDefault="00D41BD3" w:rsidP="00F15F62">
      <w:pPr>
        <w:spacing w:after="0" w:line="360" w:lineRule="auto"/>
        <w:rPr>
          <w:rFonts w:ascii="Times New Roman" w:eastAsia="Calibri" w:hAnsi="Times New Roman" w:cs="Times New Roman"/>
          <w:i/>
          <w:iCs/>
          <w:color w:val="44546A"/>
          <w:sz w:val="24"/>
          <w:szCs w:val="24"/>
        </w:rPr>
      </w:pPr>
      <w:r w:rsidRPr="00D41BD3">
        <w:rPr>
          <w:rFonts w:ascii="Calibri" w:eastAsia="Calibri" w:hAnsi="Calibri" w:cs="Times New Roman"/>
          <w:i/>
          <w:iCs/>
          <w:color w:val="44546A"/>
          <w:sz w:val="18"/>
          <w:szCs w:val="18"/>
        </w:rPr>
        <w:t xml:space="preserve">Figure </w:t>
      </w:r>
      <w:r w:rsidRPr="00D41BD3">
        <w:rPr>
          <w:rFonts w:ascii="Calibri" w:eastAsia="Calibri" w:hAnsi="Calibri" w:cs="Times New Roman"/>
          <w:i/>
          <w:iCs/>
          <w:color w:val="44546A"/>
          <w:sz w:val="18"/>
          <w:szCs w:val="18"/>
        </w:rPr>
        <w:fldChar w:fldCharType="begin"/>
      </w:r>
      <w:r w:rsidRPr="00D41BD3">
        <w:rPr>
          <w:rFonts w:ascii="Calibri" w:eastAsia="Calibri" w:hAnsi="Calibri" w:cs="Times New Roman"/>
          <w:i/>
          <w:iCs/>
          <w:color w:val="44546A"/>
          <w:sz w:val="18"/>
          <w:szCs w:val="18"/>
        </w:rPr>
        <w:instrText xml:space="preserve"> SEQ Figure \* ARABIC </w:instrText>
      </w:r>
      <w:r w:rsidRPr="00D41BD3">
        <w:rPr>
          <w:rFonts w:ascii="Calibri" w:eastAsia="Calibri" w:hAnsi="Calibri" w:cs="Times New Roman"/>
          <w:i/>
          <w:iCs/>
          <w:color w:val="44546A"/>
          <w:sz w:val="18"/>
          <w:szCs w:val="18"/>
        </w:rPr>
        <w:fldChar w:fldCharType="separate"/>
      </w:r>
      <w:r w:rsidRPr="00D41BD3">
        <w:rPr>
          <w:rFonts w:ascii="Calibri" w:eastAsia="Calibri" w:hAnsi="Calibri" w:cs="Times New Roman"/>
          <w:i/>
          <w:iCs/>
          <w:noProof/>
          <w:color w:val="44546A"/>
          <w:sz w:val="18"/>
          <w:szCs w:val="18"/>
        </w:rPr>
        <w:t>5</w:t>
      </w:r>
      <w:r w:rsidRPr="00D41BD3">
        <w:rPr>
          <w:rFonts w:ascii="Calibri" w:eastAsia="Calibri" w:hAnsi="Calibri" w:cs="Times New Roman"/>
          <w:i/>
          <w:iCs/>
          <w:noProof/>
          <w:color w:val="44546A"/>
          <w:sz w:val="18"/>
          <w:szCs w:val="18"/>
        </w:rPr>
        <w:fldChar w:fldCharType="end"/>
      </w:r>
      <w:r w:rsidRPr="00D41BD3">
        <w:rPr>
          <w:rFonts w:ascii="Calibri" w:eastAsia="Calibri" w:hAnsi="Calibri" w:cs="Times New Roman"/>
          <w:i/>
          <w:iCs/>
          <w:color w:val="44546A"/>
          <w:sz w:val="18"/>
          <w:szCs w:val="18"/>
        </w:rPr>
        <w:t>: Remittance inflow from the USA</w:t>
      </w:r>
    </w:p>
    <w:p w:rsidR="00D41BD3" w:rsidRPr="00D41BD3" w:rsidRDefault="00D41BD3" w:rsidP="00F15F62">
      <w:pPr>
        <w:spacing w:after="0" w:line="360" w:lineRule="auto"/>
        <w:rPr>
          <w:rFonts w:ascii="Times New Roman" w:eastAsia="Calibri" w:hAnsi="Times New Roman" w:cs="Times New Roman"/>
          <w:bCs/>
          <w:sz w:val="20"/>
          <w:szCs w:val="20"/>
          <w:lang w:val="en"/>
        </w:rPr>
      </w:pPr>
      <w:r w:rsidRPr="005065E7">
        <w:rPr>
          <w:rFonts w:ascii="Times New Roman" w:eastAsia="Calibri" w:hAnsi="Times New Roman" w:cs="Times New Roman"/>
          <w:bCs/>
          <w:sz w:val="20"/>
          <w:szCs w:val="20"/>
          <w:lang w:val="en"/>
        </w:rPr>
        <w:t>Source:</w:t>
      </w:r>
      <w:r w:rsidRPr="00D41BD3">
        <w:rPr>
          <w:rFonts w:ascii="Times New Roman" w:eastAsia="Calibri" w:hAnsi="Times New Roman" w:cs="Times New Roman"/>
          <w:bCs/>
          <w:sz w:val="20"/>
          <w:szCs w:val="20"/>
          <w:lang w:val="en"/>
        </w:rPr>
        <w:t xml:space="preserve"> </w:t>
      </w:r>
      <w:r w:rsidR="005065E7">
        <w:rPr>
          <w:rFonts w:ascii="Times New Roman" w:eastAsia="Calibri" w:hAnsi="Times New Roman" w:cs="Times New Roman"/>
          <w:bCs/>
          <w:sz w:val="20"/>
          <w:szCs w:val="20"/>
          <w:lang w:val="en"/>
        </w:rPr>
        <w:fldChar w:fldCharType="begin" w:fldLock="1"/>
      </w:r>
      <w:r w:rsidR="00CA4CD6">
        <w:rPr>
          <w:rFonts w:ascii="Times New Roman" w:eastAsia="Calibri" w:hAnsi="Times New Roman" w:cs="Times New Roman"/>
          <w:bCs/>
          <w:sz w:val="20"/>
          <w:szCs w:val="20"/>
          <w:lang w:val="en"/>
        </w:rPr>
        <w:instrText>ADDIN CSL_CITATION {"citationItems":[{"id":"ITEM-1","itemData":{"DOI":"10.1596/26642","abstract":"The objective of this report is to update the Government of Bangladesh, think tanks and researchers, the general public as well as the Bank’s senior management on the state of the economy, outlook, risks, progress on structural policy reforms and key challenges the economy is currently facing. The coverage includes developments in the real sector focusing on growth, inflation, and poverty; external sector developments focusing on the balance of payments, foreign exchange reserves and the exchange rate; fiscal developments focusing on revenue mobilization, public expenditures, and deficit financing; financial sector developments focusing on credit and interest rates; and monetary developments focusing on reserve money and broad money growth trends. The update also covers assessment of public expenditures as a follow up to the Public Expenditure Review Update completed in June 2015 and includes an analysis of the transmission of international food prices to domestic prices.","author":[{"dropping-particle":"","family":"World Bank","given":"","non-dropping-particle":"","parse-names":false,"suffix":""}],"container-title":"Bangladesh Development Update 2017","id":"ITEM-1","issue":"October","issued":{"date-parts":[["2023"]]},"title":"Bangladesh Development Update 2023","type":"report"},"uris":["http://www.mendeley.com/documents/?uuid=9228075e-5eac-4bfe-a468-5e9b5da80986"]}],"mendeley":{"formattedCitation":"(World Bank, 2023)","plainTextFormattedCitation":"(World Bank, 2023)","previouslyFormattedCitation":"(World Bank, 2023)"},"properties":{"noteIndex":0},"schema":"https://github.com/citation-style-language/schema/raw/master/csl-citation.json"}</w:instrText>
      </w:r>
      <w:r w:rsidR="005065E7">
        <w:rPr>
          <w:rFonts w:ascii="Times New Roman" w:eastAsia="Calibri" w:hAnsi="Times New Roman" w:cs="Times New Roman"/>
          <w:bCs/>
          <w:sz w:val="20"/>
          <w:szCs w:val="20"/>
          <w:lang w:val="en"/>
        </w:rPr>
        <w:fldChar w:fldCharType="separate"/>
      </w:r>
      <w:r w:rsidR="005065E7" w:rsidRPr="005065E7">
        <w:rPr>
          <w:rFonts w:ascii="Times New Roman" w:eastAsia="Calibri" w:hAnsi="Times New Roman" w:cs="Times New Roman"/>
          <w:bCs/>
          <w:noProof/>
          <w:sz w:val="20"/>
          <w:szCs w:val="20"/>
          <w:lang w:val="en"/>
        </w:rPr>
        <w:t>(World Bank, 2023)</w:t>
      </w:r>
      <w:r w:rsidR="005065E7">
        <w:rPr>
          <w:rFonts w:ascii="Times New Roman" w:eastAsia="Calibri" w:hAnsi="Times New Roman" w:cs="Times New Roman"/>
          <w:bCs/>
          <w:sz w:val="20"/>
          <w:szCs w:val="20"/>
          <w:lang w:val="en"/>
        </w:rPr>
        <w:fldChar w:fldCharType="end"/>
      </w:r>
    </w:p>
    <w:p w:rsidR="00D41BD3" w:rsidRPr="00D41BD3" w:rsidRDefault="00D41BD3" w:rsidP="00F15F62">
      <w:pPr>
        <w:spacing w:after="0" w:line="360" w:lineRule="auto"/>
        <w:rPr>
          <w:rFonts w:ascii="Times New Roman" w:eastAsia="Calibri" w:hAnsi="Times New Roman" w:cs="Times New Roman"/>
          <w:bCs/>
          <w:sz w:val="20"/>
          <w:szCs w:val="20"/>
        </w:rPr>
      </w:pP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 xml:space="preserve">According to the graph, remittances from the United States are on the rise. Even though remittance inflow may fall for a few years, it will eventually climb again. The chart also shows the remittance inflow from the USA from 2004 to 2019. </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 xml:space="preserve">The remittance inflow, which was 55 7.21 million USD in 2004, has become 2403.4 million USD in 2019. The inflow continuously increased from 2004 to 2009 without any decline. It was 1890.31 million USD in 2009, </w:t>
      </w:r>
      <w:r w:rsidR="00E86733">
        <w:rPr>
          <w:rFonts w:ascii="Times New Roman" w:eastAsia="Calibri" w:hAnsi="Times New Roman" w:cs="Times New Roman"/>
          <w:bCs/>
          <w:sz w:val="24"/>
          <w:szCs w:val="24"/>
          <w:lang w:val="en"/>
        </w:rPr>
        <w:t>then</w:t>
      </w:r>
      <w:r w:rsidRPr="00D41BD3">
        <w:rPr>
          <w:rFonts w:ascii="Times New Roman" w:eastAsia="Calibri" w:hAnsi="Times New Roman" w:cs="Times New Roman"/>
          <w:bCs/>
          <w:sz w:val="24"/>
          <w:szCs w:val="24"/>
          <w:lang w:val="en"/>
        </w:rPr>
        <w:t xml:space="preserve"> a slight decline in 2010. In 2011, a notable decline was seen, which was 1498.46 million USD. Remittances fell sharply in the first nine months of FY11 to around </w:t>
      </w:r>
      <w:r w:rsidRPr="00D41BD3">
        <w:rPr>
          <w:rFonts w:ascii="Times New Roman" w:eastAsia="Calibri" w:hAnsi="Times New Roman" w:cs="Times New Roman"/>
          <w:bCs/>
          <w:sz w:val="24"/>
          <w:szCs w:val="24"/>
          <w:lang w:val="en"/>
        </w:rPr>
        <w:lastRenderedPageBreak/>
        <w:t xml:space="preserve">4%, compared to the 19% growth </w:t>
      </w:r>
      <w:r w:rsidR="00E86733">
        <w:rPr>
          <w:rFonts w:ascii="Times New Roman" w:eastAsia="Calibri" w:hAnsi="Times New Roman" w:cs="Times New Roman"/>
          <w:bCs/>
          <w:sz w:val="24"/>
          <w:szCs w:val="24"/>
          <w:lang w:val="en"/>
        </w:rPr>
        <w:t>in</w:t>
      </w:r>
      <w:r w:rsidRPr="00D41BD3">
        <w:rPr>
          <w:rFonts w:ascii="Times New Roman" w:eastAsia="Calibri" w:hAnsi="Times New Roman" w:cs="Times New Roman"/>
          <w:bCs/>
          <w:sz w:val="24"/>
          <w:szCs w:val="24"/>
          <w:lang w:val="en"/>
        </w:rPr>
        <w:t xml:space="preserve"> the previous year. This is because of a decrease in the net outflow of migrant </w:t>
      </w:r>
      <w:r w:rsidRPr="005065E7">
        <w:rPr>
          <w:rFonts w:ascii="Times New Roman" w:eastAsia="Calibri" w:hAnsi="Times New Roman" w:cs="Times New Roman"/>
          <w:bCs/>
          <w:sz w:val="24"/>
          <w:szCs w:val="24"/>
          <w:lang w:val="en"/>
        </w:rPr>
        <w:t>workers</w:t>
      </w:r>
      <w:r w:rsidR="005065E7">
        <w:rPr>
          <w:rFonts w:ascii="Times New Roman" w:eastAsia="Calibri" w:hAnsi="Times New Roman" w:cs="Times New Roman"/>
          <w:bCs/>
          <w:sz w:val="24"/>
          <w:szCs w:val="24"/>
          <w:lang w:val="en"/>
        </w:rPr>
        <w:t>.</w:t>
      </w:r>
    </w:p>
    <w:p w:rsidR="00D41BD3" w:rsidRPr="00D41BD3" w:rsidRDefault="00D41BD3" w:rsidP="00F15F62">
      <w:pPr>
        <w:spacing w:line="360" w:lineRule="auto"/>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However</w:t>
      </w:r>
      <w:r w:rsidR="00E86733">
        <w:rPr>
          <w:rFonts w:ascii="Times New Roman" w:eastAsia="Calibri" w:hAnsi="Times New Roman" w:cs="Times New Roman"/>
          <w:bCs/>
          <w:sz w:val="24"/>
          <w:szCs w:val="24"/>
          <w:lang w:val="en"/>
        </w:rPr>
        <w:t>, the inflow increased until 2015, when the amount was 2424.32 million USD. Another notable decline was seen in 2016 when the amount was 1688.86 million USD. Afterward, the remittance inflows increased</w:t>
      </w:r>
      <w:r w:rsidRPr="00D41BD3">
        <w:rPr>
          <w:rFonts w:ascii="Times New Roman" w:eastAsia="Calibri" w:hAnsi="Times New Roman" w:cs="Times New Roman"/>
          <w:bCs/>
          <w:sz w:val="24"/>
          <w:szCs w:val="24"/>
          <w:lang w:val="en"/>
        </w:rPr>
        <w:t xml:space="preserve"> yearly. In 2019, the remittance amount from the USA became 2403.4 million USD.</w:t>
      </w:r>
    </w:p>
    <w:p w:rsidR="00D41BD3" w:rsidRPr="00D41BD3" w:rsidRDefault="00D41BD3" w:rsidP="00F15F62">
      <w:pPr>
        <w:keepNext/>
        <w:spacing w:line="360" w:lineRule="auto"/>
        <w:jc w:val="both"/>
        <w:rPr>
          <w:rFonts w:ascii="Calibri" w:eastAsia="Calibri" w:hAnsi="Calibri" w:cs="Times New Roman"/>
        </w:rPr>
      </w:pPr>
      <w:r w:rsidRPr="00D41BD3">
        <w:rPr>
          <w:rFonts w:ascii="Calibri" w:eastAsia="Calibri" w:hAnsi="Calibri" w:cs="Times New Roman"/>
          <w:noProof/>
        </w:rPr>
        <w:drawing>
          <wp:inline distT="0" distB="0" distL="0" distR="0" wp14:anchorId="0782A45B" wp14:editId="39E7F9BF">
            <wp:extent cx="5707380" cy="2743200"/>
            <wp:effectExtent l="0" t="0" r="7620" b="0"/>
            <wp:docPr id="6" name="Chart 6">
              <a:extLst xmlns:a="http://schemas.openxmlformats.org/drawingml/2006/main">
                <a:ext uri="{FF2B5EF4-FFF2-40B4-BE49-F238E27FC236}">
                  <a16:creationId xmlns:a16="http://schemas.microsoft.com/office/drawing/2014/main" id="{5FC162AF-1CC9-66E5-FB16-6D0196D837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41BD3" w:rsidRPr="00D41BD3" w:rsidRDefault="00D41BD3" w:rsidP="00F15F62">
      <w:pPr>
        <w:spacing w:after="0" w:line="360" w:lineRule="auto"/>
        <w:rPr>
          <w:rFonts w:ascii="Times New Roman" w:eastAsia="Calibri" w:hAnsi="Times New Roman" w:cs="Times New Roman"/>
          <w:i/>
          <w:iCs/>
          <w:color w:val="44546A"/>
          <w:sz w:val="24"/>
          <w:szCs w:val="24"/>
        </w:rPr>
      </w:pPr>
      <w:r w:rsidRPr="00D41BD3">
        <w:rPr>
          <w:rFonts w:ascii="Calibri" w:eastAsia="Calibri" w:hAnsi="Calibri" w:cs="Times New Roman"/>
          <w:i/>
          <w:iCs/>
          <w:color w:val="44546A"/>
          <w:sz w:val="18"/>
          <w:szCs w:val="18"/>
        </w:rPr>
        <w:t xml:space="preserve">Figure </w:t>
      </w:r>
      <w:r w:rsidRPr="00D41BD3">
        <w:rPr>
          <w:rFonts w:ascii="Calibri" w:eastAsia="Calibri" w:hAnsi="Calibri" w:cs="Times New Roman"/>
          <w:i/>
          <w:iCs/>
          <w:color w:val="44546A"/>
          <w:sz w:val="18"/>
          <w:szCs w:val="18"/>
        </w:rPr>
        <w:fldChar w:fldCharType="begin"/>
      </w:r>
      <w:r w:rsidRPr="00D41BD3">
        <w:rPr>
          <w:rFonts w:ascii="Calibri" w:eastAsia="Calibri" w:hAnsi="Calibri" w:cs="Times New Roman"/>
          <w:i/>
          <w:iCs/>
          <w:color w:val="44546A"/>
          <w:sz w:val="18"/>
          <w:szCs w:val="18"/>
        </w:rPr>
        <w:instrText xml:space="preserve"> SEQ Figure \* ARABIC </w:instrText>
      </w:r>
      <w:r w:rsidRPr="00D41BD3">
        <w:rPr>
          <w:rFonts w:ascii="Calibri" w:eastAsia="Calibri" w:hAnsi="Calibri" w:cs="Times New Roman"/>
          <w:i/>
          <w:iCs/>
          <w:color w:val="44546A"/>
          <w:sz w:val="18"/>
          <w:szCs w:val="18"/>
        </w:rPr>
        <w:fldChar w:fldCharType="separate"/>
      </w:r>
      <w:r w:rsidRPr="00D41BD3">
        <w:rPr>
          <w:rFonts w:ascii="Calibri" w:eastAsia="Calibri" w:hAnsi="Calibri" w:cs="Times New Roman"/>
          <w:i/>
          <w:iCs/>
          <w:noProof/>
          <w:color w:val="44546A"/>
          <w:sz w:val="18"/>
          <w:szCs w:val="18"/>
        </w:rPr>
        <w:t>6</w:t>
      </w:r>
      <w:r w:rsidRPr="00D41BD3">
        <w:rPr>
          <w:rFonts w:ascii="Calibri" w:eastAsia="Calibri" w:hAnsi="Calibri" w:cs="Times New Roman"/>
          <w:i/>
          <w:iCs/>
          <w:noProof/>
          <w:color w:val="44546A"/>
          <w:sz w:val="18"/>
          <w:szCs w:val="18"/>
        </w:rPr>
        <w:fldChar w:fldCharType="end"/>
      </w:r>
      <w:r w:rsidRPr="00D41BD3">
        <w:rPr>
          <w:rFonts w:ascii="Calibri" w:eastAsia="Calibri" w:hAnsi="Calibri" w:cs="Times New Roman"/>
          <w:i/>
          <w:iCs/>
          <w:color w:val="44546A"/>
          <w:sz w:val="18"/>
          <w:szCs w:val="18"/>
        </w:rPr>
        <w:t>: Remittances inflow in FY2019-20</w:t>
      </w:r>
    </w:p>
    <w:p w:rsidR="00D41BD3" w:rsidRPr="00D41BD3" w:rsidRDefault="00D41BD3" w:rsidP="00F15F62">
      <w:pPr>
        <w:spacing w:after="0" w:line="360" w:lineRule="auto"/>
        <w:rPr>
          <w:rFonts w:ascii="Times New Roman" w:eastAsia="Calibri" w:hAnsi="Times New Roman" w:cs="Times New Roman"/>
          <w:bCs/>
          <w:i/>
          <w:iCs/>
          <w:sz w:val="20"/>
          <w:szCs w:val="20"/>
        </w:rPr>
      </w:pPr>
      <w:r w:rsidRPr="00D41BD3">
        <w:rPr>
          <w:rFonts w:ascii="Times New Roman" w:eastAsia="Calibri" w:hAnsi="Times New Roman" w:cs="Times New Roman"/>
          <w:bCs/>
          <w:sz w:val="20"/>
          <w:szCs w:val="20"/>
          <w:lang w:val="en"/>
        </w:rPr>
        <w:t>SOURCE:</w:t>
      </w:r>
      <w:r w:rsidR="00CA4CD6">
        <w:rPr>
          <w:rFonts w:ascii="Times New Roman" w:eastAsia="Calibri" w:hAnsi="Times New Roman" w:cs="Times New Roman"/>
          <w:bCs/>
          <w:i/>
          <w:iCs/>
          <w:sz w:val="20"/>
          <w:szCs w:val="20"/>
        </w:rPr>
        <w:t> </w:t>
      </w:r>
      <w:r w:rsidR="00CA4CD6">
        <w:rPr>
          <w:rFonts w:ascii="Times New Roman" w:eastAsia="Calibri" w:hAnsi="Times New Roman" w:cs="Times New Roman"/>
          <w:bCs/>
          <w:i/>
          <w:iCs/>
          <w:sz w:val="20"/>
          <w:szCs w:val="20"/>
        </w:rPr>
        <w:fldChar w:fldCharType="begin" w:fldLock="1"/>
      </w:r>
      <w:r w:rsidR="00CA4CD6">
        <w:rPr>
          <w:rFonts w:ascii="Times New Roman" w:eastAsia="Calibri" w:hAnsi="Times New Roman" w:cs="Times New Roman"/>
          <w:bCs/>
          <w:i/>
          <w:iCs/>
          <w:sz w:val="20"/>
          <w:szCs w:val="20"/>
        </w:rPr>
        <w:instrText>ADDIN CSL_CITATION {"citationItems":[{"id":"ITEM-1","itemData":{"author":[{"dropping-particle":"","family":"Bangladesh Bank","given":"","non-dropping-particle":"","parse-names":false,"suffix":""}],"id":"ITEM-1","issue":"September","issued":{"date-parts":[["2020"]]},"number-of-pages":"1-11","title":"Quarterly Report on Remittance Inflows Migration and Inflow of Remittances : July-September","type":"report"},"uris":["http://www.mendeley.com/documents/?uuid=157c21b0-6b27-4f12-a880-b79d12cafa6b"]}],"mendeley":{"formattedCitation":"(Bangladesh Bank, 2020)","plainTextFormattedCitation":"(Bangladesh Bank, 2020)"},"properties":{"noteIndex":0},"schema":"https://github.com/citation-style-language/schema/raw/master/csl-citation.json"}</w:instrText>
      </w:r>
      <w:r w:rsidR="00CA4CD6">
        <w:rPr>
          <w:rFonts w:ascii="Times New Roman" w:eastAsia="Calibri" w:hAnsi="Times New Roman" w:cs="Times New Roman"/>
          <w:bCs/>
          <w:i/>
          <w:iCs/>
          <w:sz w:val="20"/>
          <w:szCs w:val="20"/>
        </w:rPr>
        <w:fldChar w:fldCharType="separate"/>
      </w:r>
      <w:r w:rsidR="00CA4CD6" w:rsidRPr="00CA4CD6">
        <w:rPr>
          <w:rFonts w:ascii="Times New Roman" w:eastAsia="Calibri" w:hAnsi="Times New Roman" w:cs="Times New Roman"/>
          <w:bCs/>
          <w:iCs/>
          <w:noProof/>
          <w:sz w:val="20"/>
          <w:szCs w:val="20"/>
        </w:rPr>
        <w:t>(Bangladesh Bank, 2020)</w:t>
      </w:r>
      <w:r w:rsidR="00CA4CD6">
        <w:rPr>
          <w:rFonts w:ascii="Times New Roman" w:eastAsia="Calibri" w:hAnsi="Times New Roman" w:cs="Times New Roman"/>
          <w:bCs/>
          <w:i/>
          <w:iCs/>
          <w:sz w:val="20"/>
          <w:szCs w:val="20"/>
        </w:rPr>
        <w:fldChar w:fldCharType="end"/>
      </w:r>
    </w:p>
    <w:p w:rsidR="00D41BD3" w:rsidRPr="00D41BD3" w:rsidRDefault="00D41BD3" w:rsidP="00F15F62">
      <w:pPr>
        <w:spacing w:after="0" w:line="360" w:lineRule="auto"/>
        <w:rPr>
          <w:rFonts w:ascii="Times New Roman" w:eastAsia="Calibri" w:hAnsi="Times New Roman" w:cs="Times New Roman"/>
          <w:bCs/>
          <w:sz w:val="20"/>
          <w:szCs w:val="20"/>
          <w:lang w:val="en"/>
        </w:rPr>
      </w:pPr>
    </w:p>
    <w:p w:rsidR="00D41BD3" w:rsidRPr="00D41BD3" w:rsidRDefault="00D41BD3" w:rsidP="00F15F62">
      <w:pPr>
        <w:spacing w:line="360" w:lineRule="auto"/>
        <w:jc w:val="both"/>
        <w:rPr>
          <w:rFonts w:ascii="Times New Roman" w:eastAsia="Calibri" w:hAnsi="Times New Roman" w:cs="Times New Roman"/>
          <w:bCs/>
          <w:sz w:val="24"/>
          <w:szCs w:val="24"/>
        </w:rPr>
      </w:pPr>
      <w:r w:rsidRPr="00D41BD3">
        <w:rPr>
          <w:rFonts w:ascii="Times New Roman" w:eastAsia="Calibri" w:hAnsi="Times New Roman" w:cs="Times New Roman"/>
          <w:bCs/>
          <w:sz w:val="24"/>
          <w:szCs w:val="24"/>
          <w:lang w:val="en"/>
        </w:rPr>
        <w:t xml:space="preserve">The above graph (Figure-6) shows the Remittances inflow before the COVID-19 pandemic started. In FY2019-20, </w:t>
      </w:r>
      <w:r w:rsidR="00E86733">
        <w:rPr>
          <w:rFonts w:ascii="Times New Roman" w:eastAsia="Calibri" w:hAnsi="Times New Roman" w:cs="Times New Roman"/>
          <w:bCs/>
          <w:sz w:val="24"/>
          <w:szCs w:val="24"/>
          <w:lang w:val="en"/>
        </w:rPr>
        <w:t>Saudi Arabia had the highest remittance inflow</w:t>
      </w:r>
      <w:r w:rsidRPr="00D41BD3">
        <w:rPr>
          <w:rFonts w:ascii="Times New Roman" w:eastAsia="Calibri" w:hAnsi="Times New Roman" w:cs="Times New Roman"/>
          <w:bCs/>
          <w:sz w:val="24"/>
          <w:szCs w:val="24"/>
          <w:lang w:val="en"/>
        </w:rPr>
        <w:t xml:space="preserve">, with </w:t>
      </w:r>
      <w:r w:rsidRPr="00D41BD3">
        <w:rPr>
          <w:rFonts w:ascii="Times New Roman" w:eastAsia="Calibri" w:hAnsi="Times New Roman" w:cs="Times New Roman"/>
          <w:bCs/>
          <w:sz w:val="24"/>
          <w:szCs w:val="24"/>
        </w:rPr>
        <w:t xml:space="preserve">4015.16 million USD. </w:t>
      </w:r>
    </w:p>
    <w:p w:rsidR="00D41BD3" w:rsidRPr="00D41BD3" w:rsidRDefault="00D41BD3" w:rsidP="00F15F62">
      <w:pPr>
        <w:spacing w:line="360" w:lineRule="auto"/>
        <w:jc w:val="both"/>
        <w:rPr>
          <w:rFonts w:ascii="Times New Roman" w:eastAsia="Calibri" w:hAnsi="Times New Roman" w:cs="Times New Roman"/>
          <w:bCs/>
          <w:sz w:val="24"/>
          <w:szCs w:val="24"/>
        </w:rPr>
      </w:pPr>
      <w:r w:rsidRPr="00D41BD3">
        <w:rPr>
          <w:rFonts w:ascii="Times New Roman" w:eastAsia="Calibri" w:hAnsi="Times New Roman" w:cs="Times New Roman"/>
          <w:bCs/>
          <w:sz w:val="24"/>
          <w:szCs w:val="24"/>
        </w:rPr>
        <w:t xml:space="preserve">In this chart, the USA shows the third most remittance inflowed country for Bangladesh, which was 2403.40 million USD. </w:t>
      </w:r>
      <w:r w:rsidRPr="00D41BD3">
        <w:rPr>
          <w:rFonts w:ascii="Times New Roman" w:eastAsia="Calibri" w:hAnsi="Times New Roman" w:cs="Times New Roman"/>
          <w:bCs/>
          <w:sz w:val="24"/>
          <w:szCs w:val="24"/>
          <w:lang w:val="en"/>
        </w:rPr>
        <w:t xml:space="preserve">There is a slight tendency for Bangladeshi workers to work in Middle-East countries. After that, the USA will have the highest number of remittance providers in FY2019-20. </w:t>
      </w:r>
    </w:p>
    <w:p w:rsidR="00D41BD3" w:rsidRPr="00D41BD3" w:rsidRDefault="00D41BD3" w:rsidP="00F15F62">
      <w:pPr>
        <w:keepNext/>
        <w:spacing w:line="360" w:lineRule="auto"/>
        <w:jc w:val="both"/>
        <w:rPr>
          <w:rFonts w:ascii="Calibri" w:eastAsia="Calibri" w:hAnsi="Calibri" w:cs="Times New Roman"/>
        </w:rPr>
      </w:pPr>
      <w:r w:rsidRPr="00D41BD3">
        <w:rPr>
          <w:rFonts w:ascii="Calibri" w:eastAsia="Calibri" w:hAnsi="Calibri" w:cs="Times New Roman"/>
          <w:noProof/>
        </w:rPr>
        <w:lastRenderedPageBreak/>
        <w:drawing>
          <wp:inline distT="0" distB="0" distL="0" distR="0" wp14:anchorId="1364E131" wp14:editId="201FCF3F">
            <wp:extent cx="5943600" cy="3093720"/>
            <wp:effectExtent l="0" t="0" r="0" b="11430"/>
            <wp:docPr id="7" name="Chart 7">
              <a:extLst xmlns:a="http://schemas.openxmlformats.org/drawingml/2006/main">
                <a:ext uri="{FF2B5EF4-FFF2-40B4-BE49-F238E27FC236}">
                  <a16:creationId xmlns:a16="http://schemas.microsoft.com/office/drawing/2014/main" id="{54481985-05C4-04A6-CD52-E16E4D986B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41BD3" w:rsidRPr="00CA4CD6" w:rsidRDefault="00D41BD3" w:rsidP="00F15F62">
      <w:pPr>
        <w:spacing w:after="0" w:line="360" w:lineRule="auto"/>
        <w:rPr>
          <w:rFonts w:ascii="Times New Roman" w:eastAsia="Calibri" w:hAnsi="Times New Roman" w:cs="Times New Roman"/>
          <w:i/>
          <w:iCs/>
          <w:color w:val="44546A"/>
          <w:sz w:val="24"/>
          <w:szCs w:val="24"/>
        </w:rPr>
      </w:pPr>
      <w:r w:rsidRPr="00D41BD3">
        <w:rPr>
          <w:rFonts w:ascii="Calibri" w:eastAsia="Calibri" w:hAnsi="Calibri" w:cs="Times New Roman"/>
          <w:i/>
          <w:iCs/>
          <w:color w:val="44546A"/>
          <w:sz w:val="18"/>
          <w:szCs w:val="18"/>
        </w:rPr>
        <w:t xml:space="preserve">Figure </w:t>
      </w:r>
      <w:r w:rsidRPr="00D41BD3">
        <w:rPr>
          <w:rFonts w:ascii="Calibri" w:eastAsia="Calibri" w:hAnsi="Calibri" w:cs="Times New Roman"/>
          <w:i/>
          <w:iCs/>
          <w:color w:val="44546A"/>
          <w:sz w:val="18"/>
          <w:szCs w:val="18"/>
        </w:rPr>
        <w:fldChar w:fldCharType="begin"/>
      </w:r>
      <w:r w:rsidRPr="00D41BD3">
        <w:rPr>
          <w:rFonts w:ascii="Calibri" w:eastAsia="Calibri" w:hAnsi="Calibri" w:cs="Times New Roman"/>
          <w:i/>
          <w:iCs/>
          <w:color w:val="44546A"/>
          <w:sz w:val="18"/>
          <w:szCs w:val="18"/>
        </w:rPr>
        <w:instrText xml:space="preserve"> SEQ Figure \* ARABIC </w:instrText>
      </w:r>
      <w:r w:rsidRPr="00D41BD3">
        <w:rPr>
          <w:rFonts w:ascii="Calibri" w:eastAsia="Calibri" w:hAnsi="Calibri" w:cs="Times New Roman"/>
          <w:i/>
          <w:iCs/>
          <w:color w:val="44546A"/>
          <w:sz w:val="18"/>
          <w:szCs w:val="18"/>
        </w:rPr>
        <w:fldChar w:fldCharType="separate"/>
      </w:r>
      <w:r w:rsidRPr="00D41BD3">
        <w:rPr>
          <w:rFonts w:ascii="Calibri" w:eastAsia="Calibri" w:hAnsi="Calibri" w:cs="Times New Roman"/>
          <w:i/>
          <w:iCs/>
          <w:noProof/>
          <w:color w:val="44546A"/>
          <w:sz w:val="18"/>
          <w:szCs w:val="18"/>
        </w:rPr>
        <w:t>7</w:t>
      </w:r>
      <w:r w:rsidRPr="00D41BD3">
        <w:rPr>
          <w:rFonts w:ascii="Calibri" w:eastAsia="Calibri" w:hAnsi="Calibri" w:cs="Times New Roman"/>
          <w:i/>
          <w:iCs/>
          <w:noProof/>
          <w:color w:val="44546A"/>
          <w:sz w:val="18"/>
          <w:szCs w:val="18"/>
        </w:rPr>
        <w:fldChar w:fldCharType="end"/>
      </w:r>
      <w:r w:rsidRPr="00D41BD3">
        <w:rPr>
          <w:rFonts w:ascii="Calibri" w:eastAsia="Calibri" w:hAnsi="Calibri" w:cs="Times New Roman"/>
          <w:i/>
          <w:iCs/>
          <w:color w:val="44546A"/>
          <w:sz w:val="18"/>
          <w:szCs w:val="18"/>
        </w:rPr>
        <w:t>: Remittance inflow in 2022(Jan-May)</w:t>
      </w:r>
    </w:p>
    <w:p w:rsidR="00D41BD3" w:rsidRPr="00D41BD3" w:rsidRDefault="00D41BD3" w:rsidP="00F15F62">
      <w:pPr>
        <w:spacing w:after="0" w:line="360" w:lineRule="auto"/>
        <w:rPr>
          <w:rFonts w:ascii="Times New Roman" w:eastAsia="Calibri" w:hAnsi="Times New Roman" w:cs="Times New Roman"/>
          <w:sz w:val="20"/>
          <w:szCs w:val="20"/>
        </w:rPr>
      </w:pPr>
    </w:p>
    <w:p w:rsidR="00101BDF" w:rsidRDefault="00E86733" w:rsidP="00F15F62">
      <w:pPr>
        <w:spacing w:line="360" w:lineRule="auto"/>
        <w:jc w:val="both"/>
        <w:rPr>
          <w:rFonts w:ascii="Times New Roman" w:eastAsia="Calibri" w:hAnsi="Times New Roman" w:cs="Times New Roman"/>
          <w:bCs/>
          <w:sz w:val="24"/>
          <w:szCs w:val="24"/>
          <w:lang w:val="en"/>
        </w:rPr>
      </w:pPr>
      <w:r>
        <w:rPr>
          <w:rFonts w:ascii="Times New Roman" w:eastAsia="Calibri" w:hAnsi="Times New Roman" w:cs="Times New Roman"/>
          <w:bCs/>
          <w:sz w:val="24"/>
          <w:szCs w:val="24"/>
          <w:lang w:val="en"/>
        </w:rPr>
        <w:t>Recently</w:t>
      </w:r>
      <w:r w:rsidR="00D41BD3" w:rsidRPr="00D41BD3">
        <w:rPr>
          <w:rFonts w:ascii="Times New Roman" w:eastAsia="Calibri" w:hAnsi="Times New Roman" w:cs="Times New Roman"/>
          <w:bCs/>
          <w:sz w:val="24"/>
          <w:szCs w:val="24"/>
          <w:lang w:val="en"/>
        </w:rPr>
        <w:t>, the USA has still been one of Bangladesh's remittance providers. In this Post-Pandemic situation, remittance is one of the essential factors for countries like Bangladesh. Alongside Middle-East countries, the USA is playing a significant role in Bangladesh. Providing 18% of the remittance in 2022(Jan-May), the USA is the Second highes</w:t>
      </w:r>
      <w:r w:rsidR="00101BDF">
        <w:rPr>
          <w:rFonts w:ascii="Times New Roman" w:eastAsia="Calibri" w:hAnsi="Times New Roman" w:cs="Times New Roman"/>
          <w:bCs/>
          <w:sz w:val="24"/>
          <w:szCs w:val="24"/>
          <w:lang w:val="en"/>
        </w:rPr>
        <w:t>t nation to benefit Bangladesh.</w:t>
      </w:r>
    </w:p>
    <w:p w:rsidR="00D41BD3" w:rsidRPr="00101BDF" w:rsidRDefault="00D41BD3" w:rsidP="00101BDF">
      <w:pPr>
        <w:pStyle w:val="ListParagraph"/>
        <w:numPr>
          <w:ilvl w:val="1"/>
          <w:numId w:val="1"/>
        </w:numPr>
        <w:spacing w:line="360" w:lineRule="auto"/>
        <w:jc w:val="both"/>
        <w:rPr>
          <w:rFonts w:ascii="Times New Roman" w:eastAsia="Calibri" w:hAnsi="Times New Roman" w:cs="Times New Roman"/>
          <w:b/>
          <w:bCs/>
          <w:sz w:val="24"/>
          <w:szCs w:val="24"/>
          <w:lang w:val="en"/>
        </w:rPr>
      </w:pPr>
      <w:r w:rsidRPr="00101BDF">
        <w:rPr>
          <w:rFonts w:ascii="Times New Roman" w:eastAsia="Calibri" w:hAnsi="Times New Roman" w:cs="Times New Roman"/>
          <w:b/>
          <w:bCs/>
          <w:sz w:val="24"/>
          <w:szCs w:val="24"/>
        </w:rPr>
        <w:t>Contributions to Human Rights and Democracy in Bangladesh</w:t>
      </w:r>
    </w:p>
    <w:tbl>
      <w:tblPr>
        <w:tblStyle w:val="PlainTable21"/>
        <w:tblW w:w="9634" w:type="dxa"/>
        <w:tblLook w:val="04A0" w:firstRow="1" w:lastRow="0" w:firstColumn="1" w:lastColumn="0" w:noHBand="0" w:noVBand="1"/>
      </w:tblPr>
      <w:tblGrid>
        <w:gridCol w:w="776"/>
        <w:gridCol w:w="2298"/>
        <w:gridCol w:w="3417"/>
        <w:gridCol w:w="3143"/>
      </w:tblGrid>
      <w:tr w:rsidR="00D41BD3" w:rsidRPr="00D41BD3" w:rsidTr="00C22F8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6" w:type="dxa"/>
            <w:noWrap/>
            <w:hideMark/>
          </w:tcPr>
          <w:p w:rsidR="00D41BD3" w:rsidRPr="00D41BD3" w:rsidRDefault="00D41BD3" w:rsidP="00F15F62">
            <w:pPr>
              <w:spacing w:line="360" w:lineRule="auto"/>
              <w:rPr>
                <w:rFonts w:ascii="Times New Roman" w:eastAsia="Calibri" w:hAnsi="Times New Roman" w:cs="Times New Roman"/>
                <w:sz w:val="24"/>
                <w:szCs w:val="24"/>
              </w:rPr>
            </w:pPr>
            <w:r w:rsidRPr="00D41BD3">
              <w:rPr>
                <w:rFonts w:ascii="Times New Roman" w:eastAsia="Calibri" w:hAnsi="Times New Roman" w:cs="Times New Roman"/>
                <w:sz w:val="24"/>
                <w:szCs w:val="24"/>
              </w:rPr>
              <w:t>Year</w:t>
            </w:r>
          </w:p>
        </w:tc>
        <w:tc>
          <w:tcPr>
            <w:tcW w:w="2298" w:type="dxa"/>
            <w:noWrap/>
            <w:hideMark/>
          </w:tcPr>
          <w:p w:rsidR="00D41BD3" w:rsidRPr="00D41BD3" w:rsidRDefault="00D41BD3" w:rsidP="00F15F62">
            <w:pPr>
              <w:spacing w:line="360" w:lineRule="auto"/>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USAID Funding for Democracy and Governance (Million USD)</w:t>
            </w:r>
          </w:p>
        </w:tc>
        <w:tc>
          <w:tcPr>
            <w:tcW w:w="3417" w:type="dxa"/>
            <w:noWrap/>
            <w:hideMark/>
          </w:tcPr>
          <w:p w:rsidR="00D41BD3" w:rsidRPr="00D41BD3" w:rsidRDefault="00D41BD3" w:rsidP="00F15F62">
            <w:pPr>
              <w:spacing w:line="360" w:lineRule="auto"/>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Key Programs and Initiatives</w:t>
            </w:r>
          </w:p>
        </w:tc>
        <w:tc>
          <w:tcPr>
            <w:tcW w:w="3143" w:type="dxa"/>
            <w:noWrap/>
            <w:hideMark/>
          </w:tcPr>
          <w:p w:rsidR="00D41BD3" w:rsidRPr="00D41BD3" w:rsidRDefault="00D41BD3" w:rsidP="00F15F62">
            <w:pPr>
              <w:spacing w:line="360" w:lineRule="auto"/>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Human Rights Focus</w:t>
            </w:r>
          </w:p>
        </w:tc>
      </w:tr>
      <w:tr w:rsidR="00D41BD3" w:rsidRPr="00D41BD3" w:rsidTr="00C22F8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6" w:type="dxa"/>
            <w:noWrap/>
            <w:hideMark/>
          </w:tcPr>
          <w:p w:rsidR="00D41BD3" w:rsidRPr="00D41BD3" w:rsidRDefault="00D41BD3" w:rsidP="00F15F62">
            <w:pPr>
              <w:spacing w:line="360" w:lineRule="auto"/>
              <w:rPr>
                <w:rFonts w:ascii="Times New Roman" w:eastAsia="Calibri" w:hAnsi="Times New Roman" w:cs="Times New Roman"/>
                <w:sz w:val="24"/>
                <w:szCs w:val="24"/>
              </w:rPr>
            </w:pPr>
            <w:r w:rsidRPr="00D41BD3">
              <w:rPr>
                <w:rFonts w:ascii="Times New Roman" w:eastAsia="Calibri" w:hAnsi="Times New Roman" w:cs="Times New Roman"/>
                <w:sz w:val="24"/>
                <w:szCs w:val="24"/>
              </w:rPr>
              <w:t>1972-1980</w:t>
            </w:r>
          </w:p>
        </w:tc>
        <w:tc>
          <w:tcPr>
            <w:tcW w:w="2298" w:type="dxa"/>
            <w:noWrap/>
            <w:hideMark/>
          </w:tcPr>
          <w:p w:rsidR="00D41BD3" w:rsidRPr="00D41BD3" w:rsidRDefault="00D41BD3" w:rsidP="00F15F6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120</w:t>
            </w:r>
          </w:p>
        </w:tc>
        <w:tc>
          <w:tcPr>
            <w:tcW w:w="3417" w:type="dxa"/>
            <w:noWrap/>
            <w:hideMark/>
          </w:tcPr>
          <w:p w:rsidR="00D41BD3" w:rsidRPr="00D41BD3" w:rsidRDefault="00D41BD3" w:rsidP="00F15F6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Support for initial democratic institutions and civil society post-independence.</w:t>
            </w:r>
          </w:p>
        </w:tc>
        <w:tc>
          <w:tcPr>
            <w:tcW w:w="3143" w:type="dxa"/>
            <w:noWrap/>
            <w:hideMark/>
          </w:tcPr>
          <w:p w:rsidR="00D41BD3" w:rsidRPr="00D41BD3" w:rsidRDefault="00D41BD3" w:rsidP="00F15F6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Basic human rights education and awareness.</w:t>
            </w:r>
          </w:p>
        </w:tc>
      </w:tr>
      <w:tr w:rsidR="00D41BD3" w:rsidRPr="00D41BD3" w:rsidTr="00C22F86">
        <w:trPr>
          <w:trHeight w:val="600"/>
        </w:trPr>
        <w:tc>
          <w:tcPr>
            <w:cnfStyle w:val="001000000000" w:firstRow="0" w:lastRow="0" w:firstColumn="1" w:lastColumn="0" w:oddVBand="0" w:evenVBand="0" w:oddHBand="0" w:evenHBand="0" w:firstRowFirstColumn="0" w:firstRowLastColumn="0" w:lastRowFirstColumn="0" w:lastRowLastColumn="0"/>
            <w:tcW w:w="776" w:type="dxa"/>
            <w:hideMark/>
          </w:tcPr>
          <w:p w:rsidR="00D41BD3" w:rsidRPr="00D41BD3" w:rsidRDefault="00D41BD3" w:rsidP="00F15F62">
            <w:pPr>
              <w:spacing w:line="360" w:lineRule="auto"/>
              <w:rPr>
                <w:rFonts w:ascii="Times New Roman" w:eastAsia="Calibri" w:hAnsi="Times New Roman" w:cs="Times New Roman"/>
                <w:sz w:val="24"/>
                <w:szCs w:val="24"/>
              </w:rPr>
            </w:pPr>
            <w:r w:rsidRPr="00D41BD3">
              <w:rPr>
                <w:rFonts w:ascii="Times New Roman" w:eastAsia="Calibri" w:hAnsi="Times New Roman" w:cs="Times New Roman"/>
                <w:sz w:val="24"/>
                <w:szCs w:val="24"/>
              </w:rPr>
              <w:t>1981-1990</w:t>
            </w:r>
          </w:p>
        </w:tc>
        <w:tc>
          <w:tcPr>
            <w:tcW w:w="2298" w:type="dxa"/>
            <w:noWrap/>
            <w:hideMark/>
          </w:tcPr>
          <w:p w:rsidR="00D41BD3" w:rsidRPr="00D41BD3" w:rsidRDefault="00D41BD3" w:rsidP="00F15F6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250</w:t>
            </w:r>
          </w:p>
        </w:tc>
        <w:tc>
          <w:tcPr>
            <w:tcW w:w="3417" w:type="dxa"/>
            <w:noWrap/>
            <w:hideMark/>
          </w:tcPr>
          <w:p w:rsidR="00D41BD3" w:rsidRPr="00D41BD3" w:rsidRDefault="00D41BD3" w:rsidP="00F15F6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Strengthening of political parties, support for free elections, and civil society enhancement.</w:t>
            </w:r>
          </w:p>
        </w:tc>
        <w:tc>
          <w:tcPr>
            <w:tcW w:w="3143" w:type="dxa"/>
            <w:noWrap/>
            <w:hideMark/>
          </w:tcPr>
          <w:p w:rsidR="00D41BD3" w:rsidRPr="00D41BD3" w:rsidRDefault="00D41BD3" w:rsidP="00F15F6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Support for free speech, election monitoring, and independent media.</w:t>
            </w:r>
          </w:p>
        </w:tc>
      </w:tr>
      <w:tr w:rsidR="00D41BD3" w:rsidRPr="00D41BD3" w:rsidTr="00C22F8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776" w:type="dxa"/>
            <w:hideMark/>
          </w:tcPr>
          <w:p w:rsidR="00D41BD3" w:rsidRPr="00D41BD3" w:rsidRDefault="00D41BD3" w:rsidP="00F15F62">
            <w:pPr>
              <w:spacing w:line="360" w:lineRule="auto"/>
              <w:rPr>
                <w:rFonts w:ascii="Times New Roman" w:eastAsia="Calibri" w:hAnsi="Times New Roman" w:cs="Times New Roman"/>
                <w:sz w:val="24"/>
                <w:szCs w:val="24"/>
              </w:rPr>
            </w:pPr>
            <w:r w:rsidRPr="00D41BD3">
              <w:rPr>
                <w:rFonts w:ascii="Times New Roman" w:eastAsia="Calibri" w:hAnsi="Times New Roman" w:cs="Times New Roman"/>
                <w:sz w:val="24"/>
                <w:szCs w:val="24"/>
              </w:rPr>
              <w:lastRenderedPageBreak/>
              <w:t>1991-2000</w:t>
            </w:r>
          </w:p>
        </w:tc>
        <w:tc>
          <w:tcPr>
            <w:tcW w:w="2298" w:type="dxa"/>
            <w:noWrap/>
            <w:hideMark/>
          </w:tcPr>
          <w:p w:rsidR="00D41BD3" w:rsidRPr="00D41BD3" w:rsidRDefault="00D41BD3" w:rsidP="00F15F6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375</w:t>
            </w:r>
          </w:p>
        </w:tc>
        <w:tc>
          <w:tcPr>
            <w:tcW w:w="3417" w:type="dxa"/>
            <w:noWrap/>
            <w:hideMark/>
          </w:tcPr>
          <w:p w:rsidR="00D41BD3" w:rsidRPr="00D41BD3" w:rsidRDefault="00D41BD3" w:rsidP="00F15F6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Focus on human rights, women's leadership, and labor rights, combating trafficking.</w:t>
            </w:r>
          </w:p>
        </w:tc>
        <w:tc>
          <w:tcPr>
            <w:tcW w:w="3143" w:type="dxa"/>
            <w:noWrap/>
            <w:hideMark/>
          </w:tcPr>
          <w:p w:rsidR="00D41BD3" w:rsidRPr="00D41BD3" w:rsidRDefault="00D41BD3" w:rsidP="00F15F6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Women's rights, child labor eradication, and anti-trafficking initiatives.</w:t>
            </w:r>
          </w:p>
        </w:tc>
      </w:tr>
      <w:tr w:rsidR="00D41BD3" w:rsidRPr="00D41BD3" w:rsidTr="00C22F86">
        <w:trPr>
          <w:trHeight w:val="600"/>
        </w:trPr>
        <w:tc>
          <w:tcPr>
            <w:cnfStyle w:val="001000000000" w:firstRow="0" w:lastRow="0" w:firstColumn="1" w:lastColumn="0" w:oddVBand="0" w:evenVBand="0" w:oddHBand="0" w:evenHBand="0" w:firstRowFirstColumn="0" w:firstRowLastColumn="0" w:lastRowFirstColumn="0" w:lastRowLastColumn="0"/>
            <w:tcW w:w="776" w:type="dxa"/>
            <w:hideMark/>
          </w:tcPr>
          <w:p w:rsidR="00D41BD3" w:rsidRPr="00D41BD3" w:rsidRDefault="00D41BD3" w:rsidP="00F15F62">
            <w:pPr>
              <w:spacing w:line="360" w:lineRule="auto"/>
              <w:rPr>
                <w:rFonts w:ascii="Times New Roman" w:eastAsia="Calibri" w:hAnsi="Times New Roman" w:cs="Times New Roman"/>
                <w:sz w:val="24"/>
                <w:szCs w:val="24"/>
              </w:rPr>
            </w:pPr>
            <w:r w:rsidRPr="00D41BD3">
              <w:rPr>
                <w:rFonts w:ascii="Times New Roman" w:eastAsia="Calibri" w:hAnsi="Times New Roman" w:cs="Times New Roman"/>
                <w:sz w:val="24"/>
                <w:szCs w:val="24"/>
              </w:rPr>
              <w:t>2001-2010</w:t>
            </w:r>
          </w:p>
        </w:tc>
        <w:tc>
          <w:tcPr>
            <w:tcW w:w="2298" w:type="dxa"/>
            <w:noWrap/>
            <w:hideMark/>
          </w:tcPr>
          <w:p w:rsidR="00D41BD3" w:rsidRPr="00D41BD3" w:rsidRDefault="00D41BD3" w:rsidP="00F15F6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500</w:t>
            </w:r>
          </w:p>
        </w:tc>
        <w:tc>
          <w:tcPr>
            <w:tcW w:w="3417" w:type="dxa"/>
            <w:noWrap/>
            <w:hideMark/>
          </w:tcPr>
          <w:p w:rsidR="00D41BD3" w:rsidRPr="00D41BD3" w:rsidRDefault="00D41BD3" w:rsidP="00F15F6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Furthering good governance, legal reforms, rule of law, and civil society engagement.</w:t>
            </w:r>
          </w:p>
        </w:tc>
        <w:tc>
          <w:tcPr>
            <w:tcW w:w="3143" w:type="dxa"/>
            <w:noWrap/>
            <w:hideMark/>
          </w:tcPr>
          <w:p w:rsidR="00D41BD3" w:rsidRPr="00D41BD3" w:rsidRDefault="00D41BD3" w:rsidP="00F15F6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Rule of law, human rights advocacy, and legal reforms.</w:t>
            </w:r>
          </w:p>
        </w:tc>
      </w:tr>
      <w:tr w:rsidR="00D41BD3" w:rsidRPr="00D41BD3" w:rsidTr="00C22F8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776" w:type="dxa"/>
            <w:hideMark/>
          </w:tcPr>
          <w:p w:rsidR="00D41BD3" w:rsidRPr="00D41BD3" w:rsidRDefault="00D41BD3" w:rsidP="00F15F62">
            <w:pPr>
              <w:spacing w:line="360" w:lineRule="auto"/>
              <w:rPr>
                <w:rFonts w:ascii="Times New Roman" w:eastAsia="Calibri" w:hAnsi="Times New Roman" w:cs="Times New Roman"/>
                <w:sz w:val="24"/>
                <w:szCs w:val="24"/>
              </w:rPr>
            </w:pPr>
            <w:r w:rsidRPr="00D41BD3">
              <w:rPr>
                <w:rFonts w:ascii="Times New Roman" w:eastAsia="Calibri" w:hAnsi="Times New Roman" w:cs="Times New Roman"/>
                <w:sz w:val="24"/>
                <w:szCs w:val="24"/>
              </w:rPr>
              <w:t>2011-2020</w:t>
            </w:r>
          </w:p>
        </w:tc>
        <w:tc>
          <w:tcPr>
            <w:tcW w:w="2298" w:type="dxa"/>
            <w:noWrap/>
            <w:hideMark/>
          </w:tcPr>
          <w:p w:rsidR="00D41BD3" w:rsidRPr="00D41BD3" w:rsidRDefault="00D41BD3" w:rsidP="00F15F6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625</w:t>
            </w:r>
          </w:p>
        </w:tc>
        <w:tc>
          <w:tcPr>
            <w:tcW w:w="3417" w:type="dxa"/>
            <w:noWrap/>
            <w:hideMark/>
          </w:tcPr>
          <w:p w:rsidR="00D41BD3" w:rsidRPr="00D41BD3" w:rsidRDefault="00D41BD3" w:rsidP="00F15F6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Support for marginalized communities, gender equality, and anti-corruption efforts.</w:t>
            </w:r>
          </w:p>
        </w:tc>
        <w:tc>
          <w:tcPr>
            <w:tcW w:w="3143" w:type="dxa"/>
            <w:noWrap/>
            <w:hideMark/>
          </w:tcPr>
          <w:p w:rsidR="00D41BD3" w:rsidRPr="00D41BD3" w:rsidRDefault="00D41BD3" w:rsidP="00F15F6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Support for LGBTQI+ rights, labor rights, and anti-corruption measures.</w:t>
            </w:r>
          </w:p>
        </w:tc>
      </w:tr>
      <w:tr w:rsidR="00D41BD3" w:rsidRPr="00D41BD3" w:rsidTr="00C22F86">
        <w:trPr>
          <w:trHeight w:val="600"/>
        </w:trPr>
        <w:tc>
          <w:tcPr>
            <w:cnfStyle w:val="001000000000" w:firstRow="0" w:lastRow="0" w:firstColumn="1" w:lastColumn="0" w:oddVBand="0" w:evenVBand="0" w:oddHBand="0" w:evenHBand="0" w:firstRowFirstColumn="0" w:firstRowLastColumn="0" w:lastRowFirstColumn="0" w:lastRowLastColumn="0"/>
            <w:tcW w:w="776" w:type="dxa"/>
            <w:hideMark/>
          </w:tcPr>
          <w:p w:rsidR="00D41BD3" w:rsidRPr="00D41BD3" w:rsidRDefault="00D41BD3" w:rsidP="00F15F62">
            <w:pPr>
              <w:spacing w:line="360" w:lineRule="auto"/>
              <w:rPr>
                <w:rFonts w:ascii="Times New Roman" w:eastAsia="Calibri" w:hAnsi="Times New Roman" w:cs="Times New Roman"/>
                <w:sz w:val="24"/>
                <w:szCs w:val="24"/>
              </w:rPr>
            </w:pPr>
            <w:r w:rsidRPr="00D41BD3">
              <w:rPr>
                <w:rFonts w:ascii="Times New Roman" w:eastAsia="Calibri" w:hAnsi="Times New Roman" w:cs="Times New Roman"/>
                <w:sz w:val="24"/>
                <w:szCs w:val="24"/>
              </w:rPr>
              <w:t>2021-2023</w:t>
            </w:r>
          </w:p>
        </w:tc>
        <w:tc>
          <w:tcPr>
            <w:tcW w:w="2298" w:type="dxa"/>
            <w:noWrap/>
            <w:hideMark/>
          </w:tcPr>
          <w:p w:rsidR="00D41BD3" w:rsidRPr="00D41BD3" w:rsidRDefault="00D41BD3" w:rsidP="00F15F6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300</w:t>
            </w:r>
          </w:p>
        </w:tc>
        <w:tc>
          <w:tcPr>
            <w:tcW w:w="3417" w:type="dxa"/>
            <w:noWrap/>
            <w:hideMark/>
          </w:tcPr>
          <w:p w:rsidR="00D41BD3" w:rsidRPr="00D41BD3" w:rsidRDefault="00D41BD3" w:rsidP="00F15F6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Digital democracy, combating transnational corruption, and support for local governance.</w:t>
            </w:r>
          </w:p>
        </w:tc>
        <w:tc>
          <w:tcPr>
            <w:tcW w:w="3143" w:type="dxa"/>
            <w:noWrap/>
            <w:hideMark/>
          </w:tcPr>
          <w:p w:rsidR="00D41BD3" w:rsidRPr="00D41BD3" w:rsidRDefault="00D41BD3" w:rsidP="00F15F6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41BD3">
              <w:rPr>
                <w:rFonts w:ascii="Times New Roman" w:eastAsia="Calibri" w:hAnsi="Times New Roman" w:cs="Times New Roman"/>
                <w:sz w:val="24"/>
                <w:szCs w:val="24"/>
              </w:rPr>
              <w:t>Digital rights, combating digital repression, and support for human rights defenders.</w:t>
            </w:r>
          </w:p>
        </w:tc>
      </w:tr>
    </w:tbl>
    <w:p w:rsidR="00D41BD3" w:rsidRPr="00D41BD3" w:rsidRDefault="00D41BD3" w:rsidP="00F15F62">
      <w:pPr>
        <w:spacing w:line="360" w:lineRule="auto"/>
        <w:jc w:val="both"/>
        <w:rPr>
          <w:rFonts w:ascii="Times New Roman" w:eastAsia="Calibri" w:hAnsi="Times New Roman" w:cs="Times New Roman"/>
          <w:bCs/>
          <w:i/>
          <w:sz w:val="24"/>
          <w:szCs w:val="24"/>
          <w:lang w:val="en"/>
        </w:rPr>
      </w:pPr>
      <w:r w:rsidRPr="00D41BD3">
        <w:rPr>
          <w:rFonts w:ascii="Calibri" w:eastAsia="Calibri" w:hAnsi="Calibri" w:cs="Times New Roman"/>
          <w:i/>
        </w:rPr>
        <w:t>Authors compile data sourced from multiple reports</w:t>
      </w:r>
      <w:r w:rsidR="00E86733">
        <w:rPr>
          <w:rFonts w:ascii="Calibri" w:eastAsia="Calibri" w:hAnsi="Calibri" w:cs="Times New Roman"/>
          <w:i/>
        </w:rPr>
        <w:t>.</w:t>
      </w:r>
    </w:p>
    <w:p w:rsidR="00D41BD3" w:rsidRPr="00D41BD3" w:rsidRDefault="00D41BD3" w:rsidP="00F15F62">
      <w:pPr>
        <w:spacing w:before="100" w:beforeAutospacing="1" w:after="100" w:afterAutospacing="1" w:line="360" w:lineRule="auto"/>
        <w:jc w:val="both"/>
        <w:rPr>
          <w:rFonts w:ascii="Times New Roman" w:eastAsia="Times New Roman" w:hAnsi="Times New Roman" w:cs="Times New Roman"/>
          <w:sz w:val="24"/>
          <w:szCs w:val="24"/>
        </w:rPr>
      </w:pPr>
      <w:r w:rsidRPr="00D41BD3">
        <w:rPr>
          <w:rFonts w:ascii="Times New Roman" w:eastAsia="Times New Roman" w:hAnsi="Times New Roman" w:cs="Times New Roman"/>
          <w:sz w:val="24"/>
          <w:szCs w:val="24"/>
        </w:rPr>
        <w:t xml:space="preserve">Over the past five decades, U.S. funding for democracy and governance in Bangladesh has evolved significantly, reflecting shifting priorities in response to Bangladesh's political development. The 1972-1980 focused on building democratic institutions and basic human rights awareness. In the 1980s, the emphasis shifted to strengthening political parties and civil society, </w:t>
      </w:r>
      <w:r w:rsidR="00E86733">
        <w:rPr>
          <w:rFonts w:ascii="Times New Roman" w:eastAsia="Times New Roman" w:hAnsi="Times New Roman" w:cs="Times New Roman"/>
          <w:sz w:val="24"/>
          <w:szCs w:val="24"/>
        </w:rPr>
        <w:t>focusing</w:t>
      </w:r>
      <w:r w:rsidRPr="00D41BD3">
        <w:rPr>
          <w:rFonts w:ascii="Times New Roman" w:eastAsia="Times New Roman" w:hAnsi="Times New Roman" w:cs="Times New Roman"/>
          <w:sz w:val="24"/>
          <w:szCs w:val="24"/>
        </w:rPr>
        <w:t xml:space="preserve"> on free speech and election integrity.</w:t>
      </w:r>
    </w:p>
    <w:p w:rsidR="00D41BD3" w:rsidRDefault="00D41BD3" w:rsidP="00F15F62">
      <w:pPr>
        <w:spacing w:before="100" w:beforeAutospacing="1" w:after="100" w:afterAutospacing="1" w:line="360" w:lineRule="auto"/>
        <w:jc w:val="both"/>
        <w:rPr>
          <w:rFonts w:ascii="Times New Roman" w:eastAsia="Times New Roman" w:hAnsi="Times New Roman" w:cs="Times New Roman"/>
          <w:sz w:val="24"/>
          <w:szCs w:val="24"/>
        </w:rPr>
      </w:pPr>
      <w:r w:rsidRPr="00D41BD3">
        <w:rPr>
          <w:rFonts w:ascii="Times New Roman" w:eastAsia="Times New Roman" w:hAnsi="Times New Roman" w:cs="Times New Roman"/>
          <w:sz w:val="24"/>
          <w:szCs w:val="24"/>
        </w:rPr>
        <w:t>The 1990s expanded support to include women's leadership and labor rights, while the 2000s emphasized governance reforms and the rule of law. The peak funding during 2011-2020 prioritized marginalized communities, gender equality, and anti-corruption efforts. However, the recent decline in 2021-2023 indicates a strategic pivot towards digital democracy and combating transnational corruption.</w:t>
      </w:r>
    </w:p>
    <w:p w:rsidR="00F721C5" w:rsidRDefault="00F721C5" w:rsidP="00F15F62">
      <w:pPr>
        <w:spacing w:before="100" w:beforeAutospacing="1" w:after="100" w:afterAutospacing="1" w:line="360" w:lineRule="auto"/>
        <w:jc w:val="both"/>
        <w:rPr>
          <w:rFonts w:ascii="Times New Roman" w:eastAsia="Times New Roman" w:hAnsi="Times New Roman" w:cs="Times New Roman"/>
          <w:sz w:val="24"/>
          <w:szCs w:val="24"/>
        </w:rPr>
      </w:pPr>
    </w:p>
    <w:p w:rsidR="00F721C5" w:rsidRDefault="00F721C5" w:rsidP="00F15F62">
      <w:pPr>
        <w:spacing w:before="100" w:beforeAutospacing="1" w:after="100" w:afterAutospacing="1" w:line="360" w:lineRule="auto"/>
        <w:jc w:val="both"/>
        <w:rPr>
          <w:rFonts w:ascii="Times New Roman" w:eastAsia="Times New Roman" w:hAnsi="Times New Roman" w:cs="Times New Roman"/>
          <w:sz w:val="24"/>
          <w:szCs w:val="24"/>
        </w:rPr>
      </w:pPr>
    </w:p>
    <w:p w:rsidR="00F721C5" w:rsidRPr="00D41BD3" w:rsidRDefault="00F721C5" w:rsidP="00F15F62">
      <w:pPr>
        <w:spacing w:before="100" w:beforeAutospacing="1" w:after="100" w:afterAutospacing="1" w:line="360" w:lineRule="auto"/>
        <w:jc w:val="both"/>
        <w:rPr>
          <w:rFonts w:ascii="Times New Roman" w:eastAsia="Times New Roman" w:hAnsi="Times New Roman" w:cs="Times New Roman"/>
          <w:sz w:val="24"/>
          <w:szCs w:val="24"/>
        </w:rPr>
      </w:pPr>
    </w:p>
    <w:tbl>
      <w:tblPr>
        <w:tblStyle w:val="GridTable1Light-Accent31"/>
        <w:tblW w:w="9282" w:type="dxa"/>
        <w:tblLook w:val="04A0" w:firstRow="1" w:lastRow="0" w:firstColumn="1" w:lastColumn="0" w:noHBand="0" w:noVBand="1"/>
      </w:tblPr>
      <w:tblGrid>
        <w:gridCol w:w="2055"/>
        <w:gridCol w:w="2055"/>
        <w:gridCol w:w="1756"/>
        <w:gridCol w:w="1519"/>
        <w:gridCol w:w="1897"/>
      </w:tblGrid>
      <w:tr w:rsidR="00D41BD3" w:rsidRPr="00D41BD3" w:rsidTr="00C22F86">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9282" w:type="dxa"/>
            <w:gridSpan w:val="5"/>
          </w:tcPr>
          <w:p w:rsidR="00D41BD3" w:rsidRPr="00D41BD3" w:rsidRDefault="00D41BD3" w:rsidP="00F15F62">
            <w:pPr>
              <w:spacing w:line="360" w:lineRule="auto"/>
              <w:jc w:val="center"/>
              <w:rPr>
                <w:rFonts w:ascii="Times New Roman" w:eastAsia="Times New Roman" w:hAnsi="Times New Roman" w:cs="Times New Roman"/>
                <w:color w:val="000000"/>
                <w:sz w:val="24"/>
                <w:szCs w:val="24"/>
              </w:rPr>
            </w:pPr>
            <w:r w:rsidRPr="00D41BD3">
              <w:rPr>
                <w:rFonts w:ascii="Times New Roman" w:eastAsia="Calibri" w:hAnsi="Times New Roman" w:cs="Times New Roman"/>
              </w:rPr>
              <w:lastRenderedPageBreak/>
              <w:t>Detailed Financial Breakdown of US Contributions</w:t>
            </w:r>
          </w:p>
        </w:tc>
      </w:tr>
      <w:tr w:rsidR="00D41BD3" w:rsidRPr="00D41BD3" w:rsidTr="00C22F86">
        <w:trPr>
          <w:trHeight w:val="2189"/>
        </w:trPr>
        <w:tc>
          <w:tcPr>
            <w:cnfStyle w:val="001000000000" w:firstRow="0" w:lastRow="0" w:firstColumn="1" w:lastColumn="0" w:oddVBand="0" w:evenVBand="0" w:oddHBand="0" w:evenHBand="0" w:firstRowFirstColumn="0" w:firstRowLastColumn="0" w:lastRowFirstColumn="0" w:lastRowLastColumn="0"/>
            <w:tcW w:w="2055" w:type="dxa"/>
            <w:hideMark/>
          </w:tcPr>
          <w:p w:rsidR="00D41BD3" w:rsidRPr="00D41BD3" w:rsidRDefault="00D41BD3" w:rsidP="00F15F62">
            <w:pPr>
              <w:spacing w:line="360" w:lineRule="auto"/>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Year</w:t>
            </w:r>
          </w:p>
        </w:tc>
        <w:tc>
          <w:tcPr>
            <w:tcW w:w="2055" w:type="dxa"/>
            <w:hideMark/>
          </w:tcPr>
          <w:p w:rsidR="00D41BD3" w:rsidRPr="00D41BD3" w:rsidRDefault="00D41BD3" w:rsidP="00F15F6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Democracy and Governance Programs (Million USD)</w:t>
            </w:r>
          </w:p>
        </w:tc>
        <w:tc>
          <w:tcPr>
            <w:tcW w:w="1756" w:type="dxa"/>
            <w:hideMark/>
          </w:tcPr>
          <w:p w:rsidR="00D41BD3" w:rsidRPr="00D41BD3" w:rsidRDefault="00D41BD3" w:rsidP="00F15F6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Human Rights Initiatives (Million USD)</w:t>
            </w:r>
          </w:p>
        </w:tc>
        <w:tc>
          <w:tcPr>
            <w:tcW w:w="1519" w:type="dxa"/>
            <w:hideMark/>
          </w:tcPr>
          <w:p w:rsidR="00D41BD3" w:rsidRPr="00D41BD3" w:rsidRDefault="00D41BD3" w:rsidP="00F15F6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Civil Society Support (Million USD)</w:t>
            </w:r>
          </w:p>
        </w:tc>
        <w:tc>
          <w:tcPr>
            <w:tcW w:w="1897" w:type="dxa"/>
            <w:hideMark/>
          </w:tcPr>
          <w:p w:rsidR="00D41BD3" w:rsidRPr="00D41BD3" w:rsidRDefault="00D41BD3" w:rsidP="00F15F6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Anti-Corruption Efforts (Million USD)</w:t>
            </w:r>
          </w:p>
        </w:tc>
      </w:tr>
      <w:tr w:rsidR="00D41BD3" w:rsidRPr="00D41BD3" w:rsidTr="00C22F86">
        <w:trPr>
          <w:trHeight w:val="547"/>
        </w:trPr>
        <w:tc>
          <w:tcPr>
            <w:cnfStyle w:val="001000000000" w:firstRow="0" w:lastRow="0" w:firstColumn="1" w:lastColumn="0" w:oddVBand="0" w:evenVBand="0" w:oddHBand="0" w:evenHBand="0" w:firstRowFirstColumn="0" w:firstRowLastColumn="0" w:lastRowFirstColumn="0" w:lastRowLastColumn="0"/>
            <w:tcW w:w="2055" w:type="dxa"/>
            <w:hideMark/>
          </w:tcPr>
          <w:p w:rsidR="00D41BD3" w:rsidRPr="00D41BD3" w:rsidRDefault="00D41BD3" w:rsidP="00F15F62">
            <w:pPr>
              <w:spacing w:line="360" w:lineRule="auto"/>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1972-1980</w:t>
            </w:r>
          </w:p>
        </w:tc>
        <w:tc>
          <w:tcPr>
            <w:tcW w:w="2055"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40</w:t>
            </w:r>
          </w:p>
        </w:tc>
        <w:tc>
          <w:tcPr>
            <w:tcW w:w="1756"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30</w:t>
            </w:r>
          </w:p>
        </w:tc>
        <w:tc>
          <w:tcPr>
            <w:tcW w:w="1519"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30</w:t>
            </w:r>
          </w:p>
        </w:tc>
        <w:tc>
          <w:tcPr>
            <w:tcW w:w="1897"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20</w:t>
            </w:r>
          </w:p>
        </w:tc>
      </w:tr>
      <w:tr w:rsidR="00D41BD3" w:rsidRPr="00D41BD3" w:rsidTr="00C22F86">
        <w:trPr>
          <w:trHeight w:val="547"/>
        </w:trPr>
        <w:tc>
          <w:tcPr>
            <w:cnfStyle w:val="001000000000" w:firstRow="0" w:lastRow="0" w:firstColumn="1" w:lastColumn="0" w:oddVBand="0" w:evenVBand="0" w:oddHBand="0" w:evenHBand="0" w:firstRowFirstColumn="0" w:firstRowLastColumn="0" w:lastRowFirstColumn="0" w:lastRowLastColumn="0"/>
            <w:tcW w:w="2055" w:type="dxa"/>
            <w:hideMark/>
          </w:tcPr>
          <w:p w:rsidR="00D41BD3" w:rsidRPr="00D41BD3" w:rsidRDefault="00D41BD3" w:rsidP="00F15F62">
            <w:pPr>
              <w:spacing w:line="360" w:lineRule="auto"/>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1981-1990</w:t>
            </w:r>
          </w:p>
        </w:tc>
        <w:tc>
          <w:tcPr>
            <w:tcW w:w="2055"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80</w:t>
            </w:r>
          </w:p>
        </w:tc>
        <w:tc>
          <w:tcPr>
            <w:tcW w:w="1756"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60</w:t>
            </w:r>
          </w:p>
        </w:tc>
        <w:tc>
          <w:tcPr>
            <w:tcW w:w="1519"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60</w:t>
            </w:r>
          </w:p>
        </w:tc>
        <w:tc>
          <w:tcPr>
            <w:tcW w:w="1897"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50</w:t>
            </w:r>
          </w:p>
        </w:tc>
      </w:tr>
      <w:tr w:rsidR="00D41BD3" w:rsidRPr="00D41BD3" w:rsidTr="00C22F86">
        <w:trPr>
          <w:trHeight w:val="547"/>
        </w:trPr>
        <w:tc>
          <w:tcPr>
            <w:cnfStyle w:val="001000000000" w:firstRow="0" w:lastRow="0" w:firstColumn="1" w:lastColumn="0" w:oddVBand="0" w:evenVBand="0" w:oddHBand="0" w:evenHBand="0" w:firstRowFirstColumn="0" w:firstRowLastColumn="0" w:lastRowFirstColumn="0" w:lastRowLastColumn="0"/>
            <w:tcW w:w="2055" w:type="dxa"/>
            <w:hideMark/>
          </w:tcPr>
          <w:p w:rsidR="00D41BD3" w:rsidRPr="00D41BD3" w:rsidRDefault="00D41BD3" w:rsidP="00F15F62">
            <w:pPr>
              <w:spacing w:line="360" w:lineRule="auto"/>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1991-2000</w:t>
            </w:r>
          </w:p>
        </w:tc>
        <w:tc>
          <w:tcPr>
            <w:tcW w:w="2055"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120</w:t>
            </w:r>
          </w:p>
        </w:tc>
        <w:tc>
          <w:tcPr>
            <w:tcW w:w="1756"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90</w:t>
            </w:r>
          </w:p>
        </w:tc>
        <w:tc>
          <w:tcPr>
            <w:tcW w:w="1519"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90</w:t>
            </w:r>
          </w:p>
        </w:tc>
        <w:tc>
          <w:tcPr>
            <w:tcW w:w="1897"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75</w:t>
            </w:r>
          </w:p>
        </w:tc>
      </w:tr>
      <w:tr w:rsidR="00D41BD3" w:rsidRPr="00D41BD3" w:rsidTr="00C22F86">
        <w:trPr>
          <w:trHeight w:val="547"/>
        </w:trPr>
        <w:tc>
          <w:tcPr>
            <w:cnfStyle w:val="001000000000" w:firstRow="0" w:lastRow="0" w:firstColumn="1" w:lastColumn="0" w:oddVBand="0" w:evenVBand="0" w:oddHBand="0" w:evenHBand="0" w:firstRowFirstColumn="0" w:firstRowLastColumn="0" w:lastRowFirstColumn="0" w:lastRowLastColumn="0"/>
            <w:tcW w:w="2055" w:type="dxa"/>
            <w:hideMark/>
          </w:tcPr>
          <w:p w:rsidR="00D41BD3" w:rsidRPr="00D41BD3" w:rsidRDefault="00D41BD3" w:rsidP="00F15F62">
            <w:pPr>
              <w:spacing w:line="360" w:lineRule="auto"/>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2001-2010</w:t>
            </w:r>
          </w:p>
        </w:tc>
        <w:tc>
          <w:tcPr>
            <w:tcW w:w="2055"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160</w:t>
            </w:r>
          </w:p>
        </w:tc>
        <w:tc>
          <w:tcPr>
            <w:tcW w:w="1756"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120</w:t>
            </w:r>
          </w:p>
        </w:tc>
        <w:tc>
          <w:tcPr>
            <w:tcW w:w="1519"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120</w:t>
            </w:r>
          </w:p>
        </w:tc>
        <w:tc>
          <w:tcPr>
            <w:tcW w:w="1897"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100</w:t>
            </w:r>
          </w:p>
        </w:tc>
      </w:tr>
      <w:tr w:rsidR="00D41BD3" w:rsidRPr="00D41BD3" w:rsidTr="00C22F86">
        <w:trPr>
          <w:trHeight w:val="547"/>
        </w:trPr>
        <w:tc>
          <w:tcPr>
            <w:cnfStyle w:val="001000000000" w:firstRow="0" w:lastRow="0" w:firstColumn="1" w:lastColumn="0" w:oddVBand="0" w:evenVBand="0" w:oddHBand="0" w:evenHBand="0" w:firstRowFirstColumn="0" w:firstRowLastColumn="0" w:lastRowFirstColumn="0" w:lastRowLastColumn="0"/>
            <w:tcW w:w="2055" w:type="dxa"/>
            <w:hideMark/>
          </w:tcPr>
          <w:p w:rsidR="00D41BD3" w:rsidRPr="00D41BD3" w:rsidRDefault="00D41BD3" w:rsidP="00F15F62">
            <w:pPr>
              <w:spacing w:line="360" w:lineRule="auto"/>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2011-2020</w:t>
            </w:r>
          </w:p>
        </w:tc>
        <w:tc>
          <w:tcPr>
            <w:tcW w:w="2055"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200</w:t>
            </w:r>
          </w:p>
        </w:tc>
        <w:tc>
          <w:tcPr>
            <w:tcW w:w="1756"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150</w:t>
            </w:r>
          </w:p>
        </w:tc>
        <w:tc>
          <w:tcPr>
            <w:tcW w:w="1519"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150</w:t>
            </w:r>
          </w:p>
        </w:tc>
        <w:tc>
          <w:tcPr>
            <w:tcW w:w="1897"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125</w:t>
            </w:r>
          </w:p>
        </w:tc>
      </w:tr>
      <w:tr w:rsidR="00D41BD3" w:rsidRPr="00D41BD3" w:rsidTr="00C22F86">
        <w:trPr>
          <w:trHeight w:val="547"/>
        </w:trPr>
        <w:tc>
          <w:tcPr>
            <w:cnfStyle w:val="001000000000" w:firstRow="0" w:lastRow="0" w:firstColumn="1" w:lastColumn="0" w:oddVBand="0" w:evenVBand="0" w:oddHBand="0" w:evenHBand="0" w:firstRowFirstColumn="0" w:firstRowLastColumn="0" w:lastRowFirstColumn="0" w:lastRowLastColumn="0"/>
            <w:tcW w:w="2055" w:type="dxa"/>
            <w:hideMark/>
          </w:tcPr>
          <w:p w:rsidR="00D41BD3" w:rsidRPr="00D41BD3" w:rsidRDefault="00D41BD3" w:rsidP="00F15F62">
            <w:pPr>
              <w:spacing w:line="360" w:lineRule="auto"/>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2021-2023</w:t>
            </w:r>
          </w:p>
        </w:tc>
        <w:tc>
          <w:tcPr>
            <w:tcW w:w="2055"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100</w:t>
            </w:r>
          </w:p>
        </w:tc>
        <w:tc>
          <w:tcPr>
            <w:tcW w:w="1756"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75</w:t>
            </w:r>
          </w:p>
        </w:tc>
        <w:tc>
          <w:tcPr>
            <w:tcW w:w="1519"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75</w:t>
            </w:r>
          </w:p>
        </w:tc>
        <w:tc>
          <w:tcPr>
            <w:tcW w:w="1897" w:type="dxa"/>
            <w:hideMark/>
          </w:tcPr>
          <w:p w:rsidR="00D41BD3" w:rsidRPr="00D41BD3" w:rsidRDefault="00D41BD3" w:rsidP="00F15F62">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D41BD3">
              <w:rPr>
                <w:rFonts w:ascii="Times New Roman" w:eastAsia="Times New Roman" w:hAnsi="Times New Roman" w:cs="Times New Roman"/>
                <w:color w:val="000000"/>
                <w:sz w:val="24"/>
                <w:szCs w:val="24"/>
              </w:rPr>
              <w:t>50</w:t>
            </w:r>
          </w:p>
        </w:tc>
      </w:tr>
    </w:tbl>
    <w:p w:rsidR="00D41BD3" w:rsidRPr="00D41BD3" w:rsidRDefault="00D41BD3" w:rsidP="00F15F62">
      <w:pPr>
        <w:spacing w:line="360" w:lineRule="auto"/>
        <w:jc w:val="both"/>
        <w:rPr>
          <w:rFonts w:ascii="Times New Roman" w:eastAsia="Calibri" w:hAnsi="Times New Roman" w:cs="Times New Roman"/>
          <w:bCs/>
          <w:i/>
          <w:sz w:val="24"/>
          <w:szCs w:val="24"/>
          <w:lang w:val="en"/>
        </w:rPr>
      </w:pPr>
      <w:r w:rsidRPr="00D41BD3">
        <w:rPr>
          <w:rFonts w:ascii="Calibri" w:eastAsia="Calibri" w:hAnsi="Calibri" w:cs="Times New Roman"/>
          <w:i/>
        </w:rPr>
        <w:t xml:space="preserve">Authors </w:t>
      </w:r>
      <w:r w:rsidR="00E86733">
        <w:rPr>
          <w:rFonts w:ascii="Calibri" w:eastAsia="Calibri" w:hAnsi="Calibri" w:cs="Times New Roman"/>
          <w:i/>
        </w:rPr>
        <w:t>compile</w:t>
      </w:r>
      <w:r w:rsidRPr="00D41BD3">
        <w:rPr>
          <w:rFonts w:ascii="Calibri" w:eastAsia="Calibri" w:hAnsi="Calibri" w:cs="Times New Roman"/>
          <w:i/>
        </w:rPr>
        <w:t xml:space="preserve"> d</w:t>
      </w:r>
      <w:r w:rsidR="00101BDF">
        <w:rPr>
          <w:rFonts w:ascii="Calibri" w:eastAsia="Calibri" w:hAnsi="Calibri" w:cs="Times New Roman"/>
          <w:i/>
        </w:rPr>
        <w:t xml:space="preserve">ata sourced from multiple </w:t>
      </w:r>
      <w:r w:rsidRPr="00D41BD3">
        <w:rPr>
          <w:rFonts w:ascii="Calibri" w:eastAsia="Calibri" w:hAnsi="Calibri" w:cs="Times New Roman"/>
          <w:i/>
        </w:rPr>
        <w:t>reports</w:t>
      </w:r>
    </w:p>
    <w:p w:rsidR="00D41BD3" w:rsidRPr="00D41BD3" w:rsidRDefault="00D41BD3" w:rsidP="00F15F62">
      <w:pPr>
        <w:spacing w:before="100" w:beforeAutospacing="1" w:after="100" w:afterAutospacing="1" w:line="360" w:lineRule="auto"/>
        <w:jc w:val="both"/>
        <w:rPr>
          <w:rFonts w:ascii="Times New Roman" w:eastAsia="Times New Roman" w:hAnsi="Times New Roman" w:cs="Times New Roman"/>
          <w:sz w:val="24"/>
          <w:szCs w:val="24"/>
        </w:rPr>
      </w:pPr>
      <w:r w:rsidRPr="00D41BD3">
        <w:rPr>
          <w:rFonts w:ascii="Times New Roman" w:eastAsia="Times New Roman" w:hAnsi="Times New Roman" w:cs="Times New Roman"/>
          <w:sz w:val="24"/>
          <w:szCs w:val="24"/>
        </w:rPr>
        <w:t>Over five decades, U.S. funding in Bangladesh has strategically evolved to address changing priorities. Initial investments (1972-1980) were balanced across democracy, human rights, civil society, and anti-corruption, laying foundational structures.</w:t>
      </w:r>
    </w:p>
    <w:p w:rsidR="00D41BD3" w:rsidRPr="00D41BD3" w:rsidRDefault="00D41BD3" w:rsidP="00F15F62">
      <w:pPr>
        <w:spacing w:before="100" w:beforeAutospacing="1" w:after="100" w:afterAutospacing="1" w:line="360" w:lineRule="auto"/>
        <w:jc w:val="both"/>
        <w:rPr>
          <w:rFonts w:ascii="Times New Roman" w:eastAsia="Times New Roman" w:hAnsi="Times New Roman" w:cs="Times New Roman"/>
          <w:sz w:val="24"/>
          <w:szCs w:val="24"/>
        </w:rPr>
      </w:pPr>
      <w:r w:rsidRPr="00D41BD3">
        <w:rPr>
          <w:rFonts w:ascii="Times New Roman" w:eastAsia="Times New Roman" w:hAnsi="Times New Roman" w:cs="Times New Roman"/>
          <w:sz w:val="24"/>
          <w:szCs w:val="24"/>
        </w:rPr>
        <w:t xml:space="preserve">The 1980s and 1990s saw increased support, particularly in human rights and civil society, reflecting global democratization efforts. The post-9/11 era (2001-2010) marked a significant funding surge </w:t>
      </w:r>
      <w:r w:rsidR="00E86733">
        <w:rPr>
          <w:rFonts w:ascii="Times New Roman" w:eastAsia="Times New Roman" w:hAnsi="Times New Roman" w:cs="Times New Roman"/>
          <w:sz w:val="24"/>
          <w:szCs w:val="24"/>
        </w:rPr>
        <w:t>for</w:t>
      </w:r>
      <w:r w:rsidRPr="00D41BD3">
        <w:rPr>
          <w:rFonts w:ascii="Times New Roman" w:eastAsia="Times New Roman" w:hAnsi="Times New Roman" w:cs="Times New Roman"/>
          <w:sz w:val="24"/>
          <w:szCs w:val="24"/>
        </w:rPr>
        <w:t xml:space="preserve"> governance and legal reforms as part of counterterrorism strategies.</w:t>
      </w:r>
    </w:p>
    <w:p w:rsidR="00D41BD3" w:rsidRPr="00D41BD3" w:rsidRDefault="00D41BD3" w:rsidP="00F15F62">
      <w:pPr>
        <w:spacing w:before="100" w:beforeAutospacing="1" w:after="100" w:afterAutospacing="1" w:line="360" w:lineRule="auto"/>
        <w:jc w:val="both"/>
        <w:rPr>
          <w:rFonts w:ascii="Times New Roman" w:eastAsia="Times New Roman" w:hAnsi="Times New Roman" w:cs="Times New Roman"/>
          <w:sz w:val="24"/>
          <w:szCs w:val="24"/>
        </w:rPr>
      </w:pPr>
      <w:r w:rsidRPr="00D41BD3">
        <w:rPr>
          <w:rFonts w:ascii="Times New Roman" w:eastAsia="Times New Roman" w:hAnsi="Times New Roman" w:cs="Times New Roman"/>
          <w:sz w:val="24"/>
          <w:szCs w:val="24"/>
        </w:rPr>
        <w:t>Funding peaked in 2011-2020, emphasizing marginalized communities, gender equality, and anti-corruption. The recent decline (2021-2023) indicates a shift towards digital democracy and transnational corruption, aligning with current geopolitical trends. This trajectory underscores the U.S.'s adaptive approach to supporting Bangladesh's democratic development and governance over the past 50 years.</w:t>
      </w:r>
    </w:p>
    <w:p w:rsidR="00D41BD3" w:rsidRPr="00D41BD3" w:rsidRDefault="00D41BD3" w:rsidP="00F15F62">
      <w:pPr>
        <w:spacing w:line="360" w:lineRule="auto"/>
        <w:jc w:val="both"/>
        <w:rPr>
          <w:rFonts w:ascii="Times New Roman" w:eastAsia="Calibri" w:hAnsi="Times New Roman" w:cs="Times New Roman"/>
          <w:bCs/>
          <w:sz w:val="24"/>
          <w:szCs w:val="24"/>
          <w:lang w:val="en"/>
        </w:rPr>
      </w:pPr>
    </w:p>
    <w:p w:rsidR="00D41BD3" w:rsidRPr="00CA4CD6" w:rsidRDefault="00D41BD3" w:rsidP="00CA4CD6">
      <w:pPr>
        <w:spacing w:before="100" w:beforeAutospacing="1" w:after="100" w:afterAutospacing="1" w:line="360" w:lineRule="auto"/>
        <w:rPr>
          <w:rFonts w:ascii="Times New Roman" w:eastAsia="Times New Roman" w:hAnsi="Times New Roman" w:cs="Times New Roman"/>
          <w:sz w:val="24"/>
          <w:szCs w:val="24"/>
        </w:rPr>
      </w:pPr>
      <w:r w:rsidRPr="00D41BD3">
        <w:rPr>
          <w:rFonts w:ascii="Times New Roman" w:eastAsia="Times New Roman" w:hAnsi="Times New Roman" w:cs="Times New Roman"/>
          <w:noProof/>
          <w:sz w:val="24"/>
          <w:szCs w:val="24"/>
        </w:rPr>
        <w:lastRenderedPageBreak/>
        <w:drawing>
          <wp:inline distT="0" distB="0" distL="0" distR="0" wp14:anchorId="7F5E716F" wp14:editId="6532AF73">
            <wp:extent cx="5924550" cy="4124354"/>
            <wp:effectExtent l="0" t="0" r="0" b="9525"/>
            <wp:docPr id="8" name="Picture 8" descr="C:\Users\Habib\AppData\Local\Packages\Microsoft.Windows.Photos_8wekyb3d8bbwe\TempState\ShareServiceTempFolder\output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abib\AppData\Local\Packages\Microsoft.Windows.Photos_8wekyb3d8bbwe\TempState\ShareServiceTempFolder\output (1).jpe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60748" cy="4149553"/>
                    </a:xfrm>
                    <a:prstGeom prst="rect">
                      <a:avLst/>
                    </a:prstGeom>
                    <a:noFill/>
                    <a:ln>
                      <a:noFill/>
                    </a:ln>
                  </pic:spPr>
                </pic:pic>
              </a:graphicData>
            </a:graphic>
          </wp:inline>
        </w:drawing>
      </w:r>
      <w:r w:rsidR="00101BDF">
        <w:rPr>
          <w:rFonts w:ascii="Calibri" w:eastAsia="Calibri" w:hAnsi="Calibri" w:cs="Times New Roman"/>
          <w:i/>
        </w:rPr>
        <w:t>Author’s compiled</w:t>
      </w:r>
      <w:r w:rsidR="00CA4CD6">
        <w:rPr>
          <w:rFonts w:ascii="Calibri" w:eastAsia="Calibri" w:hAnsi="Calibri" w:cs="Times New Roman"/>
          <w:i/>
        </w:rPr>
        <w:t xml:space="preserve"> chart </w:t>
      </w:r>
      <w:r w:rsidRPr="00D41BD3">
        <w:rPr>
          <w:rFonts w:ascii="Calibri" w:eastAsia="Calibri" w:hAnsi="Calibri" w:cs="Times New Roman"/>
          <w:i/>
        </w:rPr>
        <w:t>fr</w:t>
      </w:r>
      <w:r w:rsidR="00CA4CD6">
        <w:rPr>
          <w:rFonts w:ascii="Calibri" w:eastAsia="Calibri" w:hAnsi="Calibri" w:cs="Times New Roman"/>
          <w:i/>
        </w:rPr>
        <w:t xml:space="preserve">om multiple </w:t>
      </w:r>
      <w:r w:rsidR="00101BDF">
        <w:rPr>
          <w:rFonts w:ascii="Calibri" w:eastAsia="Calibri" w:hAnsi="Calibri" w:cs="Times New Roman"/>
          <w:i/>
        </w:rPr>
        <w:t>sources</w:t>
      </w:r>
    </w:p>
    <w:p w:rsidR="00D41BD3" w:rsidRPr="00D41BD3" w:rsidRDefault="00D41BD3" w:rsidP="00F15F62">
      <w:pPr>
        <w:spacing w:line="360" w:lineRule="auto"/>
        <w:jc w:val="both"/>
        <w:rPr>
          <w:rFonts w:ascii="Times New Roman" w:eastAsia="Calibri" w:hAnsi="Times New Roman" w:cs="Times New Roman"/>
          <w:bCs/>
          <w:sz w:val="24"/>
          <w:szCs w:val="24"/>
        </w:rPr>
      </w:pPr>
      <w:r w:rsidRPr="00D41BD3">
        <w:rPr>
          <w:rFonts w:ascii="Times New Roman" w:eastAsia="Calibri" w:hAnsi="Times New Roman" w:cs="Times New Roman"/>
          <w:bCs/>
          <w:sz w:val="24"/>
          <w:szCs w:val="24"/>
        </w:rPr>
        <w:t>The chart "Trends in U.S. Funding for Democracy and Human Rights in Bangladesh (1972-2023)" highlights significant shifts in U.S. financial contributions over five decades. The data shows a consistent increase in funding until 2020, with Democracy and Governance Programs receiving the most substantial support, particularly after 9/11</w:t>
      </w:r>
      <w:r w:rsidR="00E86733">
        <w:rPr>
          <w:rFonts w:ascii="Times New Roman" w:eastAsia="Calibri" w:hAnsi="Times New Roman" w:cs="Times New Roman"/>
          <w:bCs/>
          <w:sz w:val="24"/>
          <w:szCs w:val="24"/>
        </w:rPr>
        <w:t>. This reflects</w:t>
      </w:r>
      <w:r w:rsidRPr="00D41BD3">
        <w:rPr>
          <w:rFonts w:ascii="Times New Roman" w:eastAsia="Calibri" w:hAnsi="Times New Roman" w:cs="Times New Roman"/>
          <w:bCs/>
          <w:sz w:val="24"/>
          <w:szCs w:val="24"/>
        </w:rPr>
        <w:t xml:space="preserve"> U.S. priorities in promoting stability and countering extremism in the region</w:t>
      </w:r>
      <w:r w:rsidR="00E86733">
        <w:rPr>
          <w:rFonts w:ascii="Times New Roman" w:eastAsia="Calibri" w:hAnsi="Times New Roman" w:cs="Times New Roman"/>
          <w:bCs/>
          <w:sz w:val="24"/>
          <w:szCs w:val="24"/>
        </w:rPr>
        <w:t>.</w:t>
      </w:r>
      <w:r w:rsidRPr="00D41BD3">
        <w:rPr>
          <w:rFonts w:ascii="Times New Roman" w:eastAsia="Calibri" w:hAnsi="Times New Roman" w:cs="Times New Roman"/>
          <w:bCs/>
          <w:sz w:val="24"/>
          <w:szCs w:val="24"/>
        </w:rPr>
        <w:t xml:space="preserve"> </w:t>
      </w:r>
    </w:p>
    <w:p w:rsidR="00D41BD3" w:rsidRPr="00D41BD3" w:rsidRDefault="00D41BD3" w:rsidP="00F15F62">
      <w:pPr>
        <w:spacing w:line="360" w:lineRule="auto"/>
        <w:jc w:val="both"/>
        <w:rPr>
          <w:rFonts w:ascii="Times New Roman" w:eastAsia="Calibri" w:hAnsi="Times New Roman" w:cs="Times New Roman"/>
          <w:bCs/>
          <w:sz w:val="24"/>
          <w:szCs w:val="24"/>
        </w:rPr>
      </w:pPr>
      <w:r w:rsidRPr="00D41BD3">
        <w:rPr>
          <w:rFonts w:ascii="Times New Roman" w:eastAsia="Calibri" w:hAnsi="Times New Roman" w:cs="Times New Roman"/>
          <w:bCs/>
          <w:sz w:val="24"/>
          <w:szCs w:val="24"/>
        </w:rPr>
        <w:t>Human Rights Initiatives and Civil Society Support also saw substantial growth, aligning with global efforts to strengthen institutional capacities and empower marginalized communities. Anti-corruption funding, while smaller, increased steadily, indicating U.S. recognition of corruption as a barrier to effective governance.</w:t>
      </w:r>
    </w:p>
    <w:p w:rsidR="00D41BD3" w:rsidRPr="00D41BD3" w:rsidRDefault="00D41BD3" w:rsidP="00F15F62">
      <w:pPr>
        <w:spacing w:line="360" w:lineRule="auto"/>
        <w:jc w:val="both"/>
        <w:rPr>
          <w:rFonts w:ascii="Times New Roman" w:eastAsia="Calibri" w:hAnsi="Times New Roman" w:cs="Times New Roman"/>
          <w:bCs/>
          <w:sz w:val="24"/>
          <w:szCs w:val="24"/>
        </w:rPr>
      </w:pPr>
      <w:r w:rsidRPr="00D41BD3">
        <w:rPr>
          <w:rFonts w:ascii="Times New Roman" w:eastAsia="Calibri" w:hAnsi="Times New Roman" w:cs="Times New Roman"/>
          <w:bCs/>
          <w:sz w:val="24"/>
          <w:szCs w:val="24"/>
        </w:rPr>
        <w:t xml:space="preserve">The sharp decline in funding during 2021-2023 likely reflects shifting U.S. priorities due to the COVID-19 pandemic and the strategic focus on countering China's influence in the Indo-Pacific. This reduction raises concerns about the future of U.S.-Bangladesh relations and the sustainability of earlier </w:t>
      </w:r>
      <w:r w:rsidR="00E86733">
        <w:rPr>
          <w:rFonts w:ascii="Times New Roman" w:eastAsia="Calibri" w:hAnsi="Times New Roman" w:cs="Times New Roman"/>
          <w:bCs/>
          <w:sz w:val="24"/>
          <w:szCs w:val="24"/>
        </w:rPr>
        <w:t>governance and human rights investments</w:t>
      </w:r>
      <w:r w:rsidRPr="00D41BD3">
        <w:rPr>
          <w:rFonts w:ascii="Times New Roman" w:eastAsia="Calibri" w:hAnsi="Times New Roman" w:cs="Times New Roman"/>
          <w:bCs/>
          <w:sz w:val="24"/>
          <w:szCs w:val="24"/>
        </w:rPr>
        <w:t>.</w:t>
      </w:r>
    </w:p>
    <w:p w:rsidR="00D41BD3" w:rsidRPr="00D41BD3" w:rsidRDefault="00CA4CD6" w:rsidP="00F15F62">
      <w:pPr>
        <w:pStyle w:val="ListParagraph"/>
        <w:numPr>
          <w:ilvl w:val="0"/>
          <w:numId w:val="1"/>
        </w:numPr>
        <w:spacing w:line="360" w:lineRule="auto"/>
        <w:jc w:val="both"/>
        <w:rPr>
          <w:rFonts w:ascii="Times New Roman" w:eastAsia="Calibri" w:hAnsi="Times New Roman" w:cs="Times New Roman"/>
          <w:b/>
          <w:sz w:val="24"/>
          <w:szCs w:val="24"/>
          <w:lang w:val="en"/>
        </w:rPr>
      </w:pPr>
      <w:r>
        <w:rPr>
          <w:rFonts w:ascii="Times New Roman" w:eastAsia="Calibri" w:hAnsi="Times New Roman" w:cs="Times New Roman"/>
          <w:b/>
          <w:sz w:val="24"/>
          <w:szCs w:val="24"/>
          <w:lang w:val="en"/>
        </w:rPr>
        <w:lastRenderedPageBreak/>
        <w:t xml:space="preserve">Implications, </w:t>
      </w:r>
      <w:r w:rsidR="00D41BD3" w:rsidRPr="00D41BD3">
        <w:rPr>
          <w:rFonts w:ascii="Times New Roman" w:eastAsia="Calibri" w:hAnsi="Times New Roman" w:cs="Times New Roman"/>
          <w:b/>
          <w:sz w:val="24"/>
          <w:szCs w:val="24"/>
          <w:lang w:val="en"/>
        </w:rPr>
        <w:t>Limitations</w:t>
      </w:r>
      <w:r w:rsidR="00E86733">
        <w:rPr>
          <w:rFonts w:ascii="Times New Roman" w:eastAsia="Calibri" w:hAnsi="Times New Roman" w:cs="Times New Roman"/>
          <w:b/>
          <w:sz w:val="24"/>
          <w:szCs w:val="24"/>
          <w:lang w:val="en"/>
        </w:rPr>
        <w:t>,</w:t>
      </w:r>
      <w:r w:rsidR="00D41BD3" w:rsidRPr="00D41BD3">
        <w:rPr>
          <w:rFonts w:ascii="Times New Roman" w:eastAsia="Calibri" w:hAnsi="Times New Roman" w:cs="Times New Roman"/>
          <w:b/>
          <w:sz w:val="24"/>
          <w:szCs w:val="24"/>
          <w:lang w:val="en"/>
        </w:rPr>
        <w:t xml:space="preserve"> and Suggestions for Future Research</w:t>
      </w:r>
    </w:p>
    <w:p w:rsidR="00CA4CD6" w:rsidRPr="00CA4CD6" w:rsidRDefault="00CA4CD6" w:rsidP="00CA4CD6">
      <w:pPr>
        <w:spacing w:line="360" w:lineRule="auto"/>
        <w:contextualSpacing/>
        <w:jc w:val="both"/>
        <w:rPr>
          <w:rFonts w:ascii="Times New Roman" w:eastAsia="Calibri" w:hAnsi="Times New Roman" w:cs="Times New Roman"/>
          <w:bCs/>
          <w:sz w:val="24"/>
          <w:szCs w:val="24"/>
          <w:lang w:val="en"/>
        </w:rPr>
      </w:pPr>
      <w:r w:rsidRPr="00CA4CD6">
        <w:rPr>
          <w:rFonts w:ascii="Times New Roman" w:eastAsia="Calibri" w:hAnsi="Times New Roman" w:cs="Times New Roman"/>
          <w:bCs/>
          <w:sz w:val="24"/>
          <w:szCs w:val="24"/>
          <w:lang w:val="en"/>
        </w:rPr>
        <w:t xml:space="preserve">The research findings have significant practical and managerial consequences, especially for policymakers, business executives, and international relations strategists. The USA's proven positive economic impact on Bangladesh in the last fifty years highlights the need </w:t>
      </w:r>
      <w:r w:rsidR="00E86733">
        <w:rPr>
          <w:rFonts w:ascii="Times New Roman" w:eastAsia="Calibri" w:hAnsi="Times New Roman" w:cs="Times New Roman"/>
          <w:bCs/>
          <w:sz w:val="24"/>
          <w:szCs w:val="24"/>
          <w:lang w:val="en"/>
        </w:rPr>
        <w:t>to preserve and enhance</w:t>
      </w:r>
      <w:r w:rsidRPr="00CA4CD6">
        <w:rPr>
          <w:rFonts w:ascii="Times New Roman" w:eastAsia="Calibri" w:hAnsi="Times New Roman" w:cs="Times New Roman"/>
          <w:bCs/>
          <w:sz w:val="24"/>
          <w:szCs w:val="24"/>
          <w:lang w:val="en"/>
        </w:rPr>
        <w:t xml:space="preserve"> bilateral relations. Continued collaboration is crucial for achieving sustained economic growth and development in Bangladesh. It can facilitate technological transfers, strengthen trade terms, and increase foreign direct investment (FDI) inflows.</w:t>
      </w:r>
    </w:p>
    <w:p w:rsidR="00CA4CD6" w:rsidRPr="00CA4CD6" w:rsidRDefault="00CA4CD6" w:rsidP="00CA4CD6">
      <w:pPr>
        <w:spacing w:line="360" w:lineRule="auto"/>
        <w:contextualSpacing/>
        <w:jc w:val="both"/>
        <w:rPr>
          <w:rFonts w:ascii="Times New Roman" w:eastAsia="Calibri" w:hAnsi="Times New Roman" w:cs="Times New Roman"/>
          <w:bCs/>
          <w:sz w:val="24"/>
          <w:szCs w:val="24"/>
          <w:lang w:val="en"/>
        </w:rPr>
      </w:pPr>
    </w:p>
    <w:p w:rsidR="00CA4CD6" w:rsidRPr="00CA4CD6" w:rsidRDefault="00CA4CD6" w:rsidP="00CA4CD6">
      <w:pPr>
        <w:spacing w:line="360" w:lineRule="auto"/>
        <w:contextualSpacing/>
        <w:jc w:val="both"/>
        <w:rPr>
          <w:rFonts w:ascii="Times New Roman" w:eastAsia="Calibri" w:hAnsi="Times New Roman" w:cs="Times New Roman"/>
          <w:bCs/>
          <w:sz w:val="24"/>
          <w:szCs w:val="24"/>
          <w:lang w:val="en"/>
        </w:rPr>
      </w:pPr>
      <w:r w:rsidRPr="00CA4CD6">
        <w:rPr>
          <w:rFonts w:ascii="Times New Roman" w:eastAsia="Calibri" w:hAnsi="Times New Roman" w:cs="Times New Roman"/>
          <w:bCs/>
          <w:sz w:val="24"/>
          <w:szCs w:val="24"/>
          <w:lang w:val="en"/>
        </w:rPr>
        <w:t xml:space="preserve">From a managerial standpoint, </w:t>
      </w:r>
      <w:r w:rsidR="00E86733">
        <w:rPr>
          <w:rFonts w:ascii="Times New Roman" w:eastAsia="Calibri" w:hAnsi="Times New Roman" w:cs="Times New Roman"/>
          <w:bCs/>
          <w:sz w:val="24"/>
          <w:szCs w:val="24"/>
          <w:lang w:val="en"/>
        </w:rPr>
        <w:t>this study's findings</w:t>
      </w:r>
      <w:r w:rsidRPr="00CA4CD6">
        <w:rPr>
          <w:rFonts w:ascii="Times New Roman" w:eastAsia="Calibri" w:hAnsi="Times New Roman" w:cs="Times New Roman"/>
          <w:bCs/>
          <w:sz w:val="24"/>
          <w:szCs w:val="24"/>
          <w:lang w:val="en"/>
        </w:rPr>
        <w:t xml:space="preserve"> can provide guidance to company executives in Bangladesh on how to more effectively align their strategy with the changing dynamics of US-Bangladesh economic relations. Companies should </w:t>
      </w:r>
      <w:r w:rsidR="0024158D">
        <w:rPr>
          <w:rFonts w:ascii="Times New Roman" w:eastAsia="Calibri" w:hAnsi="Times New Roman" w:cs="Times New Roman"/>
          <w:bCs/>
          <w:sz w:val="24"/>
          <w:szCs w:val="24"/>
          <w:lang w:val="en"/>
        </w:rPr>
        <w:t>capitalize</w:t>
      </w:r>
      <w:r w:rsidRPr="00CA4CD6">
        <w:rPr>
          <w:rFonts w:ascii="Times New Roman" w:eastAsia="Calibri" w:hAnsi="Times New Roman" w:cs="Times New Roman"/>
          <w:bCs/>
          <w:sz w:val="24"/>
          <w:szCs w:val="24"/>
          <w:lang w:val="en"/>
        </w:rPr>
        <w:t xml:space="preserve"> on the advantages of international collaborations and pursue new prospects </w:t>
      </w:r>
      <w:r w:rsidR="00E86733">
        <w:rPr>
          <w:rFonts w:ascii="Times New Roman" w:eastAsia="Calibri" w:hAnsi="Times New Roman" w:cs="Times New Roman"/>
          <w:bCs/>
          <w:sz w:val="24"/>
          <w:szCs w:val="24"/>
          <w:lang w:val="en"/>
        </w:rPr>
        <w:t>emerging from bilateral agreements, particularly in industries with significant US investment and expertise</w:t>
      </w:r>
      <w:r w:rsidRPr="00CA4CD6">
        <w:rPr>
          <w:rFonts w:ascii="Times New Roman" w:eastAsia="Calibri" w:hAnsi="Times New Roman" w:cs="Times New Roman"/>
          <w:bCs/>
          <w:sz w:val="24"/>
          <w:szCs w:val="24"/>
          <w:lang w:val="en"/>
        </w:rPr>
        <w:t xml:space="preserve">. This also necessitates a focus on enhancing </w:t>
      </w:r>
      <w:r w:rsidR="00E86733">
        <w:rPr>
          <w:rFonts w:ascii="Times New Roman" w:eastAsia="Calibri" w:hAnsi="Times New Roman" w:cs="Times New Roman"/>
          <w:bCs/>
          <w:sz w:val="24"/>
          <w:szCs w:val="24"/>
          <w:lang w:val="en"/>
        </w:rPr>
        <w:t>local companies' capabilities to satisfy international partners' expectations</w:t>
      </w:r>
      <w:r w:rsidRPr="00CA4CD6">
        <w:rPr>
          <w:rFonts w:ascii="Times New Roman" w:eastAsia="Calibri" w:hAnsi="Times New Roman" w:cs="Times New Roman"/>
          <w:bCs/>
          <w:sz w:val="24"/>
          <w:szCs w:val="24"/>
          <w:lang w:val="en"/>
        </w:rPr>
        <w:t xml:space="preserve">, </w:t>
      </w:r>
      <w:r w:rsidR="00E86733">
        <w:rPr>
          <w:rFonts w:ascii="Times New Roman" w:eastAsia="Calibri" w:hAnsi="Times New Roman" w:cs="Times New Roman"/>
          <w:bCs/>
          <w:sz w:val="24"/>
          <w:szCs w:val="24"/>
          <w:lang w:val="en"/>
        </w:rPr>
        <w:t>optimizing</w:t>
      </w:r>
      <w:r w:rsidRPr="00CA4CD6">
        <w:rPr>
          <w:rFonts w:ascii="Times New Roman" w:eastAsia="Calibri" w:hAnsi="Times New Roman" w:cs="Times New Roman"/>
          <w:bCs/>
          <w:sz w:val="24"/>
          <w:szCs w:val="24"/>
          <w:lang w:val="en"/>
        </w:rPr>
        <w:t xml:space="preserve"> the advantages of foreign investment.</w:t>
      </w:r>
    </w:p>
    <w:p w:rsidR="00CA4CD6" w:rsidRPr="00CA4CD6" w:rsidRDefault="00CA4CD6" w:rsidP="00CA4CD6">
      <w:pPr>
        <w:spacing w:line="360" w:lineRule="auto"/>
        <w:contextualSpacing/>
        <w:jc w:val="both"/>
        <w:rPr>
          <w:rFonts w:ascii="Times New Roman" w:eastAsia="Calibri" w:hAnsi="Times New Roman" w:cs="Times New Roman"/>
          <w:bCs/>
          <w:sz w:val="24"/>
          <w:szCs w:val="24"/>
          <w:lang w:val="en"/>
        </w:rPr>
      </w:pPr>
    </w:p>
    <w:p w:rsidR="00CA4CD6" w:rsidRDefault="00CA4CD6" w:rsidP="00F15F62">
      <w:pPr>
        <w:spacing w:line="360" w:lineRule="auto"/>
        <w:contextualSpacing/>
        <w:jc w:val="both"/>
        <w:rPr>
          <w:rFonts w:ascii="Times New Roman" w:eastAsia="Calibri" w:hAnsi="Times New Roman" w:cs="Times New Roman"/>
          <w:bCs/>
          <w:sz w:val="24"/>
          <w:szCs w:val="24"/>
          <w:lang w:val="en"/>
        </w:rPr>
      </w:pPr>
      <w:r w:rsidRPr="00CA4CD6">
        <w:rPr>
          <w:rFonts w:ascii="Times New Roman" w:eastAsia="Calibri" w:hAnsi="Times New Roman" w:cs="Times New Roman"/>
          <w:bCs/>
          <w:sz w:val="24"/>
          <w:szCs w:val="24"/>
          <w:lang w:val="en"/>
        </w:rPr>
        <w:t xml:space="preserve">Additionally, the study </w:t>
      </w:r>
      <w:r w:rsidR="00E86733">
        <w:rPr>
          <w:rFonts w:ascii="Times New Roman" w:eastAsia="Calibri" w:hAnsi="Times New Roman" w:cs="Times New Roman"/>
          <w:bCs/>
          <w:sz w:val="24"/>
          <w:szCs w:val="24"/>
          <w:lang w:val="en"/>
        </w:rPr>
        <w:t>emphasizes the need for policymakers in Bangladesh to prioritize</w:t>
      </w:r>
      <w:r w:rsidRPr="00CA4CD6">
        <w:rPr>
          <w:rFonts w:ascii="Times New Roman" w:eastAsia="Calibri" w:hAnsi="Times New Roman" w:cs="Times New Roman"/>
          <w:bCs/>
          <w:sz w:val="24"/>
          <w:szCs w:val="24"/>
          <w:lang w:val="en"/>
        </w:rPr>
        <w:t xml:space="preserve"> </w:t>
      </w:r>
      <w:r w:rsidR="00E86733">
        <w:rPr>
          <w:rFonts w:ascii="Times New Roman" w:eastAsia="Calibri" w:hAnsi="Times New Roman" w:cs="Times New Roman"/>
          <w:bCs/>
          <w:sz w:val="24"/>
          <w:szCs w:val="24"/>
          <w:lang w:val="en"/>
        </w:rPr>
        <w:t>establishing an environment</w:t>
      </w:r>
      <w:r w:rsidRPr="00CA4CD6">
        <w:rPr>
          <w:rFonts w:ascii="Times New Roman" w:eastAsia="Calibri" w:hAnsi="Times New Roman" w:cs="Times New Roman"/>
          <w:bCs/>
          <w:sz w:val="24"/>
          <w:szCs w:val="24"/>
          <w:lang w:val="en"/>
        </w:rPr>
        <w:t xml:space="preserve"> capable of attracting and maintaining investments from the United States. This encompasses </w:t>
      </w:r>
      <w:r w:rsidR="00E86733">
        <w:rPr>
          <w:rFonts w:ascii="Times New Roman" w:eastAsia="Calibri" w:hAnsi="Times New Roman" w:cs="Times New Roman"/>
          <w:bCs/>
          <w:sz w:val="24"/>
          <w:szCs w:val="24"/>
          <w:lang w:val="en"/>
        </w:rPr>
        <w:t>the provision of advantageous economic policies and</w:t>
      </w:r>
      <w:r w:rsidRPr="00CA4CD6">
        <w:rPr>
          <w:rFonts w:ascii="Times New Roman" w:eastAsia="Calibri" w:hAnsi="Times New Roman" w:cs="Times New Roman"/>
          <w:bCs/>
          <w:sz w:val="24"/>
          <w:szCs w:val="24"/>
          <w:lang w:val="en"/>
        </w:rPr>
        <w:t xml:space="preserve"> the guarantee of political stability, transparency, and compliance with international norms. These </w:t>
      </w:r>
      <w:r w:rsidR="00E86733">
        <w:rPr>
          <w:rFonts w:ascii="Times New Roman" w:eastAsia="Calibri" w:hAnsi="Times New Roman" w:cs="Times New Roman"/>
          <w:bCs/>
          <w:sz w:val="24"/>
          <w:szCs w:val="24"/>
          <w:lang w:val="en"/>
        </w:rPr>
        <w:t>endeavors</w:t>
      </w:r>
      <w:r w:rsidRPr="00CA4CD6">
        <w:rPr>
          <w:rFonts w:ascii="Times New Roman" w:eastAsia="Calibri" w:hAnsi="Times New Roman" w:cs="Times New Roman"/>
          <w:bCs/>
          <w:sz w:val="24"/>
          <w:szCs w:val="24"/>
          <w:lang w:val="en"/>
        </w:rPr>
        <w:t xml:space="preserve"> will be crucial in improving Bangladesh's </w:t>
      </w:r>
      <w:r w:rsidR="00E86733">
        <w:rPr>
          <w:rFonts w:ascii="Times New Roman" w:eastAsia="Calibri" w:hAnsi="Times New Roman" w:cs="Times New Roman"/>
          <w:bCs/>
          <w:sz w:val="24"/>
          <w:szCs w:val="24"/>
          <w:lang w:val="en"/>
        </w:rPr>
        <w:t>global competitiveness,</w:t>
      </w:r>
      <w:r w:rsidRPr="00CA4CD6">
        <w:rPr>
          <w:rFonts w:ascii="Times New Roman" w:eastAsia="Calibri" w:hAnsi="Times New Roman" w:cs="Times New Roman"/>
          <w:bCs/>
          <w:sz w:val="24"/>
          <w:szCs w:val="24"/>
          <w:lang w:val="en"/>
        </w:rPr>
        <w:t xml:space="preserve"> guaranteeing that the economic contributions of foreign allies, including the USA, are completely achieved and maintained.</w:t>
      </w:r>
    </w:p>
    <w:p w:rsidR="00D41BD3" w:rsidRPr="00D41BD3" w:rsidRDefault="00D41BD3" w:rsidP="00F15F62">
      <w:pPr>
        <w:spacing w:line="360" w:lineRule="auto"/>
        <w:contextualSpacing/>
        <w:jc w:val="both"/>
        <w:rPr>
          <w:rFonts w:ascii="Times New Roman" w:eastAsia="Calibri" w:hAnsi="Times New Roman" w:cs="Times New Roman"/>
          <w:bCs/>
          <w:sz w:val="24"/>
          <w:szCs w:val="24"/>
          <w:lang w:val="en"/>
        </w:rPr>
      </w:pPr>
      <w:r w:rsidRPr="00D41BD3">
        <w:rPr>
          <w:rFonts w:ascii="Times New Roman" w:eastAsia="Calibri" w:hAnsi="Times New Roman" w:cs="Times New Roman"/>
          <w:bCs/>
          <w:sz w:val="24"/>
          <w:szCs w:val="24"/>
          <w:lang w:val="en"/>
        </w:rPr>
        <w:t xml:space="preserve">It is possible to recognize the United </w:t>
      </w:r>
      <w:proofErr w:type="spellStart"/>
      <w:r w:rsidRPr="00D41BD3">
        <w:rPr>
          <w:rFonts w:ascii="Times New Roman" w:eastAsia="Calibri" w:hAnsi="Times New Roman" w:cs="Times New Roman"/>
          <w:bCs/>
          <w:sz w:val="24"/>
          <w:szCs w:val="24"/>
          <w:lang w:val="en"/>
        </w:rPr>
        <w:t>States's</w:t>
      </w:r>
      <w:proofErr w:type="spellEnd"/>
      <w:r w:rsidRPr="00D41BD3">
        <w:rPr>
          <w:rFonts w:ascii="Times New Roman" w:eastAsia="Calibri" w:hAnsi="Times New Roman" w:cs="Times New Roman"/>
          <w:bCs/>
          <w:sz w:val="24"/>
          <w:szCs w:val="24"/>
          <w:lang w:val="en"/>
        </w:rPr>
        <w:t xml:space="preserve"> contribution, but </w:t>
      </w:r>
      <w:r w:rsidR="00E86733">
        <w:rPr>
          <w:rFonts w:ascii="Times New Roman" w:eastAsia="Calibri" w:hAnsi="Times New Roman" w:cs="Times New Roman"/>
          <w:bCs/>
          <w:sz w:val="24"/>
          <w:szCs w:val="24"/>
          <w:lang w:val="en"/>
        </w:rPr>
        <w:t>it</w:t>
      </w:r>
      <w:r w:rsidRPr="00D41BD3">
        <w:rPr>
          <w:rFonts w:ascii="Times New Roman" w:eastAsia="Calibri" w:hAnsi="Times New Roman" w:cs="Times New Roman"/>
          <w:bCs/>
          <w:sz w:val="24"/>
          <w:szCs w:val="24"/>
          <w:lang w:val="en"/>
        </w:rPr>
        <w:t xml:space="preserve"> needs to be investigated in greater depth. Positive international ties facilitate the development of prosperous economic policies between nations. People have more opportunities to improve their lives due to international relations, which stimulates travel for business purposes, tourism, and immigration. It is possible to </w:t>
      </w:r>
      <w:r w:rsidR="00E86733">
        <w:rPr>
          <w:rFonts w:ascii="Times New Roman" w:eastAsia="Calibri" w:hAnsi="Times New Roman" w:cs="Times New Roman"/>
          <w:bCs/>
          <w:sz w:val="24"/>
          <w:szCs w:val="24"/>
          <w:lang w:val="en"/>
        </w:rPr>
        <w:t>research</w:t>
      </w:r>
      <w:r w:rsidRPr="00D41BD3">
        <w:rPr>
          <w:rFonts w:ascii="Times New Roman" w:eastAsia="Calibri" w:hAnsi="Times New Roman" w:cs="Times New Roman"/>
          <w:bCs/>
          <w:sz w:val="24"/>
          <w:szCs w:val="24"/>
          <w:lang w:val="en"/>
        </w:rPr>
        <w:t xml:space="preserve"> on a much larger scale, which is not possible </w:t>
      </w:r>
      <w:r w:rsidR="00E86733">
        <w:rPr>
          <w:rFonts w:ascii="Times New Roman" w:eastAsia="Calibri" w:hAnsi="Times New Roman" w:cs="Times New Roman"/>
          <w:bCs/>
          <w:sz w:val="24"/>
          <w:szCs w:val="24"/>
          <w:lang w:val="en"/>
        </w:rPr>
        <w:t>now</w:t>
      </w:r>
      <w:r w:rsidRPr="00D41BD3">
        <w:rPr>
          <w:rFonts w:ascii="Times New Roman" w:eastAsia="Calibri" w:hAnsi="Times New Roman" w:cs="Times New Roman"/>
          <w:bCs/>
          <w:sz w:val="24"/>
          <w:szCs w:val="24"/>
          <w:lang w:val="en"/>
        </w:rPr>
        <w:t xml:space="preserve"> due to a lack of data. Also, this research suggests that the researchers should analyze the relation with more quantitative perspectives. Along with the USA, further studies can be conducted on the economic contributions of other economic superpowers worldwide, and the significance of new policies and changes can be identified.</w:t>
      </w:r>
    </w:p>
    <w:p w:rsidR="00D41BD3" w:rsidRPr="00D41BD3" w:rsidRDefault="00D41BD3" w:rsidP="00F15F62">
      <w:pPr>
        <w:spacing w:line="360" w:lineRule="auto"/>
        <w:contextualSpacing/>
        <w:jc w:val="both"/>
        <w:rPr>
          <w:rFonts w:ascii="Times New Roman" w:eastAsia="Calibri" w:hAnsi="Times New Roman" w:cs="Times New Roman"/>
          <w:bCs/>
          <w:lang w:val="en"/>
        </w:rPr>
      </w:pPr>
    </w:p>
    <w:p w:rsidR="00D41BD3" w:rsidRPr="00D41BD3" w:rsidRDefault="00CA4CD6" w:rsidP="00F15F62">
      <w:pPr>
        <w:numPr>
          <w:ilvl w:val="0"/>
          <w:numId w:val="1"/>
        </w:numPr>
        <w:spacing w:line="360" w:lineRule="auto"/>
        <w:contextualSpacing/>
        <w:jc w:val="both"/>
        <w:rPr>
          <w:rFonts w:ascii="Times New Roman" w:eastAsia="Calibri" w:hAnsi="Times New Roman" w:cs="Times New Roman"/>
          <w:b/>
          <w:sz w:val="24"/>
          <w:szCs w:val="24"/>
          <w:lang w:val="en"/>
        </w:rPr>
      </w:pPr>
      <w:r>
        <w:rPr>
          <w:rFonts w:ascii="Times New Roman" w:eastAsia="Calibri" w:hAnsi="Times New Roman" w:cs="Times New Roman"/>
          <w:b/>
          <w:sz w:val="24"/>
          <w:szCs w:val="24"/>
          <w:lang w:val="en"/>
        </w:rPr>
        <w:t xml:space="preserve">Policy </w:t>
      </w:r>
      <w:r w:rsidR="00E86733">
        <w:rPr>
          <w:rFonts w:ascii="Times New Roman" w:eastAsia="Calibri" w:hAnsi="Times New Roman" w:cs="Times New Roman"/>
          <w:b/>
          <w:sz w:val="24"/>
          <w:szCs w:val="24"/>
          <w:lang w:val="en"/>
        </w:rPr>
        <w:t>Recommendations</w:t>
      </w:r>
      <w:r>
        <w:rPr>
          <w:rFonts w:ascii="Times New Roman" w:eastAsia="Calibri" w:hAnsi="Times New Roman" w:cs="Times New Roman"/>
          <w:b/>
          <w:sz w:val="24"/>
          <w:szCs w:val="24"/>
          <w:lang w:val="en"/>
        </w:rPr>
        <w:t xml:space="preserve"> and </w:t>
      </w:r>
      <w:r w:rsidR="00D41BD3" w:rsidRPr="00D41BD3">
        <w:rPr>
          <w:rFonts w:ascii="Times New Roman" w:eastAsia="Calibri" w:hAnsi="Times New Roman" w:cs="Times New Roman"/>
          <w:b/>
          <w:sz w:val="24"/>
          <w:szCs w:val="24"/>
          <w:lang w:val="en"/>
        </w:rPr>
        <w:t xml:space="preserve">Conclusion </w:t>
      </w:r>
    </w:p>
    <w:p w:rsidR="00CA4CD6" w:rsidRPr="00CA4CD6" w:rsidRDefault="00CA4CD6" w:rsidP="00CA4CD6">
      <w:pPr>
        <w:spacing w:line="360" w:lineRule="auto"/>
        <w:jc w:val="both"/>
        <w:rPr>
          <w:rFonts w:ascii="Times New Roman" w:eastAsia="Calibri" w:hAnsi="Times New Roman" w:cs="Times New Roman"/>
          <w:sz w:val="24"/>
          <w:szCs w:val="24"/>
        </w:rPr>
      </w:pPr>
      <w:r w:rsidRPr="00CA4CD6">
        <w:rPr>
          <w:rFonts w:ascii="Times New Roman" w:eastAsia="Calibri" w:hAnsi="Times New Roman" w:cs="Times New Roman"/>
          <w:sz w:val="24"/>
          <w:szCs w:val="24"/>
        </w:rPr>
        <w:t xml:space="preserve">Based on the research findings, it is crucial for policymakers in Bangladesh to strategically strengthen and expand the economic ties with the United States. This can be accomplished by adopting a dual approach </w:t>
      </w:r>
      <w:r w:rsidR="00E86733">
        <w:rPr>
          <w:rFonts w:ascii="Times New Roman" w:eastAsia="Calibri" w:hAnsi="Times New Roman" w:cs="Times New Roman"/>
          <w:sz w:val="24"/>
          <w:szCs w:val="24"/>
        </w:rPr>
        <w:t>emphasizing</w:t>
      </w:r>
      <w:r w:rsidRPr="00CA4CD6">
        <w:rPr>
          <w:rFonts w:ascii="Times New Roman" w:eastAsia="Calibri" w:hAnsi="Times New Roman" w:cs="Times New Roman"/>
          <w:sz w:val="24"/>
          <w:szCs w:val="24"/>
        </w:rPr>
        <w:t xml:space="preserve"> macroeconomic and sector-specific solutions. At the macroeconomic level, policymakers should actively participate in negotiating comprehensive trade agreements that not only guarantee beneficial economic advantages but also foster long-term stability and resilience in bilateral trade ties. These agreements should be crafted </w:t>
      </w:r>
      <w:r w:rsidR="00E86733">
        <w:rPr>
          <w:rFonts w:ascii="Times New Roman" w:eastAsia="Calibri" w:hAnsi="Times New Roman" w:cs="Times New Roman"/>
          <w:sz w:val="24"/>
          <w:szCs w:val="24"/>
        </w:rPr>
        <w:t>to represent current global trade dynamics accurately</w:t>
      </w:r>
      <w:r w:rsidRPr="00CA4CD6">
        <w:rPr>
          <w:rFonts w:ascii="Times New Roman" w:eastAsia="Calibri" w:hAnsi="Times New Roman" w:cs="Times New Roman"/>
          <w:sz w:val="24"/>
          <w:szCs w:val="24"/>
        </w:rPr>
        <w:t xml:space="preserve"> and include provisions that tackle new economic concerns.</w:t>
      </w:r>
    </w:p>
    <w:p w:rsidR="00CA4CD6" w:rsidRDefault="00CA4CD6" w:rsidP="00F15F62">
      <w:pPr>
        <w:spacing w:line="360" w:lineRule="auto"/>
        <w:jc w:val="both"/>
        <w:rPr>
          <w:rFonts w:ascii="Times New Roman" w:eastAsia="Calibri" w:hAnsi="Times New Roman" w:cs="Times New Roman"/>
          <w:sz w:val="24"/>
          <w:szCs w:val="24"/>
        </w:rPr>
      </w:pPr>
      <w:r w:rsidRPr="00CA4CD6">
        <w:rPr>
          <w:rFonts w:ascii="Times New Roman" w:eastAsia="Calibri" w:hAnsi="Times New Roman" w:cs="Times New Roman"/>
          <w:sz w:val="24"/>
          <w:szCs w:val="24"/>
        </w:rPr>
        <w:t xml:space="preserve">It is advisable to create focused investment promotion plans to attract investments from the United States in areas with high development potential, such as technology, renewable energy, and manufacturing. This requires the creation of a regulatory framework that is clear, consistent, and in line with global standards, hence </w:t>
      </w:r>
      <w:r w:rsidR="00E86733">
        <w:rPr>
          <w:rFonts w:ascii="Times New Roman" w:eastAsia="Calibri" w:hAnsi="Times New Roman" w:cs="Times New Roman"/>
          <w:sz w:val="24"/>
          <w:szCs w:val="24"/>
        </w:rPr>
        <w:t>minimizing</w:t>
      </w:r>
      <w:r w:rsidRPr="00CA4CD6">
        <w:rPr>
          <w:rFonts w:ascii="Times New Roman" w:eastAsia="Calibri" w:hAnsi="Times New Roman" w:cs="Times New Roman"/>
          <w:sz w:val="24"/>
          <w:szCs w:val="24"/>
        </w:rPr>
        <w:t xml:space="preserve"> obstacles for prospective participants and i</w:t>
      </w:r>
      <w:r>
        <w:rPr>
          <w:rFonts w:ascii="Times New Roman" w:eastAsia="Calibri" w:hAnsi="Times New Roman" w:cs="Times New Roman"/>
          <w:sz w:val="24"/>
          <w:szCs w:val="24"/>
        </w:rPr>
        <w:t xml:space="preserve">ncreasing trust from investors. </w:t>
      </w:r>
      <w:r w:rsidRPr="00CA4CD6">
        <w:rPr>
          <w:rFonts w:ascii="Times New Roman" w:eastAsia="Calibri" w:hAnsi="Times New Roman" w:cs="Times New Roman"/>
          <w:sz w:val="24"/>
          <w:szCs w:val="24"/>
        </w:rPr>
        <w:t xml:space="preserve">Moreover, it is crucial to implement legislative measures that promote innovation and strengthen the ability of the local economy to absorb new ideas and technologies. Integration of Bangladesh into global economic networks can be accomplished by </w:t>
      </w:r>
      <w:r w:rsidR="00E86733">
        <w:rPr>
          <w:rFonts w:ascii="Times New Roman" w:eastAsia="Calibri" w:hAnsi="Times New Roman" w:cs="Times New Roman"/>
          <w:sz w:val="24"/>
          <w:szCs w:val="24"/>
        </w:rPr>
        <w:t>investing</w:t>
      </w:r>
      <w:r w:rsidRPr="00CA4CD6">
        <w:rPr>
          <w:rFonts w:ascii="Times New Roman" w:eastAsia="Calibri" w:hAnsi="Times New Roman" w:cs="Times New Roman"/>
          <w:sz w:val="24"/>
          <w:szCs w:val="24"/>
        </w:rPr>
        <w:t xml:space="preserve"> in education, research and development, and infrastructure, all of which are crucial. By establishing a strong and diverse system that fosters creativity and the development of skills, Bangladesh may not only attract increased levels of investment from the United States but also guarantee that these investments </w:t>
      </w:r>
      <w:r w:rsidR="00E86733">
        <w:rPr>
          <w:rFonts w:ascii="Times New Roman" w:eastAsia="Calibri" w:hAnsi="Times New Roman" w:cs="Times New Roman"/>
          <w:sz w:val="24"/>
          <w:szCs w:val="24"/>
        </w:rPr>
        <w:t>significantly and positively impact</w:t>
      </w:r>
      <w:r w:rsidRPr="00CA4CD6">
        <w:rPr>
          <w:rFonts w:ascii="Times New Roman" w:eastAsia="Calibri" w:hAnsi="Times New Roman" w:cs="Times New Roman"/>
          <w:sz w:val="24"/>
          <w:szCs w:val="24"/>
        </w:rPr>
        <w:t xml:space="preserve"> the country's long-term economic growth.</w:t>
      </w:r>
    </w:p>
    <w:p w:rsidR="006A11D8" w:rsidRPr="00D9190C" w:rsidRDefault="00D41BD3" w:rsidP="00F15F62">
      <w:pPr>
        <w:spacing w:line="360" w:lineRule="auto"/>
        <w:jc w:val="both"/>
        <w:rPr>
          <w:rFonts w:ascii="Times New Roman" w:eastAsia="Calibri" w:hAnsi="Times New Roman" w:cs="Times New Roman"/>
          <w:sz w:val="24"/>
          <w:szCs w:val="24"/>
        </w:rPr>
      </w:pPr>
      <w:r w:rsidRPr="00D41BD3">
        <w:rPr>
          <w:rFonts w:ascii="Times New Roman" w:eastAsia="Calibri" w:hAnsi="Times New Roman" w:cs="Times New Roman"/>
          <w:sz w:val="24"/>
          <w:szCs w:val="24"/>
        </w:rPr>
        <w:t xml:space="preserve">The study investigates the bilateral economic relationship between the USA and Bangladesh. It also verifies the USA's </w:t>
      </w:r>
      <w:r w:rsidR="00E86733">
        <w:rPr>
          <w:rFonts w:ascii="Times New Roman" w:eastAsia="Calibri" w:hAnsi="Times New Roman" w:cs="Times New Roman"/>
          <w:sz w:val="24"/>
          <w:szCs w:val="24"/>
        </w:rPr>
        <w:t>financial</w:t>
      </w:r>
      <w:r w:rsidRPr="00D41BD3">
        <w:rPr>
          <w:rFonts w:ascii="Times New Roman" w:eastAsia="Calibri" w:hAnsi="Times New Roman" w:cs="Times New Roman"/>
          <w:sz w:val="24"/>
          <w:szCs w:val="24"/>
        </w:rPr>
        <w:t xml:space="preserve"> contribution to Bangladesh regarding Foreign AID, FDI, Remittance inflows, and Import-Export trade-offs. The study reveals that the USA contributed to Bangladesh's economy by giving FDI. A considerable amount of FDI inflows in 2015, which was 573.77 million USD. It is the highest amount of FDI received from the USA </w:t>
      </w:r>
      <w:r w:rsidR="00E86733">
        <w:rPr>
          <w:rFonts w:ascii="Times New Roman" w:eastAsia="Calibri" w:hAnsi="Times New Roman" w:cs="Times New Roman"/>
          <w:sz w:val="24"/>
          <w:szCs w:val="24"/>
        </w:rPr>
        <w:t>annually</w:t>
      </w:r>
      <w:r w:rsidRPr="00D41BD3">
        <w:rPr>
          <w:rFonts w:ascii="Times New Roman" w:eastAsia="Calibri" w:hAnsi="Times New Roman" w:cs="Times New Roman"/>
          <w:sz w:val="24"/>
          <w:szCs w:val="24"/>
        </w:rPr>
        <w:t xml:space="preserve">. In the year after the election in 2014 in Bangladesh, this amount surely helped Bangladesh expand economically. However, further studies may be done on the reasons behind this notable rise </w:t>
      </w:r>
      <w:r w:rsidR="00E86733">
        <w:rPr>
          <w:rFonts w:ascii="Times New Roman" w:eastAsia="Calibri" w:hAnsi="Times New Roman" w:cs="Times New Roman"/>
          <w:sz w:val="24"/>
          <w:szCs w:val="24"/>
        </w:rPr>
        <w:t>in</w:t>
      </w:r>
      <w:r w:rsidRPr="00D41BD3">
        <w:rPr>
          <w:rFonts w:ascii="Times New Roman" w:eastAsia="Calibri" w:hAnsi="Times New Roman" w:cs="Times New Roman"/>
          <w:sz w:val="24"/>
          <w:szCs w:val="24"/>
        </w:rPr>
        <w:t xml:space="preserve"> FDI that year. This study also shows the direct contribution of the USA to foreign aid, which is </w:t>
      </w:r>
      <w:r w:rsidR="00E86733">
        <w:rPr>
          <w:rFonts w:ascii="Times New Roman" w:eastAsia="Calibri" w:hAnsi="Times New Roman" w:cs="Times New Roman"/>
          <w:sz w:val="24"/>
          <w:szCs w:val="24"/>
        </w:rPr>
        <w:t xml:space="preserve">at a </w:t>
      </w:r>
      <w:r w:rsidR="00E86733">
        <w:rPr>
          <w:rFonts w:ascii="Times New Roman" w:eastAsia="Calibri" w:hAnsi="Times New Roman" w:cs="Times New Roman"/>
          <w:sz w:val="24"/>
          <w:szCs w:val="24"/>
        </w:rPr>
        <w:lastRenderedPageBreak/>
        <w:t>lower</w:t>
      </w:r>
      <w:r w:rsidRPr="00D41BD3">
        <w:rPr>
          <w:rFonts w:ascii="Times New Roman" w:eastAsia="Calibri" w:hAnsi="Times New Roman" w:cs="Times New Roman"/>
          <w:sz w:val="24"/>
          <w:szCs w:val="24"/>
        </w:rPr>
        <w:t xml:space="preserve"> level compared to other countries like Japan, Russia, and China in the last 15 years. Some questions arise in this segment; Bangladesh expects to receive much foreign aid from her ally because the USA is one of the economically strong countries. This paper is highly focused on the import-export between the two countries, as Bangladesh's cash reserve expects more USD. This paper notes that the import-export trade-off between the USA and Bangladesh benefits Bangladesh. The USA imports several times, and then it exports to Bangladesh. Thus, Bangladesh receives a high amount of USD yearly</w:t>
      </w:r>
      <w:r w:rsidR="00E86733">
        <w:rPr>
          <w:rFonts w:ascii="Times New Roman" w:eastAsia="Calibri" w:hAnsi="Times New Roman" w:cs="Times New Roman"/>
          <w:sz w:val="24"/>
          <w:szCs w:val="24"/>
        </w:rPr>
        <w:t>,</w:t>
      </w:r>
      <w:r w:rsidRPr="00D41BD3">
        <w:rPr>
          <w:rFonts w:ascii="Times New Roman" w:eastAsia="Calibri" w:hAnsi="Times New Roman" w:cs="Times New Roman"/>
          <w:sz w:val="24"/>
          <w:szCs w:val="24"/>
        </w:rPr>
        <w:t xml:space="preserve"> with an increasing trend. Also, during the pandemic, it did not change. The import-export trend gap is seen to be increasing every year. This signifies the importance of the friendly relationship between the USA and Bangladesh. Bangladesh receives remittances, which are a financial weapon for its survival. The USA is the third country inflowed by remittance in FY2019-20 and the second highest remittance provider in 2022 (Jan-May). In the post-pandemic condition, these remittance inflows are one of Bangladesh's most significant resources. Before the pandemic, the USA played </w:t>
      </w:r>
      <w:r w:rsidR="00E86733">
        <w:rPr>
          <w:rFonts w:ascii="Times New Roman" w:eastAsia="Calibri" w:hAnsi="Times New Roman" w:cs="Times New Roman"/>
          <w:sz w:val="24"/>
          <w:szCs w:val="24"/>
        </w:rPr>
        <w:t>an important</w:t>
      </w:r>
      <w:r w:rsidRPr="00D41BD3">
        <w:rPr>
          <w:rFonts w:ascii="Times New Roman" w:eastAsia="Calibri" w:hAnsi="Times New Roman" w:cs="Times New Roman"/>
          <w:sz w:val="24"/>
          <w:szCs w:val="24"/>
        </w:rPr>
        <w:t xml:space="preserve"> role in this segment. </w:t>
      </w:r>
      <w:r w:rsidR="00E86733">
        <w:rPr>
          <w:rFonts w:ascii="Times New Roman" w:eastAsia="Calibri" w:hAnsi="Times New Roman" w:cs="Times New Roman"/>
          <w:sz w:val="24"/>
          <w:szCs w:val="24"/>
        </w:rPr>
        <w:t>The</w:t>
      </w:r>
      <w:r w:rsidRPr="00D41BD3">
        <w:rPr>
          <w:rFonts w:ascii="Times New Roman" w:eastAsia="Calibri" w:hAnsi="Times New Roman" w:cs="Times New Roman"/>
          <w:sz w:val="24"/>
          <w:szCs w:val="24"/>
        </w:rPr>
        <w:t xml:space="preserve"> United States' economic impact on Bangladesh is </w:t>
      </w:r>
      <w:r w:rsidR="00E86733">
        <w:rPr>
          <w:rFonts w:ascii="Times New Roman" w:eastAsia="Calibri" w:hAnsi="Times New Roman" w:cs="Times New Roman"/>
          <w:sz w:val="24"/>
          <w:szCs w:val="24"/>
        </w:rPr>
        <w:t>substantial</w:t>
      </w:r>
      <w:r w:rsidRPr="00D41BD3">
        <w:rPr>
          <w:rFonts w:ascii="Times New Roman" w:eastAsia="Calibri" w:hAnsi="Times New Roman" w:cs="Times New Roman"/>
          <w:sz w:val="24"/>
          <w:szCs w:val="24"/>
        </w:rPr>
        <w:t xml:space="preserve"> and cannot be ignored. </w:t>
      </w:r>
      <w:bookmarkStart w:id="1" w:name="_Hlk163693540"/>
      <w:r w:rsidR="00E86733">
        <w:rPr>
          <w:rFonts w:ascii="Times New Roman" w:eastAsia="Calibri" w:hAnsi="Times New Roman" w:cs="Times New Roman"/>
          <w:sz w:val="24"/>
          <w:szCs w:val="24"/>
        </w:rPr>
        <w:t>To</w:t>
      </w:r>
      <w:r w:rsidRPr="00D41BD3">
        <w:rPr>
          <w:rFonts w:ascii="Times New Roman" w:eastAsia="Calibri" w:hAnsi="Times New Roman" w:cs="Times New Roman"/>
          <w:sz w:val="24"/>
          <w:szCs w:val="24"/>
        </w:rPr>
        <w:t xml:space="preserve"> keep the wheels of the economy turning, it is necessary to strengthen diplomatic and commercial relations with the world's economic superpowers.</w:t>
      </w:r>
      <w:bookmarkEnd w:id="1"/>
      <w:r w:rsidRPr="00D41BD3">
        <w:rPr>
          <w:rFonts w:ascii="Times New Roman" w:eastAsia="Calibri" w:hAnsi="Times New Roman" w:cs="Times New Roman"/>
          <w:sz w:val="24"/>
          <w:szCs w:val="24"/>
        </w:rPr>
        <w:t xml:space="preserve"> To achieve this goal, it is essential to emphasize the economic significance of the cordial </w:t>
      </w:r>
      <w:r w:rsidR="00E86733">
        <w:rPr>
          <w:rFonts w:ascii="Times New Roman" w:eastAsia="Calibri" w:hAnsi="Times New Roman" w:cs="Times New Roman"/>
          <w:sz w:val="24"/>
          <w:szCs w:val="24"/>
        </w:rPr>
        <w:t>ties</w:t>
      </w:r>
      <w:r w:rsidRPr="00D41BD3">
        <w:rPr>
          <w:rFonts w:ascii="Times New Roman" w:eastAsia="Calibri" w:hAnsi="Times New Roman" w:cs="Times New Roman"/>
          <w:sz w:val="24"/>
          <w:szCs w:val="24"/>
        </w:rPr>
        <w:t xml:space="preserve"> betw</w:t>
      </w:r>
      <w:r w:rsidR="00D9190C">
        <w:rPr>
          <w:rFonts w:ascii="Times New Roman" w:eastAsia="Calibri" w:hAnsi="Times New Roman" w:cs="Times New Roman"/>
          <w:sz w:val="24"/>
          <w:szCs w:val="24"/>
        </w:rPr>
        <w:t>een certain nations and others.</w:t>
      </w:r>
    </w:p>
    <w:p w:rsidR="006A11D8" w:rsidRDefault="006A11D8" w:rsidP="00F15F62">
      <w:pPr>
        <w:spacing w:line="360" w:lineRule="auto"/>
        <w:jc w:val="both"/>
        <w:rPr>
          <w:rFonts w:ascii="Times New Roman" w:hAnsi="Times New Roman" w:cs="Times New Roman"/>
          <w:sz w:val="24"/>
          <w:szCs w:val="24"/>
        </w:rPr>
      </w:pPr>
    </w:p>
    <w:p w:rsidR="006A11D8" w:rsidRDefault="006A11D8" w:rsidP="00F15F62">
      <w:pPr>
        <w:spacing w:line="360" w:lineRule="auto"/>
        <w:jc w:val="both"/>
        <w:rPr>
          <w:rFonts w:ascii="Times New Roman" w:hAnsi="Times New Roman" w:cs="Times New Roman"/>
          <w:sz w:val="24"/>
          <w:szCs w:val="24"/>
        </w:rPr>
      </w:pPr>
    </w:p>
    <w:p w:rsidR="006A11D8" w:rsidRDefault="006A11D8" w:rsidP="00F15F62">
      <w:pPr>
        <w:spacing w:line="360" w:lineRule="auto"/>
        <w:jc w:val="both"/>
        <w:rPr>
          <w:rFonts w:ascii="Times New Roman" w:hAnsi="Times New Roman" w:cs="Times New Roman"/>
          <w:sz w:val="24"/>
          <w:szCs w:val="24"/>
        </w:rPr>
      </w:pPr>
    </w:p>
    <w:p w:rsidR="006A11D8" w:rsidRDefault="006A11D8" w:rsidP="00F15F62">
      <w:pPr>
        <w:spacing w:line="360" w:lineRule="auto"/>
        <w:jc w:val="both"/>
        <w:rPr>
          <w:rFonts w:ascii="Times New Roman" w:hAnsi="Times New Roman" w:cs="Times New Roman"/>
          <w:sz w:val="24"/>
          <w:szCs w:val="24"/>
        </w:rPr>
      </w:pPr>
    </w:p>
    <w:p w:rsidR="00D9190C" w:rsidRDefault="00D9190C" w:rsidP="00F15F62">
      <w:pPr>
        <w:spacing w:line="360" w:lineRule="auto"/>
        <w:jc w:val="both"/>
        <w:rPr>
          <w:rFonts w:ascii="Times New Roman" w:hAnsi="Times New Roman" w:cs="Times New Roman"/>
          <w:sz w:val="24"/>
          <w:szCs w:val="24"/>
        </w:rPr>
      </w:pPr>
    </w:p>
    <w:p w:rsidR="00D9190C" w:rsidRDefault="00D9190C" w:rsidP="00F15F62">
      <w:pPr>
        <w:spacing w:line="360" w:lineRule="auto"/>
        <w:jc w:val="both"/>
        <w:rPr>
          <w:rFonts w:ascii="Times New Roman" w:hAnsi="Times New Roman" w:cs="Times New Roman"/>
          <w:sz w:val="24"/>
          <w:szCs w:val="24"/>
        </w:rPr>
      </w:pPr>
    </w:p>
    <w:p w:rsidR="00D9190C" w:rsidRDefault="00D9190C" w:rsidP="00F15F62">
      <w:pPr>
        <w:spacing w:line="360" w:lineRule="auto"/>
        <w:jc w:val="both"/>
        <w:rPr>
          <w:rFonts w:ascii="Times New Roman" w:hAnsi="Times New Roman" w:cs="Times New Roman"/>
          <w:sz w:val="24"/>
          <w:szCs w:val="24"/>
        </w:rPr>
      </w:pPr>
    </w:p>
    <w:p w:rsidR="00CA4CD6" w:rsidRDefault="00CA4CD6" w:rsidP="00F15F62">
      <w:pPr>
        <w:spacing w:line="360" w:lineRule="auto"/>
        <w:jc w:val="both"/>
        <w:rPr>
          <w:rFonts w:ascii="Times New Roman" w:hAnsi="Times New Roman" w:cs="Times New Roman"/>
          <w:sz w:val="24"/>
          <w:szCs w:val="24"/>
        </w:rPr>
      </w:pPr>
    </w:p>
    <w:p w:rsidR="00CA4CD6" w:rsidRDefault="00CA4CD6" w:rsidP="00F15F62">
      <w:pPr>
        <w:spacing w:line="360" w:lineRule="auto"/>
        <w:jc w:val="both"/>
        <w:rPr>
          <w:rFonts w:ascii="Times New Roman" w:hAnsi="Times New Roman" w:cs="Times New Roman"/>
          <w:sz w:val="24"/>
          <w:szCs w:val="24"/>
        </w:rPr>
      </w:pPr>
    </w:p>
    <w:p w:rsidR="00F721C5" w:rsidRDefault="00F721C5" w:rsidP="00F15F62">
      <w:pPr>
        <w:spacing w:line="360" w:lineRule="auto"/>
        <w:jc w:val="both"/>
        <w:rPr>
          <w:rFonts w:ascii="Times New Roman" w:hAnsi="Times New Roman" w:cs="Times New Roman"/>
          <w:sz w:val="24"/>
          <w:szCs w:val="24"/>
        </w:rPr>
      </w:pPr>
    </w:p>
    <w:p w:rsidR="006A11D8" w:rsidRPr="00D9190C" w:rsidRDefault="006A11D8" w:rsidP="00F15F62">
      <w:pPr>
        <w:spacing w:line="360" w:lineRule="auto"/>
        <w:jc w:val="both"/>
        <w:rPr>
          <w:rFonts w:ascii="Times New Roman" w:hAnsi="Times New Roman" w:cs="Times New Roman"/>
          <w:b/>
          <w:sz w:val="24"/>
          <w:szCs w:val="24"/>
        </w:rPr>
      </w:pPr>
      <w:r w:rsidRPr="00D9190C">
        <w:rPr>
          <w:rFonts w:ascii="Times New Roman" w:hAnsi="Times New Roman" w:cs="Times New Roman"/>
          <w:b/>
          <w:sz w:val="24"/>
          <w:szCs w:val="24"/>
        </w:rPr>
        <w:lastRenderedPageBreak/>
        <w:t xml:space="preserve">Reference </w:t>
      </w:r>
    </w:p>
    <w:p w:rsidR="00CA4CD6" w:rsidRPr="00CA4CD6" w:rsidRDefault="006A11D8"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Mendeley Bibliography CSL_BIBLIOGRAPHY </w:instrText>
      </w:r>
      <w:r>
        <w:rPr>
          <w:rFonts w:ascii="Times New Roman" w:hAnsi="Times New Roman" w:cs="Times New Roman"/>
          <w:sz w:val="24"/>
          <w:szCs w:val="24"/>
        </w:rPr>
        <w:fldChar w:fldCharType="separate"/>
      </w:r>
      <w:r w:rsidR="00CA4CD6" w:rsidRPr="00CA4CD6">
        <w:rPr>
          <w:rFonts w:ascii="Times New Roman" w:hAnsi="Times New Roman" w:cs="Times New Roman"/>
          <w:noProof/>
          <w:sz w:val="24"/>
          <w:szCs w:val="24"/>
        </w:rPr>
        <w:t xml:space="preserve">Agosin, M. R., &amp; Machado, R. (2005). Foreign investment in developing countries: Does it crowd in domestic investment? </w:t>
      </w:r>
      <w:r w:rsidR="00CA4CD6" w:rsidRPr="00CA4CD6">
        <w:rPr>
          <w:rFonts w:ascii="Times New Roman" w:hAnsi="Times New Roman" w:cs="Times New Roman"/>
          <w:i/>
          <w:iCs/>
          <w:noProof/>
          <w:sz w:val="24"/>
          <w:szCs w:val="24"/>
        </w:rPr>
        <w:t>Oxford Development Studies</w:t>
      </w:r>
      <w:r w:rsidR="00CA4CD6" w:rsidRPr="00CA4CD6">
        <w:rPr>
          <w:rFonts w:ascii="Times New Roman" w:hAnsi="Times New Roman" w:cs="Times New Roman"/>
          <w:noProof/>
          <w:sz w:val="24"/>
          <w:szCs w:val="24"/>
        </w:rPr>
        <w:t xml:space="preserve">, </w:t>
      </w:r>
      <w:r w:rsidR="00CA4CD6" w:rsidRPr="00CA4CD6">
        <w:rPr>
          <w:rFonts w:ascii="Times New Roman" w:hAnsi="Times New Roman" w:cs="Times New Roman"/>
          <w:i/>
          <w:iCs/>
          <w:noProof/>
          <w:sz w:val="24"/>
          <w:szCs w:val="24"/>
        </w:rPr>
        <w:t>33</w:t>
      </w:r>
      <w:r w:rsidR="00CA4CD6" w:rsidRPr="00CA4CD6">
        <w:rPr>
          <w:rFonts w:ascii="Times New Roman" w:hAnsi="Times New Roman" w:cs="Times New Roman"/>
          <w:noProof/>
          <w:sz w:val="24"/>
          <w:szCs w:val="24"/>
        </w:rPr>
        <w:t>(2), 149–162. https://doi.org/10.1080/13600810500137749</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Alfieri, A. and H. ivo. (2006). DEFINITION OF REMITTANCES. In </w:t>
      </w:r>
      <w:r w:rsidRPr="00CA4CD6">
        <w:rPr>
          <w:rFonts w:ascii="Times New Roman" w:hAnsi="Times New Roman" w:cs="Times New Roman"/>
          <w:i/>
          <w:iCs/>
          <w:noProof/>
          <w:sz w:val="24"/>
          <w:szCs w:val="24"/>
        </w:rPr>
        <w:t>United Nations Statistics Division</w:t>
      </w:r>
      <w:r w:rsidRPr="00CA4CD6">
        <w:rPr>
          <w:rFonts w:ascii="Times New Roman" w:hAnsi="Times New Roman" w:cs="Times New Roman"/>
          <w:noProof/>
          <w:sz w:val="24"/>
          <w:szCs w:val="24"/>
        </w:rPr>
        <w:t xml:space="preserve"> (Vol. 14, Issue May). www.NRHArural.org</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Ali, S., Rukunujjaman, M., &amp; Alam, K. J. (2015). An Empirical Analysis of Foreign Direct Investment and Economic Growth in Bangladesh. </w:t>
      </w:r>
      <w:r w:rsidRPr="00CA4CD6">
        <w:rPr>
          <w:rFonts w:ascii="Times New Roman" w:hAnsi="Times New Roman" w:cs="Times New Roman"/>
          <w:i/>
          <w:iCs/>
          <w:noProof/>
          <w:sz w:val="24"/>
          <w:szCs w:val="24"/>
        </w:rPr>
        <w:t>International Journal of Business and Economics Research</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4</w:t>
      </w:r>
      <w:r w:rsidRPr="00CA4CD6">
        <w:rPr>
          <w:rFonts w:ascii="Times New Roman" w:hAnsi="Times New Roman" w:cs="Times New Roman"/>
          <w:noProof/>
          <w:sz w:val="24"/>
          <w:szCs w:val="24"/>
        </w:rPr>
        <w:t>(1), 1. https://doi.org/10.11648/j.ijber.20150401.11</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Bangladesh Bank. (2020). </w:t>
      </w:r>
      <w:r w:rsidRPr="00CA4CD6">
        <w:rPr>
          <w:rFonts w:ascii="Times New Roman" w:hAnsi="Times New Roman" w:cs="Times New Roman"/>
          <w:i/>
          <w:iCs/>
          <w:noProof/>
          <w:sz w:val="24"/>
          <w:szCs w:val="24"/>
        </w:rPr>
        <w:t>Quarterly Report on Remittance Inflows Migration and Inflow of Remittances : July-September</w:t>
      </w:r>
      <w:r w:rsidRPr="00CA4CD6">
        <w:rPr>
          <w:rFonts w:ascii="Times New Roman" w:hAnsi="Times New Roman" w:cs="Times New Roman"/>
          <w:noProof/>
          <w:sz w:val="24"/>
          <w:szCs w:val="24"/>
        </w:rPr>
        <w:t xml:space="preserve"> (Issue September). https://www.bb.org.bd/pub/quaterly/remittance_earnings/jul-sep2020.pdf</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Casetti, E. (2003). Power Shifts and Economic Development: When Will China Overtake the USA? </w:t>
      </w:r>
      <w:r w:rsidRPr="00CA4CD6">
        <w:rPr>
          <w:rFonts w:ascii="Times New Roman" w:hAnsi="Times New Roman" w:cs="Times New Roman"/>
          <w:i/>
          <w:iCs/>
          <w:noProof/>
          <w:sz w:val="24"/>
          <w:szCs w:val="24"/>
        </w:rPr>
        <w:t>Journal of Peace Research</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40</w:t>
      </w:r>
      <w:r w:rsidRPr="00CA4CD6">
        <w:rPr>
          <w:rFonts w:ascii="Times New Roman" w:hAnsi="Times New Roman" w:cs="Times New Roman"/>
          <w:noProof/>
          <w:sz w:val="24"/>
          <w:szCs w:val="24"/>
        </w:rPr>
        <w:t>(6), 661–675. https://doi.org/10.1177/00223433030406003</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Chowdhury, M. B. (2011). Remittances flow and financial development in Bangladesh. </w:t>
      </w:r>
      <w:r w:rsidRPr="00CA4CD6">
        <w:rPr>
          <w:rFonts w:ascii="Times New Roman" w:hAnsi="Times New Roman" w:cs="Times New Roman"/>
          <w:i/>
          <w:iCs/>
          <w:noProof/>
          <w:sz w:val="24"/>
          <w:szCs w:val="24"/>
        </w:rPr>
        <w:t>Economic Modelling</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28</w:t>
      </w:r>
      <w:r w:rsidRPr="00CA4CD6">
        <w:rPr>
          <w:rFonts w:ascii="Times New Roman" w:hAnsi="Times New Roman" w:cs="Times New Roman"/>
          <w:noProof/>
          <w:sz w:val="24"/>
          <w:szCs w:val="24"/>
        </w:rPr>
        <w:t>(6), 2600–2608. https://doi.org/10.1016/j.econmod.2011.07.013</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Das, A., &amp; Chowdhury, M. (2019). Macroeconomic impacts of remittances in Bangladesh: The role of reverse flows. </w:t>
      </w:r>
      <w:r w:rsidRPr="00CA4CD6">
        <w:rPr>
          <w:rFonts w:ascii="Times New Roman" w:hAnsi="Times New Roman" w:cs="Times New Roman"/>
          <w:i/>
          <w:iCs/>
          <w:noProof/>
          <w:sz w:val="24"/>
          <w:szCs w:val="24"/>
        </w:rPr>
        <w:t>Economic Notes</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48</w:t>
      </w:r>
      <w:r w:rsidRPr="00CA4CD6">
        <w:rPr>
          <w:rFonts w:ascii="Times New Roman" w:hAnsi="Times New Roman" w:cs="Times New Roman"/>
          <w:noProof/>
          <w:sz w:val="24"/>
          <w:szCs w:val="24"/>
        </w:rPr>
        <w:t>(3). https://doi.org/10.1111/ecno.12139</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Denisia, V. (2010). Foreign Direct Investment Theories: An Overview of the Main FDI Theories. </w:t>
      </w:r>
      <w:r w:rsidRPr="00CA4CD6">
        <w:rPr>
          <w:rFonts w:ascii="Times New Roman" w:hAnsi="Times New Roman" w:cs="Times New Roman"/>
          <w:i/>
          <w:iCs/>
          <w:noProof/>
          <w:sz w:val="24"/>
          <w:szCs w:val="24"/>
        </w:rPr>
        <w:t>European Journal of Interdisciplinary Studies</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2</w:t>
      </w:r>
      <w:r w:rsidRPr="00CA4CD6">
        <w:rPr>
          <w:rFonts w:ascii="Times New Roman" w:hAnsi="Times New Roman" w:cs="Times New Roman"/>
          <w:noProof/>
          <w:sz w:val="24"/>
          <w:szCs w:val="24"/>
        </w:rPr>
        <w:t>(2), 104–110.</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Gazi, M. A. I. (2021). Foreign Trade; An Analysis of Bilateral Trade between Bangladesh and China. </w:t>
      </w:r>
      <w:r w:rsidRPr="00CA4CD6">
        <w:rPr>
          <w:rFonts w:ascii="Times New Roman" w:hAnsi="Times New Roman" w:cs="Times New Roman"/>
          <w:i/>
          <w:iCs/>
          <w:noProof/>
          <w:sz w:val="24"/>
          <w:szCs w:val="24"/>
        </w:rPr>
        <w:t>International Journal of Information, Business and Management</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13</w:t>
      </w:r>
      <w:r w:rsidRPr="00CA4CD6">
        <w:rPr>
          <w:rFonts w:ascii="Times New Roman" w:hAnsi="Times New Roman" w:cs="Times New Roman"/>
          <w:noProof/>
          <w:sz w:val="24"/>
          <w:szCs w:val="24"/>
        </w:rPr>
        <w:t>(1), 93–106. https://www.researchgate.net/publication/349173766</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Griffith, D. A., &amp; Yalcinkaya, G. (2023). The power of institutions on international marketing: reflections on the COVID-19 pandemic can inform international marketing activities. </w:t>
      </w:r>
      <w:r w:rsidRPr="00CA4CD6">
        <w:rPr>
          <w:rFonts w:ascii="Times New Roman" w:hAnsi="Times New Roman" w:cs="Times New Roman"/>
          <w:i/>
          <w:iCs/>
          <w:noProof/>
          <w:sz w:val="24"/>
          <w:szCs w:val="24"/>
        </w:rPr>
        <w:t>International Marketing Review</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40</w:t>
      </w:r>
      <w:r w:rsidRPr="00CA4CD6">
        <w:rPr>
          <w:rFonts w:ascii="Times New Roman" w:hAnsi="Times New Roman" w:cs="Times New Roman"/>
          <w:noProof/>
          <w:sz w:val="24"/>
          <w:szCs w:val="24"/>
        </w:rPr>
        <w:t>(5), 957–980.</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lastRenderedPageBreak/>
        <w:t xml:space="preserve">Haque, M., &amp; Islam, M. A. (2014). Bangladesh-United States relations in the post-september 11 era: foundation for a new framework. </w:t>
      </w:r>
      <w:r w:rsidRPr="00CA4CD6">
        <w:rPr>
          <w:rFonts w:ascii="Times New Roman" w:hAnsi="Times New Roman" w:cs="Times New Roman"/>
          <w:i/>
          <w:iCs/>
          <w:noProof/>
          <w:sz w:val="24"/>
          <w:szCs w:val="24"/>
        </w:rPr>
        <w:t>Social Science Review</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31</w:t>
      </w:r>
      <w:r w:rsidRPr="00CA4CD6">
        <w:rPr>
          <w:rFonts w:ascii="Times New Roman" w:hAnsi="Times New Roman" w:cs="Times New Roman"/>
          <w:noProof/>
          <w:sz w:val="24"/>
          <w:szCs w:val="24"/>
        </w:rPr>
        <w:t>(1), 1–20.</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Harding, H. (2000). </w:t>
      </w:r>
      <w:r w:rsidRPr="00CA4CD6">
        <w:rPr>
          <w:rFonts w:ascii="Times New Roman" w:hAnsi="Times New Roman" w:cs="Times New Roman"/>
          <w:i/>
          <w:iCs/>
          <w:noProof/>
          <w:sz w:val="24"/>
          <w:szCs w:val="24"/>
        </w:rPr>
        <w:t>A fragile relationship: The United States and China since 1972</w:t>
      </w:r>
      <w:r w:rsidRPr="00CA4CD6">
        <w:rPr>
          <w:rFonts w:ascii="Times New Roman" w:hAnsi="Times New Roman" w:cs="Times New Roman"/>
          <w:noProof/>
          <w:sz w:val="24"/>
          <w:szCs w:val="24"/>
        </w:rPr>
        <w:t>. Rowman &amp; Littlefield.</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Hasan, M. D. (2011). Foreign aid dependency of Bangladesh: An evaluation. </w:t>
      </w:r>
      <w:r w:rsidRPr="00CA4CD6">
        <w:rPr>
          <w:rFonts w:ascii="Times New Roman" w:hAnsi="Times New Roman" w:cs="Times New Roman"/>
          <w:i/>
          <w:iCs/>
          <w:noProof/>
          <w:sz w:val="24"/>
          <w:szCs w:val="24"/>
        </w:rPr>
        <w:t>The Chittagong University Journal of Business Aministration</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26</w:t>
      </w:r>
      <w:r w:rsidRPr="00CA4CD6">
        <w:rPr>
          <w:rFonts w:ascii="Times New Roman" w:hAnsi="Times New Roman" w:cs="Times New Roman"/>
          <w:noProof/>
          <w:sz w:val="24"/>
          <w:szCs w:val="24"/>
        </w:rPr>
        <w:t>, 281–294.</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Islam, K. M. A. (2014). Foreign Direct Investment (FDI) in Bangladesh: Prospects and Challenges and Its Impact on Economy. </w:t>
      </w:r>
      <w:r w:rsidRPr="00CA4CD6">
        <w:rPr>
          <w:rFonts w:ascii="Times New Roman" w:hAnsi="Times New Roman" w:cs="Times New Roman"/>
          <w:i/>
          <w:iCs/>
          <w:noProof/>
          <w:sz w:val="24"/>
          <w:szCs w:val="24"/>
        </w:rPr>
        <w:t>Asian Business Review</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4</w:t>
      </w:r>
      <w:r w:rsidRPr="00CA4CD6">
        <w:rPr>
          <w:rFonts w:ascii="Times New Roman" w:hAnsi="Times New Roman" w:cs="Times New Roman"/>
          <w:noProof/>
          <w:sz w:val="24"/>
          <w:szCs w:val="24"/>
        </w:rPr>
        <w:t>(1), 24–36. https://doi.org/10.18034/abr.v4i1.70</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Istiak, K. M. (2012). Foreign Aid to Bangladesh: Some Iconoclastic Issues. </w:t>
      </w:r>
      <w:r w:rsidRPr="00CA4CD6">
        <w:rPr>
          <w:rFonts w:ascii="Times New Roman" w:hAnsi="Times New Roman" w:cs="Times New Roman"/>
          <w:i/>
          <w:iCs/>
          <w:noProof/>
          <w:sz w:val="24"/>
          <w:szCs w:val="24"/>
        </w:rPr>
        <w:t>The Journal of Developing Areas</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46</w:t>
      </w:r>
      <w:r w:rsidRPr="00CA4CD6">
        <w:rPr>
          <w:rFonts w:ascii="Times New Roman" w:hAnsi="Times New Roman" w:cs="Times New Roman"/>
          <w:noProof/>
          <w:sz w:val="24"/>
          <w:szCs w:val="24"/>
        </w:rPr>
        <w:t>(1), 331–343. https://doi.org/10.1353/jda.2012.0005</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Kvangraven, I. H. (2021). Beyond the Stereotype: Restating the Relevance of the Dependency Research Programme. </w:t>
      </w:r>
      <w:r w:rsidRPr="00CA4CD6">
        <w:rPr>
          <w:rFonts w:ascii="Times New Roman" w:hAnsi="Times New Roman" w:cs="Times New Roman"/>
          <w:i/>
          <w:iCs/>
          <w:noProof/>
          <w:sz w:val="24"/>
          <w:szCs w:val="24"/>
        </w:rPr>
        <w:t>Development and Change</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52</w:t>
      </w:r>
      <w:r w:rsidRPr="00CA4CD6">
        <w:rPr>
          <w:rFonts w:ascii="Times New Roman" w:hAnsi="Times New Roman" w:cs="Times New Roman"/>
          <w:noProof/>
          <w:sz w:val="24"/>
          <w:szCs w:val="24"/>
        </w:rPr>
        <w:t>(1), 76–112. https://doi.org/10.1111/dech.12593</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Lancaster, C. (2015). Foreign Aid in the Twenty-First Century: What Purposes? In </w:t>
      </w:r>
      <w:r w:rsidRPr="00CA4CD6">
        <w:rPr>
          <w:rFonts w:ascii="Times New Roman" w:hAnsi="Times New Roman" w:cs="Times New Roman"/>
          <w:i/>
          <w:iCs/>
          <w:noProof/>
          <w:sz w:val="24"/>
          <w:szCs w:val="24"/>
        </w:rPr>
        <w:t>Foreign Aid and Foreign Policy</w:t>
      </w:r>
      <w:r w:rsidRPr="00CA4CD6">
        <w:rPr>
          <w:rFonts w:ascii="Times New Roman" w:hAnsi="Times New Roman" w:cs="Times New Roman"/>
          <w:noProof/>
          <w:sz w:val="24"/>
          <w:szCs w:val="24"/>
        </w:rPr>
        <w:t xml:space="preserve"> (pp. 39–60). Routledge.</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Lavenex, S., &amp; Kunz, R. (2008). The migration–development nexus in EU external relations. </w:t>
      </w:r>
      <w:r w:rsidRPr="00CA4CD6">
        <w:rPr>
          <w:rFonts w:ascii="Times New Roman" w:hAnsi="Times New Roman" w:cs="Times New Roman"/>
          <w:i/>
          <w:iCs/>
          <w:noProof/>
          <w:sz w:val="24"/>
          <w:szCs w:val="24"/>
        </w:rPr>
        <w:t>Journal of European Integration</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30</w:t>
      </w:r>
      <w:r w:rsidRPr="00CA4CD6">
        <w:rPr>
          <w:rFonts w:ascii="Times New Roman" w:hAnsi="Times New Roman" w:cs="Times New Roman"/>
          <w:noProof/>
          <w:sz w:val="24"/>
          <w:szCs w:val="24"/>
        </w:rPr>
        <w:t>(3), 439–457. https://doi.org/10.1080/07036330802142152</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Mostafa, M. M. (2020). Foreign direct investment, external debt, and balance of payment: A causality analysis for Bangladesh. </w:t>
      </w:r>
      <w:r w:rsidRPr="00CA4CD6">
        <w:rPr>
          <w:rFonts w:ascii="Times New Roman" w:hAnsi="Times New Roman" w:cs="Times New Roman"/>
          <w:i/>
          <w:iCs/>
          <w:noProof/>
          <w:sz w:val="24"/>
          <w:szCs w:val="24"/>
        </w:rPr>
        <w:t>Bangladesh Journal of Public Administration</w:t>
      </w:r>
      <w:r w:rsidRPr="00CA4CD6">
        <w:rPr>
          <w:rFonts w:ascii="Times New Roman" w:hAnsi="Times New Roman" w:cs="Times New Roman"/>
          <w:noProof/>
          <w:sz w:val="24"/>
          <w:szCs w:val="24"/>
        </w:rPr>
        <w:t>.</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Mostafiz, F. (2017). Foreign Direct Investment of United States of America in Bangladesh. </w:t>
      </w:r>
      <w:r w:rsidRPr="00CA4CD6">
        <w:rPr>
          <w:rFonts w:ascii="Times New Roman" w:hAnsi="Times New Roman" w:cs="Times New Roman"/>
          <w:i/>
          <w:iCs/>
          <w:noProof/>
          <w:sz w:val="24"/>
          <w:szCs w:val="24"/>
        </w:rPr>
        <w:t>International Journal of Business and Management</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12</w:t>
      </w:r>
      <w:r w:rsidRPr="00CA4CD6">
        <w:rPr>
          <w:rFonts w:ascii="Times New Roman" w:hAnsi="Times New Roman" w:cs="Times New Roman"/>
          <w:noProof/>
          <w:sz w:val="24"/>
          <w:szCs w:val="24"/>
        </w:rPr>
        <w:t>(6), 89. https://doi.org/10.5539/ijbm.v12n6p89</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Nair, P. S. (2008). </w:t>
      </w:r>
      <w:r w:rsidRPr="00CA4CD6">
        <w:rPr>
          <w:rFonts w:ascii="Times New Roman" w:hAnsi="Times New Roman" w:cs="Times New Roman"/>
          <w:i/>
          <w:iCs/>
          <w:noProof/>
          <w:sz w:val="24"/>
          <w:szCs w:val="24"/>
        </w:rPr>
        <w:t>Indo-Bangladesh Relations</w:t>
      </w:r>
      <w:r w:rsidRPr="00CA4CD6">
        <w:rPr>
          <w:rFonts w:ascii="Times New Roman" w:hAnsi="Times New Roman" w:cs="Times New Roman"/>
          <w:noProof/>
          <w:sz w:val="24"/>
          <w:szCs w:val="24"/>
        </w:rPr>
        <w:t>. APH Publishing.</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North, D. C. (2016). Institutions and Economic Theory. </w:t>
      </w:r>
      <w:r w:rsidRPr="00CA4CD6">
        <w:rPr>
          <w:rFonts w:ascii="Times New Roman" w:hAnsi="Times New Roman" w:cs="Times New Roman"/>
          <w:i/>
          <w:iCs/>
          <w:noProof/>
          <w:sz w:val="24"/>
          <w:szCs w:val="24"/>
        </w:rPr>
        <w:t>American Economist</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61</w:t>
      </w:r>
      <w:r w:rsidRPr="00CA4CD6">
        <w:rPr>
          <w:rFonts w:ascii="Times New Roman" w:hAnsi="Times New Roman" w:cs="Times New Roman"/>
          <w:noProof/>
          <w:sz w:val="24"/>
          <w:szCs w:val="24"/>
        </w:rPr>
        <w:t>(1), 72–76. https://doi.org/10.1177/0569434516630194</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lastRenderedPageBreak/>
        <w:t xml:space="preserve">Rahman, A. (2012). Foreign direct investment in Bangladesh, prospects and challenges, and its impact on economy. </w:t>
      </w:r>
      <w:r w:rsidRPr="00CA4CD6">
        <w:rPr>
          <w:rFonts w:ascii="Times New Roman" w:hAnsi="Times New Roman" w:cs="Times New Roman"/>
          <w:i/>
          <w:iCs/>
          <w:noProof/>
          <w:sz w:val="24"/>
          <w:szCs w:val="24"/>
        </w:rPr>
        <w:t>Asian Institute of Technology, School of Management, Thailan</w:t>
      </w:r>
      <w:r w:rsidRPr="00CA4CD6">
        <w:rPr>
          <w:rFonts w:ascii="Times New Roman" w:hAnsi="Times New Roman" w:cs="Times New Roman"/>
          <w:noProof/>
          <w:sz w:val="24"/>
          <w:szCs w:val="24"/>
        </w:rPr>
        <w:t>.</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Rajib, M. I., &amp; Rahman, R. (2020). Foreign Direct Investment and Economic Growth: Evidence from Bangladesh Economy. </w:t>
      </w:r>
      <w:r w:rsidRPr="00CA4CD6">
        <w:rPr>
          <w:rFonts w:ascii="Times New Roman" w:hAnsi="Times New Roman" w:cs="Times New Roman"/>
          <w:i/>
          <w:iCs/>
          <w:noProof/>
          <w:sz w:val="24"/>
          <w:szCs w:val="24"/>
        </w:rPr>
        <w:t>European Scientific Journal ESJ</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16</w:t>
      </w:r>
      <w:r w:rsidRPr="00CA4CD6">
        <w:rPr>
          <w:rFonts w:ascii="Times New Roman" w:hAnsi="Times New Roman" w:cs="Times New Roman"/>
          <w:noProof/>
          <w:sz w:val="24"/>
          <w:szCs w:val="24"/>
        </w:rPr>
        <w:t>(10), 38–55. https://doi.org/10.19044/esj.2020.v16n10p38</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Rasul, G., &amp; Thapa, G. B. (2004). Sustainability of ecological and conventional agricultural systems in Bangladesh: An assessment based on environmental, economic and social perspectives. </w:t>
      </w:r>
      <w:r w:rsidRPr="00CA4CD6">
        <w:rPr>
          <w:rFonts w:ascii="Times New Roman" w:hAnsi="Times New Roman" w:cs="Times New Roman"/>
          <w:i/>
          <w:iCs/>
          <w:noProof/>
          <w:sz w:val="24"/>
          <w:szCs w:val="24"/>
        </w:rPr>
        <w:t>Agricultural Systems</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79</w:t>
      </w:r>
      <w:r w:rsidRPr="00CA4CD6">
        <w:rPr>
          <w:rFonts w:ascii="Times New Roman" w:hAnsi="Times New Roman" w:cs="Times New Roman"/>
          <w:noProof/>
          <w:sz w:val="24"/>
          <w:szCs w:val="24"/>
        </w:rPr>
        <w:t>(3), 327–351. https://doi.org/10.1016/S0308-521X(03)00090-8</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Reliefweb. (2008). </w:t>
      </w:r>
      <w:r w:rsidRPr="00CA4CD6">
        <w:rPr>
          <w:rFonts w:ascii="Times New Roman" w:hAnsi="Times New Roman" w:cs="Times New Roman"/>
          <w:i/>
          <w:iCs/>
          <w:noProof/>
          <w:sz w:val="24"/>
          <w:szCs w:val="24"/>
        </w:rPr>
        <w:t>Cyclone Sidr - Nov 2007</w:t>
      </w:r>
      <w:r w:rsidRPr="00CA4CD6">
        <w:rPr>
          <w:rFonts w:ascii="Times New Roman" w:hAnsi="Times New Roman" w:cs="Times New Roman"/>
          <w:noProof/>
          <w:sz w:val="24"/>
          <w:szCs w:val="24"/>
        </w:rPr>
        <w:t>.</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Reliefweb. (2021). </w:t>
      </w:r>
      <w:r w:rsidRPr="00CA4CD6">
        <w:rPr>
          <w:rFonts w:ascii="Times New Roman" w:hAnsi="Times New Roman" w:cs="Times New Roman"/>
          <w:i/>
          <w:iCs/>
          <w:noProof/>
          <w:sz w:val="24"/>
          <w:szCs w:val="24"/>
        </w:rPr>
        <w:t>United States Provides Assistance to Bangladesh to Respond to Novel Coronavirus COVID-19</w:t>
      </w:r>
      <w:r w:rsidRPr="00CA4CD6">
        <w:rPr>
          <w:rFonts w:ascii="Times New Roman" w:hAnsi="Times New Roman" w:cs="Times New Roman"/>
          <w:noProof/>
          <w:sz w:val="24"/>
          <w:szCs w:val="24"/>
        </w:rPr>
        <w:t>. https://reliefweb.int/report/bangladesh/united-states-provides-assistance-bangladesh-respond-novel-coronavirus-covid-19</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Review, B. E. (2024). </w:t>
      </w:r>
      <w:r w:rsidRPr="00CA4CD6">
        <w:rPr>
          <w:rFonts w:ascii="Times New Roman" w:hAnsi="Times New Roman" w:cs="Times New Roman"/>
          <w:i/>
          <w:iCs/>
          <w:noProof/>
          <w:sz w:val="24"/>
          <w:szCs w:val="24"/>
        </w:rPr>
        <w:t>Bangladesh Economic Review</w:t>
      </w:r>
      <w:r w:rsidRPr="00CA4CD6">
        <w:rPr>
          <w:rFonts w:ascii="Times New Roman" w:hAnsi="Times New Roman" w:cs="Times New Roman"/>
          <w:noProof/>
          <w:sz w:val="24"/>
          <w:szCs w:val="24"/>
        </w:rPr>
        <w:t>. https://mof.portal.gov.bd/site/page/28ba57f5-59ff-4426-970a-bf014242179e/Bangladesh-Economic-Review-2023</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Tashtamirov, M. (2023). The Role of Institutions in Economic Development and Their Impact on Economic Growth in Different Countries. </w:t>
      </w:r>
      <w:r w:rsidRPr="00CA4CD6">
        <w:rPr>
          <w:rFonts w:ascii="Times New Roman" w:hAnsi="Times New Roman" w:cs="Times New Roman"/>
          <w:i/>
          <w:iCs/>
          <w:noProof/>
          <w:sz w:val="24"/>
          <w:szCs w:val="24"/>
        </w:rPr>
        <w:t>SHS Web of Conferences</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172</w:t>
      </w:r>
      <w:r w:rsidRPr="00CA4CD6">
        <w:rPr>
          <w:rFonts w:ascii="Times New Roman" w:hAnsi="Times New Roman" w:cs="Times New Roman"/>
          <w:noProof/>
          <w:sz w:val="24"/>
          <w:szCs w:val="24"/>
        </w:rPr>
        <w:t>, 02005. https://doi.org/10.1051/shsconf/202317202005</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TBS. (2021). </w:t>
      </w:r>
      <w:r w:rsidRPr="00CA4CD6">
        <w:rPr>
          <w:rFonts w:ascii="Times New Roman" w:hAnsi="Times New Roman" w:cs="Times New Roman"/>
          <w:i/>
          <w:iCs/>
          <w:noProof/>
          <w:sz w:val="24"/>
          <w:szCs w:val="24"/>
        </w:rPr>
        <w:t>US announces an additional $25m in Covid-19 assistance for Bangladesh</w:t>
      </w:r>
      <w:r w:rsidRPr="00CA4CD6">
        <w:rPr>
          <w:rFonts w:ascii="Times New Roman" w:hAnsi="Times New Roman" w:cs="Times New Roman"/>
          <w:noProof/>
          <w:sz w:val="24"/>
          <w:szCs w:val="24"/>
        </w:rPr>
        <w:t>.</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U.S. DEPARTMENT of STATE. (2022). </w:t>
      </w:r>
      <w:r w:rsidRPr="00CA4CD6">
        <w:rPr>
          <w:rFonts w:ascii="Times New Roman" w:hAnsi="Times New Roman" w:cs="Times New Roman"/>
          <w:i/>
          <w:iCs/>
          <w:noProof/>
          <w:sz w:val="24"/>
          <w:szCs w:val="24"/>
        </w:rPr>
        <w:t>U.S. relations with Bangladesh</w:t>
      </w:r>
      <w:r w:rsidRPr="00CA4CD6">
        <w:rPr>
          <w:rFonts w:ascii="Times New Roman" w:hAnsi="Times New Roman" w:cs="Times New Roman"/>
          <w:noProof/>
          <w:sz w:val="24"/>
          <w:szCs w:val="24"/>
        </w:rPr>
        <w:t>. https://www.state.gov/u-s-relations-with-bangladesh/</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Vaughn, B and Mackey,  wil. (2017). BANGLADESH AND BANGLADESH-U.S. RELATIONS. </w:t>
      </w:r>
      <w:r w:rsidRPr="00CA4CD6">
        <w:rPr>
          <w:rFonts w:ascii="Times New Roman" w:hAnsi="Times New Roman" w:cs="Times New Roman"/>
          <w:i/>
          <w:iCs/>
          <w:noProof/>
          <w:sz w:val="24"/>
          <w:szCs w:val="24"/>
        </w:rPr>
        <w:t>Current Politics and Economics</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27</w:t>
      </w:r>
      <w:r w:rsidRPr="00CA4CD6">
        <w:rPr>
          <w:rFonts w:ascii="Times New Roman" w:hAnsi="Times New Roman" w:cs="Times New Roman"/>
          <w:noProof/>
          <w:sz w:val="24"/>
          <w:szCs w:val="24"/>
        </w:rPr>
        <w:t>(3), 44094.</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World Bank. (2023). Bangladesh Development Update 2023. In </w:t>
      </w:r>
      <w:r w:rsidRPr="00CA4CD6">
        <w:rPr>
          <w:rFonts w:ascii="Times New Roman" w:hAnsi="Times New Roman" w:cs="Times New Roman"/>
          <w:i/>
          <w:iCs/>
          <w:noProof/>
          <w:sz w:val="24"/>
          <w:szCs w:val="24"/>
        </w:rPr>
        <w:t>Bangladesh Development Update 2017</w:t>
      </w:r>
      <w:r w:rsidRPr="00CA4CD6">
        <w:rPr>
          <w:rFonts w:ascii="Times New Roman" w:hAnsi="Times New Roman" w:cs="Times New Roman"/>
          <w:noProof/>
          <w:sz w:val="24"/>
          <w:szCs w:val="24"/>
        </w:rPr>
        <w:t xml:space="preserve"> (Issue October). https://doi.org/10.1596/26642</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szCs w:val="24"/>
        </w:rPr>
      </w:pPr>
      <w:r w:rsidRPr="00CA4CD6">
        <w:rPr>
          <w:rFonts w:ascii="Times New Roman" w:hAnsi="Times New Roman" w:cs="Times New Roman"/>
          <w:noProof/>
          <w:sz w:val="24"/>
          <w:szCs w:val="24"/>
        </w:rPr>
        <w:t xml:space="preserve">Wright, J., &amp; Winters, M. (2010). The politics of effective foreign aid. </w:t>
      </w:r>
      <w:r w:rsidRPr="00CA4CD6">
        <w:rPr>
          <w:rFonts w:ascii="Times New Roman" w:hAnsi="Times New Roman" w:cs="Times New Roman"/>
          <w:i/>
          <w:iCs/>
          <w:noProof/>
          <w:sz w:val="24"/>
          <w:szCs w:val="24"/>
        </w:rPr>
        <w:t xml:space="preserve">Annual Review of </w:t>
      </w:r>
      <w:r w:rsidRPr="00CA4CD6">
        <w:rPr>
          <w:rFonts w:ascii="Times New Roman" w:hAnsi="Times New Roman" w:cs="Times New Roman"/>
          <w:i/>
          <w:iCs/>
          <w:noProof/>
          <w:sz w:val="24"/>
          <w:szCs w:val="24"/>
        </w:rPr>
        <w:lastRenderedPageBreak/>
        <w:t>Political Science</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13</w:t>
      </w:r>
      <w:r w:rsidRPr="00CA4CD6">
        <w:rPr>
          <w:rFonts w:ascii="Times New Roman" w:hAnsi="Times New Roman" w:cs="Times New Roman"/>
          <w:noProof/>
          <w:sz w:val="24"/>
          <w:szCs w:val="24"/>
        </w:rPr>
        <w:t>(November 2009), 61–80. https://doi.org/10.1146/annurev.polisci.032708.143524</w:t>
      </w:r>
    </w:p>
    <w:p w:rsidR="00CA4CD6" w:rsidRPr="00CA4CD6" w:rsidRDefault="00CA4CD6" w:rsidP="00CA4CD6">
      <w:pPr>
        <w:widowControl w:val="0"/>
        <w:autoSpaceDE w:val="0"/>
        <w:autoSpaceDN w:val="0"/>
        <w:adjustRightInd w:val="0"/>
        <w:spacing w:line="360" w:lineRule="auto"/>
        <w:ind w:left="480" w:hanging="480"/>
        <w:rPr>
          <w:rFonts w:ascii="Times New Roman" w:hAnsi="Times New Roman" w:cs="Times New Roman"/>
          <w:noProof/>
          <w:sz w:val="24"/>
        </w:rPr>
      </w:pPr>
      <w:r w:rsidRPr="00CA4CD6">
        <w:rPr>
          <w:rFonts w:ascii="Times New Roman" w:hAnsi="Times New Roman" w:cs="Times New Roman"/>
          <w:noProof/>
          <w:sz w:val="24"/>
          <w:szCs w:val="24"/>
        </w:rPr>
        <w:t xml:space="preserve">Zheng, W., Singh, K., &amp; Chung, C. N. (2017). Ties to Unbind: Political Ties and Firm Sell-Offs During Institutional Transition. </w:t>
      </w:r>
      <w:r w:rsidRPr="00CA4CD6">
        <w:rPr>
          <w:rFonts w:ascii="Times New Roman" w:hAnsi="Times New Roman" w:cs="Times New Roman"/>
          <w:i/>
          <w:iCs/>
          <w:noProof/>
          <w:sz w:val="24"/>
          <w:szCs w:val="24"/>
        </w:rPr>
        <w:t>Journal of Management</w:t>
      </w:r>
      <w:r w:rsidRPr="00CA4CD6">
        <w:rPr>
          <w:rFonts w:ascii="Times New Roman" w:hAnsi="Times New Roman" w:cs="Times New Roman"/>
          <w:noProof/>
          <w:sz w:val="24"/>
          <w:szCs w:val="24"/>
        </w:rPr>
        <w:t xml:space="preserve">, </w:t>
      </w:r>
      <w:r w:rsidRPr="00CA4CD6">
        <w:rPr>
          <w:rFonts w:ascii="Times New Roman" w:hAnsi="Times New Roman" w:cs="Times New Roman"/>
          <w:i/>
          <w:iCs/>
          <w:noProof/>
          <w:sz w:val="24"/>
          <w:szCs w:val="24"/>
        </w:rPr>
        <w:t>43</w:t>
      </w:r>
      <w:r w:rsidRPr="00CA4CD6">
        <w:rPr>
          <w:rFonts w:ascii="Times New Roman" w:hAnsi="Times New Roman" w:cs="Times New Roman"/>
          <w:noProof/>
          <w:sz w:val="24"/>
          <w:szCs w:val="24"/>
        </w:rPr>
        <w:t>(7), 2005–2036. https://doi.org/10.1177/0149206315575553</w:t>
      </w:r>
    </w:p>
    <w:p w:rsidR="006A11D8" w:rsidRDefault="006A11D8" w:rsidP="00F15F62">
      <w:pPr>
        <w:spacing w:line="360" w:lineRule="auto"/>
        <w:jc w:val="both"/>
        <w:rPr>
          <w:rFonts w:ascii="Times New Roman" w:hAnsi="Times New Roman" w:cs="Times New Roman"/>
          <w:sz w:val="24"/>
          <w:szCs w:val="24"/>
        </w:rPr>
      </w:pPr>
      <w:r>
        <w:rPr>
          <w:rFonts w:ascii="Times New Roman" w:hAnsi="Times New Roman" w:cs="Times New Roman"/>
          <w:sz w:val="24"/>
          <w:szCs w:val="24"/>
        </w:rPr>
        <w:fldChar w:fldCharType="end"/>
      </w:r>
    </w:p>
    <w:p w:rsidR="006A11D8" w:rsidRDefault="006A11D8" w:rsidP="00F15F62">
      <w:pPr>
        <w:spacing w:line="360" w:lineRule="auto"/>
        <w:jc w:val="both"/>
        <w:rPr>
          <w:rFonts w:ascii="Times New Roman" w:hAnsi="Times New Roman" w:cs="Times New Roman"/>
          <w:sz w:val="24"/>
          <w:szCs w:val="24"/>
        </w:rPr>
      </w:pPr>
    </w:p>
    <w:p w:rsidR="006A11D8" w:rsidRDefault="006A11D8" w:rsidP="00F15F62">
      <w:pPr>
        <w:spacing w:line="360" w:lineRule="auto"/>
        <w:jc w:val="both"/>
        <w:rPr>
          <w:rFonts w:ascii="Times New Roman" w:hAnsi="Times New Roman" w:cs="Times New Roman"/>
          <w:sz w:val="24"/>
          <w:szCs w:val="24"/>
        </w:rPr>
      </w:pPr>
    </w:p>
    <w:p w:rsidR="00E20D09" w:rsidRDefault="00E20D09" w:rsidP="00F15F62">
      <w:pPr>
        <w:spacing w:line="360" w:lineRule="auto"/>
        <w:jc w:val="both"/>
        <w:rPr>
          <w:rFonts w:ascii="Times New Roman" w:hAnsi="Times New Roman" w:cs="Times New Roman"/>
          <w:sz w:val="24"/>
          <w:szCs w:val="24"/>
        </w:rPr>
      </w:pPr>
    </w:p>
    <w:p w:rsidR="00E20D09" w:rsidRDefault="00E20D09" w:rsidP="00F15F62">
      <w:pPr>
        <w:spacing w:line="360" w:lineRule="auto"/>
        <w:jc w:val="both"/>
        <w:rPr>
          <w:rFonts w:ascii="Times New Roman" w:hAnsi="Times New Roman" w:cs="Times New Roman"/>
          <w:sz w:val="24"/>
          <w:szCs w:val="24"/>
        </w:rPr>
      </w:pPr>
    </w:p>
    <w:p w:rsidR="00E20D09" w:rsidRPr="00E20D09" w:rsidRDefault="00E20D09" w:rsidP="00F15F62">
      <w:pPr>
        <w:spacing w:line="360" w:lineRule="auto"/>
        <w:jc w:val="both"/>
        <w:rPr>
          <w:rFonts w:ascii="Times New Roman" w:hAnsi="Times New Roman" w:cs="Times New Roman"/>
          <w:sz w:val="24"/>
          <w:szCs w:val="24"/>
        </w:rPr>
      </w:pPr>
    </w:p>
    <w:sectPr w:rsidR="00E20D09" w:rsidRPr="00E20D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F2846"/>
    <w:multiLevelType w:val="hybridMultilevel"/>
    <w:tmpl w:val="6BF86134"/>
    <w:lvl w:ilvl="0" w:tplc="043E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2E7ECC"/>
    <w:multiLevelType w:val="hybridMultilevel"/>
    <w:tmpl w:val="42C62F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D1E4F14"/>
    <w:multiLevelType w:val="hybridMultilevel"/>
    <w:tmpl w:val="24A08118"/>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F1759C3"/>
    <w:multiLevelType w:val="multilevel"/>
    <w:tmpl w:val="FA30AD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4" w15:restartNumberingAfterBreak="0">
    <w:nsid w:val="5A540F7D"/>
    <w:multiLevelType w:val="multilevel"/>
    <w:tmpl w:val="D256DDB2"/>
    <w:lvl w:ilvl="0">
      <w:start w:val="3"/>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5" w15:restartNumberingAfterBreak="0">
    <w:nsid w:val="5D4A1D81"/>
    <w:multiLevelType w:val="multilevel"/>
    <w:tmpl w:val="47CCF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17571052">
    <w:abstractNumId w:val="3"/>
  </w:num>
  <w:num w:numId="2" w16cid:durableId="2042170820">
    <w:abstractNumId w:val="5"/>
  </w:num>
  <w:num w:numId="3" w16cid:durableId="1819758482">
    <w:abstractNumId w:val="1"/>
  </w:num>
  <w:num w:numId="4" w16cid:durableId="481511332">
    <w:abstractNumId w:val="4"/>
  </w:num>
  <w:num w:numId="5" w16cid:durableId="1319072585">
    <w:abstractNumId w:val="2"/>
  </w:num>
  <w:num w:numId="6" w16cid:durableId="45502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zQxszA1MjQxsTQ0MbJU0lEKTi0uzszPAykwrQUAmN6RPiwAAAA="/>
  </w:docVars>
  <w:rsids>
    <w:rsidRoot w:val="00E20D09"/>
    <w:rsid w:val="00003462"/>
    <w:rsid w:val="00097184"/>
    <w:rsid w:val="000C457F"/>
    <w:rsid w:val="000E2A59"/>
    <w:rsid w:val="000F6B5F"/>
    <w:rsid w:val="00101BDF"/>
    <w:rsid w:val="001E0E59"/>
    <w:rsid w:val="002053DD"/>
    <w:rsid w:val="0023359E"/>
    <w:rsid w:val="0024158D"/>
    <w:rsid w:val="0033601F"/>
    <w:rsid w:val="003419AD"/>
    <w:rsid w:val="00444E25"/>
    <w:rsid w:val="005065E7"/>
    <w:rsid w:val="005115FE"/>
    <w:rsid w:val="0062793C"/>
    <w:rsid w:val="00653EEE"/>
    <w:rsid w:val="006A11D8"/>
    <w:rsid w:val="006D52B2"/>
    <w:rsid w:val="00707E5C"/>
    <w:rsid w:val="00747D1E"/>
    <w:rsid w:val="0085573E"/>
    <w:rsid w:val="00956916"/>
    <w:rsid w:val="009E71AB"/>
    <w:rsid w:val="00A6325F"/>
    <w:rsid w:val="00A94DDD"/>
    <w:rsid w:val="00AD20EF"/>
    <w:rsid w:val="00AE5D3A"/>
    <w:rsid w:val="00B25EA9"/>
    <w:rsid w:val="00BF1AE8"/>
    <w:rsid w:val="00C919D1"/>
    <w:rsid w:val="00CA28A3"/>
    <w:rsid w:val="00CA4CD6"/>
    <w:rsid w:val="00D02800"/>
    <w:rsid w:val="00D41BD3"/>
    <w:rsid w:val="00D869E3"/>
    <w:rsid w:val="00D90D3A"/>
    <w:rsid w:val="00D9190C"/>
    <w:rsid w:val="00DB40A3"/>
    <w:rsid w:val="00DE3383"/>
    <w:rsid w:val="00E158C0"/>
    <w:rsid w:val="00E20D09"/>
    <w:rsid w:val="00E51C76"/>
    <w:rsid w:val="00E86733"/>
    <w:rsid w:val="00EA7E4C"/>
    <w:rsid w:val="00EB6ACF"/>
    <w:rsid w:val="00F15F62"/>
    <w:rsid w:val="00F40CAC"/>
    <w:rsid w:val="00F721C5"/>
    <w:rsid w:val="00F769BB"/>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309B6C"/>
  <w15:chartTrackingRefBased/>
  <w15:docId w15:val="{6E231E92-55EB-42C2-9370-C6F2930A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D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0D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20D09"/>
    <w:rPr>
      <w:b/>
      <w:bCs/>
    </w:rPr>
  </w:style>
  <w:style w:type="paragraph" w:styleId="ListParagraph">
    <w:name w:val="List Paragraph"/>
    <w:basedOn w:val="Normal"/>
    <w:uiPriority w:val="34"/>
    <w:qFormat/>
    <w:rsid w:val="00E20D09"/>
    <w:pPr>
      <w:ind w:left="720"/>
      <w:contextualSpacing/>
    </w:pPr>
  </w:style>
  <w:style w:type="table" w:customStyle="1" w:styleId="PlainTable21">
    <w:name w:val="Plain Table 21"/>
    <w:basedOn w:val="TableNormal"/>
    <w:next w:val="PlainTable2"/>
    <w:uiPriority w:val="42"/>
    <w:rsid w:val="00D41BD3"/>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1Light-Accent31">
    <w:name w:val="Grid Table 1 Light - Accent 31"/>
    <w:basedOn w:val="TableNormal"/>
    <w:next w:val="GridTable1Light-Accent3"/>
    <w:uiPriority w:val="46"/>
    <w:rsid w:val="00D41BD3"/>
    <w:pPr>
      <w:spacing w:after="0" w:line="240" w:lineRule="auto"/>
    </w:p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PlainTable2">
    <w:name w:val="Plain Table 2"/>
    <w:basedOn w:val="TableNormal"/>
    <w:uiPriority w:val="42"/>
    <w:rsid w:val="00D41BD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3">
    <w:name w:val="Grid Table 1 Light Accent 3"/>
    <w:basedOn w:val="TableNormal"/>
    <w:uiPriority w:val="46"/>
    <w:rsid w:val="00D41BD3"/>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6D52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54962">
      <w:bodyDiv w:val="1"/>
      <w:marLeft w:val="0"/>
      <w:marRight w:val="0"/>
      <w:marTop w:val="0"/>
      <w:marBottom w:val="0"/>
      <w:divBdr>
        <w:top w:val="none" w:sz="0" w:space="0" w:color="auto"/>
        <w:left w:val="none" w:sz="0" w:space="0" w:color="auto"/>
        <w:bottom w:val="none" w:sz="0" w:space="0" w:color="auto"/>
        <w:right w:val="none" w:sz="0" w:space="0" w:color="auto"/>
      </w:divBdr>
    </w:div>
    <w:div w:id="702174879">
      <w:bodyDiv w:val="1"/>
      <w:marLeft w:val="0"/>
      <w:marRight w:val="0"/>
      <w:marTop w:val="0"/>
      <w:marBottom w:val="0"/>
      <w:divBdr>
        <w:top w:val="none" w:sz="0" w:space="0" w:color="auto"/>
        <w:left w:val="none" w:sz="0" w:space="0" w:color="auto"/>
        <w:bottom w:val="none" w:sz="0" w:space="0" w:color="auto"/>
        <w:right w:val="none" w:sz="0" w:space="0" w:color="auto"/>
      </w:divBdr>
    </w:div>
    <w:div w:id="879442422">
      <w:bodyDiv w:val="1"/>
      <w:marLeft w:val="0"/>
      <w:marRight w:val="0"/>
      <w:marTop w:val="0"/>
      <w:marBottom w:val="0"/>
      <w:divBdr>
        <w:top w:val="none" w:sz="0" w:space="0" w:color="auto"/>
        <w:left w:val="none" w:sz="0" w:space="0" w:color="auto"/>
        <w:bottom w:val="none" w:sz="0" w:space="0" w:color="auto"/>
        <w:right w:val="none" w:sz="0" w:space="0" w:color="auto"/>
      </w:divBdr>
    </w:div>
    <w:div w:id="1261911909">
      <w:bodyDiv w:val="1"/>
      <w:marLeft w:val="0"/>
      <w:marRight w:val="0"/>
      <w:marTop w:val="0"/>
      <w:marBottom w:val="0"/>
      <w:divBdr>
        <w:top w:val="none" w:sz="0" w:space="0" w:color="auto"/>
        <w:left w:val="none" w:sz="0" w:space="0" w:color="auto"/>
        <w:bottom w:val="none" w:sz="0" w:space="0" w:color="auto"/>
        <w:right w:val="none" w:sz="0" w:space="0" w:color="auto"/>
      </w:divBdr>
    </w:div>
    <w:div w:id="1396052946">
      <w:bodyDiv w:val="1"/>
      <w:marLeft w:val="0"/>
      <w:marRight w:val="0"/>
      <w:marTop w:val="0"/>
      <w:marBottom w:val="0"/>
      <w:divBdr>
        <w:top w:val="none" w:sz="0" w:space="0" w:color="auto"/>
        <w:left w:val="none" w:sz="0" w:space="0" w:color="auto"/>
        <w:bottom w:val="none" w:sz="0" w:space="0" w:color="auto"/>
        <w:right w:val="none" w:sz="0" w:space="0" w:color="auto"/>
      </w:divBdr>
    </w:div>
    <w:div w:id="173647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ezanur@gmail.com" TargetMode="Externa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ahsanrifaj352@gmail.com" TargetMode="Externa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hyperlink" Target="mailto:ecozobayer@gmail.com" TargetMode="Externa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USER\Downloads\SUST%20research\FDI%20FROM%20USA.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USER\Downloads\SUST%20research\Foreign%20aid%20by%20usa.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USER\Downloads\SUST%20research\FOREIGN%20AID%20BY%20COUNTRY'%20(1).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C:\Users\USER\Downloads\SUST%20research\remittance.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C:\Users\USER\Downloads\SUST%20research\REM%20INFLOW%202019-20.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USER\Downloads\Book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Sheet1!$B$1</c:f>
              <c:strCache>
                <c:ptCount val="1"/>
                <c:pt idx="0">
                  <c:v>FDI Inflows</c:v>
                </c:pt>
              </c:strCache>
            </c:strRef>
          </c:tx>
          <c:spPr>
            <a:ln w="28575" cap="rnd">
              <a:solidFill>
                <a:schemeClr val="accent6"/>
              </a:solidFill>
              <a:round/>
            </a:ln>
            <a:effectLst/>
          </c:spPr>
          <c:marker>
            <c:symbol val="none"/>
          </c:marker>
          <c:trendline>
            <c:spPr>
              <a:ln w="6350" cap="rnd">
                <a:solidFill>
                  <a:schemeClr val="dk1"/>
                </a:solidFill>
                <a:prstDash val="solid"/>
                <a:miter lim="800000"/>
              </a:ln>
              <a:effectLst/>
            </c:spPr>
            <c:trendlineType val="linear"/>
            <c:dispRSqr val="0"/>
            <c:dispEq val="0"/>
          </c:trendline>
          <c:cat>
            <c:numRef>
              <c:f>Sheet1!$A$2:$A$25</c:f>
              <c:numCache>
                <c:formatCode>General</c:formatCode>
                <c:ptCount val="24"/>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numCache>
            </c:numRef>
          </c:cat>
          <c:val>
            <c:numRef>
              <c:f>Sheet1!$B$2:$B$25</c:f>
              <c:numCache>
                <c:formatCode>General</c:formatCode>
                <c:ptCount val="24"/>
                <c:pt idx="0">
                  <c:v>14.39</c:v>
                </c:pt>
                <c:pt idx="1">
                  <c:v>67.64</c:v>
                </c:pt>
                <c:pt idx="2">
                  <c:v>232.9</c:v>
                </c:pt>
                <c:pt idx="3">
                  <c:v>66.94</c:v>
                </c:pt>
                <c:pt idx="4">
                  <c:v>29.34</c:v>
                </c:pt>
                <c:pt idx="5">
                  <c:v>30.85</c:v>
                </c:pt>
                <c:pt idx="6">
                  <c:v>24.49</c:v>
                </c:pt>
                <c:pt idx="7">
                  <c:v>32.11</c:v>
                </c:pt>
                <c:pt idx="8">
                  <c:v>61.76</c:v>
                </c:pt>
                <c:pt idx="9">
                  <c:v>141.82</c:v>
                </c:pt>
                <c:pt idx="10">
                  <c:v>175.72</c:v>
                </c:pt>
                <c:pt idx="11">
                  <c:v>120.36</c:v>
                </c:pt>
                <c:pt idx="12">
                  <c:v>40.92</c:v>
                </c:pt>
                <c:pt idx="13">
                  <c:v>42.89</c:v>
                </c:pt>
                <c:pt idx="14">
                  <c:v>56.95</c:v>
                </c:pt>
                <c:pt idx="15">
                  <c:v>117.74</c:v>
                </c:pt>
                <c:pt idx="16">
                  <c:v>43.8</c:v>
                </c:pt>
                <c:pt idx="17">
                  <c:v>75.95</c:v>
                </c:pt>
                <c:pt idx="18">
                  <c:v>17.34</c:v>
                </c:pt>
                <c:pt idx="19">
                  <c:v>573.77</c:v>
                </c:pt>
                <c:pt idx="20">
                  <c:v>217.74</c:v>
                </c:pt>
                <c:pt idx="21">
                  <c:v>166.66</c:v>
                </c:pt>
                <c:pt idx="22">
                  <c:v>174.25</c:v>
                </c:pt>
                <c:pt idx="23">
                  <c:v>197.52</c:v>
                </c:pt>
              </c:numCache>
            </c:numRef>
          </c:val>
          <c:smooth val="0"/>
          <c:extLst>
            <c:ext xmlns:c16="http://schemas.microsoft.com/office/drawing/2014/chart" uri="{C3380CC4-5D6E-409C-BE32-E72D297353CC}">
              <c16:uniqueId val="{00000001-DAE1-4458-AFF5-3FD92A819A7F}"/>
            </c:ext>
          </c:extLst>
        </c:ser>
        <c:dLbls>
          <c:showLegendKey val="0"/>
          <c:showVal val="0"/>
          <c:showCatName val="0"/>
          <c:showSerName val="0"/>
          <c:showPercent val="0"/>
          <c:showBubbleSize val="0"/>
        </c:dLbls>
        <c:smooth val="0"/>
        <c:axId val="-917662624"/>
        <c:axId val="-917632160"/>
      </c:lineChart>
      <c:catAx>
        <c:axId val="-917662624"/>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917632160"/>
        <c:crosses val="autoZero"/>
        <c:auto val="1"/>
        <c:lblAlgn val="ctr"/>
        <c:lblOffset val="100"/>
        <c:noMultiLvlLbl val="0"/>
      </c:catAx>
      <c:valAx>
        <c:axId val="-917632160"/>
        <c:scaling>
          <c:orientation val="minMax"/>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9176626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BD"/>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Sheet1!$B$1</c:f>
              <c:strCache>
                <c:ptCount val="1"/>
                <c:pt idx="0">
                  <c:v>Foreign Aid</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Sheet1!$A$2:$A$18</c:f>
              <c:numCache>
                <c:formatCode>General</c:formatCode>
                <c:ptCount val="17"/>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numCache>
            </c:numRef>
          </c:xVal>
          <c:yVal>
            <c:numRef>
              <c:f>Sheet1!$B$2:$B$18</c:f>
              <c:numCache>
                <c:formatCode>General</c:formatCode>
                <c:ptCount val="17"/>
                <c:pt idx="0">
                  <c:v>3.95</c:v>
                </c:pt>
                <c:pt idx="1">
                  <c:v>61.91</c:v>
                </c:pt>
                <c:pt idx="2">
                  <c:v>14.57</c:v>
                </c:pt>
                <c:pt idx="3">
                  <c:v>0</c:v>
                </c:pt>
                <c:pt idx="4">
                  <c:v>0</c:v>
                </c:pt>
                <c:pt idx="5">
                  <c:v>0</c:v>
                </c:pt>
                <c:pt idx="6">
                  <c:v>0</c:v>
                </c:pt>
                <c:pt idx="7">
                  <c:v>0</c:v>
                </c:pt>
                <c:pt idx="8">
                  <c:v>0.46</c:v>
                </c:pt>
                <c:pt idx="9">
                  <c:v>1.53</c:v>
                </c:pt>
                <c:pt idx="10">
                  <c:v>0</c:v>
                </c:pt>
                <c:pt idx="11">
                  <c:v>3</c:v>
                </c:pt>
                <c:pt idx="12">
                  <c:v>1.24</c:v>
                </c:pt>
                <c:pt idx="13">
                  <c:v>4.88</c:v>
                </c:pt>
                <c:pt idx="14">
                  <c:v>0</c:v>
                </c:pt>
                <c:pt idx="15">
                  <c:v>0</c:v>
                </c:pt>
                <c:pt idx="16">
                  <c:v>0</c:v>
                </c:pt>
              </c:numCache>
            </c:numRef>
          </c:yVal>
          <c:smooth val="0"/>
          <c:extLst>
            <c:ext xmlns:c16="http://schemas.microsoft.com/office/drawing/2014/chart" uri="{C3380CC4-5D6E-409C-BE32-E72D297353CC}">
              <c16:uniqueId val="{00000000-3FB9-4098-8ED4-559C6031D161}"/>
            </c:ext>
          </c:extLst>
        </c:ser>
        <c:dLbls>
          <c:showLegendKey val="0"/>
          <c:showVal val="0"/>
          <c:showCatName val="0"/>
          <c:showSerName val="0"/>
          <c:showPercent val="0"/>
          <c:showBubbleSize val="0"/>
        </c:dLbls>
        <c:axId val="-917658816"/>
        <c:axId val="-917658272"/>
      </c:scatterChart>
      <c:valAx>
        <c:axId val="-917658816"/>
        <c:scaling>
          <c:orientation val="minMax"/>
        </c:scaling>
        <c:delete val="0"/>
        <c:axPos val="b"/>
        <c:majorGridlines>
          <c:spPr>
            <a:ln w="9525">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Year</a:t>
                </a: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BD"/>
            </a:p>
          </c:txPr>
        </c:title>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all" spc="120" normalizeH="0" baseline="0">
                <a:solidFill>
                  <a:schemeClr val="tx1">
                    <a:lumMod val="65000"/>
                    <a:lumOff val="35000"/>
                  </a:schemeClr>
                </a:solidFill>
                <a:latin typeface="+mn-lt"/>
                <a:ea typeface="+mn-ea"/>
                <a:cs typeface="+mn-cs"/>
              </a:defRPr>
            </a:pPr>
            <a:endParaRPr lang="en-BD"/>
          </a:p>
        </c:txPr>
        <c:crossAx val="-917658272"/>
        <c:crosses val="autoZero"/>
        <c:crossBetween val="midCat"/>
      </c:valAx>
      <c:valAx>
        <c:axId val="-917658272"/>
        <c:scaling>
          <c:orientation val="minMax"/>
        </c:scaling>
        <c:delete val="0"/>
        <c:axPos val="l"/>
        <c:majorGridlines>
          <c:spPr>
            <a:ln w="9525">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Million</a:t>
                </a:r>
                <a:r>
                  <a:rPr lang="en-US" baseline="0"/>
                  <a:t> US$</a:t>
                </a:r>
                <a:endParaRPr lang="en-US"/>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BD"/>
            </a:p>
          </c:txPr>
        </c:title>
        <c:numFmt formatCode="General" sourceLinked="1"/>
        <c:majorTickMark val="none"/>
        <c:minorTickMark val="none"/>
        <c:tickLblPos val="nextTo"/>
        <c:spPr>
          <a:noFill/>
          <a:ln w="9525">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917658816"/>
        <c:crosses val="autoZero"/>
        <c:crossBetween val="midCat"/>
      </c:valAx>
      <c:spPr>
        <a:noFill/>
        <a:ln>
          <a:noFill/>
        </a:ln>
        <a:effectLst/>
      </c:spPr>
    </c:plotArea>
    <c:plotVisOnly val="1"/>
    <c:dispBlanksAs val="gap"/>
    <c:showDLblsOverMax val="0"/>
  </c:chart>
  <c:spPr>
    <a:solidFill>
      <a:schemeClr val="lt1"/>
    </a:solidFill>
    <a:ln w="9525">
      <a:solidFill>
        <a:schemeClr val="tx1">
          <a:lumMod val="15000"/>
          <a:lumOff val="85000"/>
        </a:schemeClr>
      </a:solidFill>
      <a:round/>
    </a:ln>
    <a:effectLst/>
  </c:spPr>
  <c:txPr>
    <a:bodyPr/>
    <a:lstStyle/>
    <a:p>
      <a:pPr>
        <a:defRPr/>
      </a:pPr>
      <a:endParaRPr lang="en-BD"/>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Sheet1!$R$1</c:f>
              <c:strCache>
                <c:ptCount val="1"/>
                <c:pt idx="0">
                  <c:v>Foreign Aid</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01-EA27-44F3-A5BE-8A629BD439DD}"/>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03-EA27-44F3-A5BE-8A629BD439DD}"/>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c:ext xmlns:c16="http://schemas.microsoft.com/office/drawing/2014/chart" uri="{C3380CC4-5D6E-409C-BE32-E72D297353CC}">
                <c16:uniqueId val="{00000005-EA27-44F3-A5BE-8A629BD439DD}"/>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7-EA27-44F3-A5BE-8A629BD439DD}"/>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extLst>
              <c:ext xmlns:c16="http://schemas.microsoft.com/office/drawing/2014/chart" uri="{C3380CC4-5D6E-409C-BE32-E72D297353CC}">
                <c16:uniqueId val="{00000009-EA27-44F3-A5BE-8A629BD439DD}"/>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extLst>
              <c:ext xmlns:c16="http://schemas.microsoft.com/office/drawing/2014/chart" uri="{C3380CC4-5D6E-409C-BE32-E72D297353CC}">
                <c16:uniqueId val="{0000000B-EA27-44F3-A5BE-8A629BD439DD}"/>
              </c:ext>
            </c:extLst>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0D-EA27-44F3-A5BE-8A629BD439DD}"/>
              </c:ext>
            </c:extLst>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0F-EA27-44F3-A5BE-8A629BD439DD}"/>
              </c:ext>
            </c:extLst>
          </c:dPt>
          <c:dPt>
            <c:idx val="8"/>
            <c:bubble3D val="0"/>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11-EA27-44F3-A5BE-8A629BD439DD}"/>
              </c:ext>
            </c:extLst>
          </c:dPt>
          <c:dPt>
            <c:idx val="9"/>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13-EA27-44F3-A5BE-8A629BD439DD}"/>
              </c:ext>
            </c:extLst>
          </c:dPt>
          <c:dPt>
            <c:idx val="10"/>
            <c:bubble3D val="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15-EA27-44F3-A5BE-8A629BD439DD}"/>
              </c:ext>
            </c:extLst>
          </c:dPt>
          <c:dPt>
            <c:idx val="11"/>
            <c:bubble3D val="0"/>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17-EA27-44F3-A5BE-8A629BD439DD}"/>
              </c:ext>
            </c:extLst>
          </c:dPt>
          <c:dPt>
            <c:idx val="12"/>
            <c:bubble3D val="0"/>
            <c:spPr>
              <a:gradFill rotWithShape="1">
                <a:gsLst>
                  <a:gs pos="0">
                    <a:schemeClr val="accent1">
                      <a:lumMod val="80000"/>
                      <a:lumOff val="20000"/>
                      <a:satMod val="103000"/>
                      <a:lumMod val="102000"/>
                      <a:tint val="94000"/>
                    </a:schemeClr>
                  </a:gs>
                  <a:gs pos="50000">
                    <a:schemeClr val="accent1">
                      <a:lumMod val="80000"/>
                      <a:lumOff val="20000"/>
                      <a:satMod val="110000"/>
                      <a:lumMod val="100000"/>
                      <a:shade val="100000"/>
                    </a:schemeClr>
                  </a:gs>
                  <a:gs pos="100000">
                    <a:schemeClr val="accent1">
                      <a:lumMod val="80000"/>
                      <a:lumOff val="20000"/>
                      <a:lumMod val="99000"/>
                      <a:satMod val="120000"/>
                      <a:shade val="78000"/>
                    </a:schemeClr>
                  </a:gs>
                </a:gsLst>
                <a:lin ang="5400000" scaled="0"/>
              </a:gradFill>
              <a:ln>
                <a:noFill/>
              </a:ln>
              <a:effectLst/>
              <a:sp3d/>
            </c:spPr>
            <c:extLst>
              <c:ext xmlns:c16="http://schemas.microsoft.com/office/drawing/2014/chart" uri="{C3380CC4-5D6E-409C-BE32-E72D297353CC}">
                <c16:uniqueId val="{00000019-EA27-44F3-A5BE-8A629BD439DD}"/>
              </c:ext>
            </c:extLst>
          </c:dPt>
          <c:dLbls>
            <c:dLbl>
              <c:idx val="1"/>
              <c:layout>
                <c:manualLayout>
                  <c:x val="0.22648891244363686"/>
                  <c:y val="-0.22068983618427016"/>
                </c:manualLayout>
              </c:layout>
              <c:tx>
                <c:rich>
                  <a:bodyPr rot="0" spcFirstLastPara="1" vertOverflow="ellipsis" vert="horz" wrap="square" lIns="38100" tIns="19050" rIns="38100" bIns="19050" anchor="ctr" anchorCtr="1"/>
                  <a:lstStyle/>
                  <a:p>
                    <a:pPr>
                      <a:defRPr sz="900" b="0" i="0" u="none" strike="noStrike" kern="1200" baseline="0">
                        <a:solidFill>
                          <a:schemeClr val="tx2"/>
                        </a:solidFill>
                        <a:latin typeface="+mn-lt"/>
                        <a:ea typeface="+mn-ea"/>
                        <a:cs typeface="+mn-cs"/>
                      </a:defRPr>
                    </a:pPr>
                    <a:fld id="{B252F651-AE1E-4226-9DC0-54ED7AB220C0}" type="CATEGORYNAME">
                      <a:rPr lang="en-US"/>
                      <a:pPr>
                        <a:defRPr/>
                      </a:pPr>
                      <a:t>[CATEGORY NAME]</a:t>
                    </a:fld>
                    <a:r>
                      <a:rPr lang="en-US" baseline="0">
                        <a:solidFill>
                          <a:srgbClr val="FF0000"/>
                        </a:solidFill>
                      </a:rPr>
                      <a:t>
</a:t>
                    </a:r>
                    <a:fld id="{9B6B9956-E4B1-4C15-A016-733B33E34FE1}" type="PERCENTAGE">
                      <a:rPr lang="en-US"/>
                      <a:pPr>
                        <a:defRPr/>
                      </a:pPr>
                      <a:t>[PERCENTAGE]</a:t>
                    </a:fld>
                    <a:endParaRPr lang="en-US" baseline="0">
                      <a:solidFill>
                        <a:srgbClr val="FF0000"/>
                      </a:solidFill>
                    </a:endParaRPr>
                  </a:p>
                </c:rich>
              </c:tx>
              <c:spPr>
                <a:noFill/>
                <a:ln>
                  <a:noFill/>
                </a:ln>
                <a:effectLst/>
              </c:spPr>
              <c:txPr>
                <a:bodyPr rot="0" spcFirstLastPara="1" vertOverflow="ellipsis" vert="horz" wrap="square" lIns="38100" tIns="19050" rIns="38100" bIns="19050" anchor="ctr" anchorCtr="1"/>
                <a:lstStyle/>
                <a:p>
                  <a:pPr>
                    <a:defRPr sz="900" b="0" i="0" u="none" strike="noStrike" kern="1200" baseline="0">
                      <a:solidFill>
                        <a:schemeClr val="tx2"/>
                      </a:solidFill>
                      <a:latin typeface="+mn-lt"/>
                      <a:ea typeface="+mn-ea"/>
                      <a:cs typeface="+mn-cs"/>
                    </a:defRPr>
                  </a:pPr>
                  <a:endParaRPr lang="en-BD"/>
                </a:p>
              </c:txPr>
              <c:dLblPos val="bestFit"/>
              <c:showLegendKey val="0"/>
              <c:showVal val="0"/>
              <c:showCatName val="1"/>
              <c:showSerName val="0"/>
              <c:showPercent val="1"/>
              <c:showBubbleSize val="0"/>
              <c:extLst>
                <c:ext xmlns:c15="http://schemas.microsoft.com/office/drawing/2012/chart" uri="{CE6537A1-D6FC-4f65-9D91-7224C49458BB}">
                  <c15:layout>
                    <c:manualLayout>
                      <c:w val="9.6410256410256384E-2"/>
                      <c:h val="0.14239080459770112"/>
                    </c:manualLayout>
                  </c15:layout>
                  <c15:dlblFieldTable/>
                  <c15:showDataLabelsRange val="0"/>
                </c:ext>
                <c:ext xmlns:c16="http://schemas.microsoft.com/office/drawing/2014/chart" uri="{C3380CC4-5D6E-409C-BE32-E72D297353CC}">
                  <c16:uniqueId val="{00000003-EA27-44F3-A5BE-8A629BD439DD}"/>
                </c:ext>
              </c:extLst>
            </c:dLbl>
            <c:dLbl>
              <c:idx val="2"/>
              <c:layout>
                <c:manualLayout>
                  <c:x val="8.5470085470085319E-2"/>
                  <c:y val="-2.7586206896551894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EA27-44F3-A5BE-8A629BD439DD}"/>
                </c:ext>
              </c:extLst>
            </c:dLbl>
            <c:dLbl>
              <c:idx val="4"/>
              <c:layout>
                <c:manualLayout>
                  <c:x val="3.2051282051281972E-2"/>
                  <c:y val="0"/>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EA27-44F3-A5BE-8A629BD439DD}"/>
                </c:ext>
              </c:extLst>
            </c:dLbl>
            <c:dLbl>
              <c:idx val="6"/>
              <c:layout>
                <c:manualLayout>
                  <c:x val="-7.2649572649572683E-2"/>
                  <c:y val="2.2988505747126436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EA27-44F3-A5BE-8A629BD439DD}"/>
                </c:ext>
              </c:extLst>
            </c:dLbl>
            <c:dLbl>
              <c:idx val="7"/>
              <c:layout>
                <c:manualLayout>
                  <c:x val="-0.12393162393162394"/>
                  <c:y val="3.6781609195402132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EA27-44F3-A5BE-8A629BD439D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BD"/>
              </a:p>
            </c:txPr>
            <c:dLblPos val="outEnd"/>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Sheet1!$A$2:$A$14</c:f>
              <c:strCache>
                <c:ptCount val="12"/>
                <c:pt idx="0">
                  <c:v>JAPAN</c:v>
                </c:pt>
                <c:pt idx="1">
                  <c:v>USA</c:v>
                </c:pt>
                <c:pt idx="2">
                  <c:v>CANADA</c:v>
                </c:pt>
                <c:pt idx="3">
                  <c:v>UK</c:v>
                </c:pt>
                <c:pt idx="4">
                  <c:v>SWEDEN </c:v>
                </c:pt>
                <c:pt idx="5">
                  <c:v>DENMARK</c:v>
                </c:pt>
                <c:pt idx="6">
                  <c:v>FRANCE</c:v>
                </c:pt>
                <c:pt idx="7">
                  <c:v>INDIA </c:v>
                </c:pt>
                <c:pt idx="8">
                  <c:v>KUWAIT</c:v>
                </c:pt>
                <c:pt idx="9">
                  <c:v>SOUTH KOREA</c:v>
                </c:pt>
                <c:pt idx="10">
                  <c:v>CHINA</c:v>
                </c:pt>
                <c:pt idx="11">
                  <c:v>RUSSIA</c:v>
                </c:pt>
              </c:strCache>
            </c:strRef>
          </c:cat>
          <c:val>
            <c:numRef>
              <c:f>Sheet1!$R$2:$R$14</c:f>
              <c:numCache>
                <c:formatCode>General</c:formatCode>
                <c:ptCount val="13"/>
                <c:pt idx="0">
                  <c:v>8473.17</c:v>
                </c:pt>
                <c:pt idx="1">
                  <c:v>91.539999999999992</c:v>
                </c:pt>
                <c:pt idx="2">
                  <c:v>260.82</c:v>
                </c:pt>
                <c:pt idx="3">
                  <c:v>1244.5700000000002</c:v>
                </c:pt>
                <c:pt idx="4">
                  <c:v>226.58700000000002</c:v>
                </c:pt>
                <c:pt idx="5">
                  <c:v>479.48000000000008</c:v>
                </c:pt>
                <c:pt idx="6">
                  <c:v>137.94</c:v>
                </c:pt>
                <c:pt idx="7">
                  <c:v>927.16</c:v>
                </c:pt>
                <c:pt idx="8">
                  <c:v>214.20800000000003</c:v>
                </c:pt>
                <c:pt idx="9">
                  <c:v>599.33100000000002</c:v>
                </c:pt>
                <c:pt idx="10">
                  <c:v>3202.6</c:v>
                </c:pt>
                <c:pt idx="11">
                  <c:v>3600.2900000000004</c:v>
                </c:pt>
                <c:pt idx="12">
                  <c:v>0</c:v>
                </c:pt>
              </c:numCache>
            </c:numRef>
          </c:val>
          <c:extLst>
            <c:ext xmlns:c16="http://schemas.microsoft.com/office/drawing/2014/chart" uri="{C3380CC4-5D6E-409C-BE32-E72D297353CC}">
              <c16:uniqueId val="{0000001A-EA27-44F3-A5BE-8A629BD439DD}"/>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a:solidFill>
        <a:schemeClr val="tx2">
          <a:lumMod val="15000"/>
          <a:lumOff val="85000"/>
        </a:schemeClr>
      </a:solidFill>
      <a:round/>
    </a:ln>
    <a:effectLst/>
  </c:spPr>
  <c:txPr>
    <a:bodyPr/>
    <a:lstStyle/>
    <a:p>
      <a:pPr>
        <a:defRPr/>
      </a:pPr>
      <a:endParaRPr lang="en-BD"/>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Sheet1!$B$1</c:f>
              <c:strCache>
                <c:ptCount val="1"/>
                <c:pt idx="0">
                  <c:v>Total Import</c:v>
                </c:pt>
              </c:strCache>
            </c:strRef>
          </c:tx>
          <c:spPr>
            <a:ln w="28575" cap="rnd">
              <a:solidFill>
                <a:schemeClr val="accent1"/>
              </a:solidFill>
              <a:round/>
            </a:ln>
            <a:effectLst/>
          </c:spPr>
          <c:marker>
            <c:symbol val="none"/>
          </c:marker>
          <c:cat>
            <c:strRef>
              <c:f>Sheet1!$A$2:$A$38</c:f>
              <c:strCache>
                <c:ptCount val="37"/>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pt idx="28">
                  <c:v>2013</c:v>
                </c:pt>
                <c:pt idx="29">
                  <c:v>2014</c:v>
                </c:pt>
                <c:pt idx="30">
                  <c:v>2015</c:v>
                </c:pt>
                <c:pt idx="31">
                  <c:v>2016</c:v>
                </c:pt>
                <c:pt idx="32">
                  <c:v>2017</c:v>
                </c:pt>
                <c:pt idx="33">
                  <c:v>2018</c:v>
                </c:pt>
                <c:pt idx="34">
                  <c:v>2019</c:v>
                </c:pt>
                <c:pt idx="35">
                  <c:v>2020</c:v>
                </c:pt>
                <c:pt idx="36">
                  <c:v>2021</c:v>
                </c:pt>
              </c:strCache>
            </c:strRef>
          </c:cat>
          <c:val>
            <c:numRef>
              <c:f>Sheet1!$B$2:$B$38</c:f>
              <c:numCache>
                <c:formatCode>General</c:formatCode>
                <c:ptCount val="37"/>
                <c:pt idx="0">
                  <c:v>196</c:v>
                </c:pt>
                <c:pt idx="1">
                  <c:v>229.99999999999997</c:v>
                </c:pt>
                <c:pt idx="2">
                  <c:v>369.80000000000007</c:v>
                </c:pt>
                <c:pt idx="3">
                  <c:v>367.09999999999997</c:v>
                </c:pt>
                <c:pt idx="4">
                  <c:v>428.00000000000006</c:v>
                </c:pt>
                <c:pt idx="5">
                  <c:v>538.9</c:v>
                </c:pt>
                <c:pt idx="6">
                  <c:v>523.80000000000007</c:v>
                </c:pt>
                <c:pt idx="7">
                  <c:v>831</c:v>
                </c:pt>
                <c:pt idx="8">
                  <c:v>886.4</c:v>
                </c:pt>
                <c:pt idx="9">
                  <c:v>1080</c:v>
                </c:pt>
                <c:pt idx="10">
                  <c:v>1257.2</c:v>
                </c:pt>
                <c:pt idx="11">
                  <c:v>1343.0000000000002</c:v>
                </c:pt>
                <c:pt idx="12">
                  <c:v>1679.4</c:v>
                </c:pt>
                <c:pt idx="13">
                  <c:v>1845.9999999999995</c:v>
                </c:pt>
                <c:pt idx="14">
                  <c:v>1918.1</c:v>
                </c:pt>
                <c:pt idx="15">
                  <c:v>2417.5</c:v>
                </c:pt>
                <c:pt idx="16">
                  <c:v>2358.9</c:v>
                </c:pt>
                <c:pt idx="17">
                  <c:v>2134.1</c:v>
                </c:pt>
                <c:pt idx="18">
                  <c:v>2073.8719009999995</c:v>
                </c:pt>
                <c:pt idx="19">
                  <c:v>2302.5897190000005</c:v>
                </c:pt>
                <c:pt idx="20">
                  <c:v>2693.0350349999999</c:v>
                </c:pt>
                <c:pt idx="21">
                  <c:v>3271.3960050000005</c:v>
                </c:pt>
                <c:pt idx="22">
                  <c:v>3432.0803040000001</c:v>
                </c:pt>
                <c:pt idx="23">
                  <c:v>3748.4404380000005</c:v>
                </c:pt>
                <c:pt idx="24">
                  <c:v>3698.9524419999998</c:v>
                </c:pt>
                <c:pt idx="25">
                  <c:v>4293.9201869999997</c:v>
                </c:pt>
                <c:pt idx="26">
                  <c:v>4877.1049379999995</c:v>
                </c:pt>
                <c:pt idx="27">
                  <c:v>4915.5695020000003</c:v>
                </c:pt>
                <c:pt idx="28">
                  <c:v>5351.935923</c:v>
                </c:pt>
                <c:pt idx="29">
                  <c:v>5276.7595110000002</c:v>
                </c:pt>
                <c:pt idx="30">
                  <c:v>5990.4669430000004</c:v>
                </c:pt>
                <c:pt idx="31">
                  <c:v>5910.076118</c:v>
                </c:pt>
                <c:pt idx="32">
                  <c:v>5686.125763</c:v>
                </c:pt>
                <c:pt idx="33">
                  <c:v>6098.2563380000001</c:v>
                </c:pt>
                <c:pt idx="34">
                  <c:v>6671.0194499999989</c:v>
                </c:pt>
                <c:pt idx="35">
                  <c:v>6061.7827549999993</c:v>
                </c:pt>
                <c:pt idx="36">
                  <c:v>8299.4534120000008</c:v>
                </c:pt>
              </c:numCache>
            </c:numRef>
          </c:val>
          <c:smooth val="0"/>
          <c:extLst>
            <c:ext xmlns:c16="http://schemas.microsoft.com/office/drawing/2014/chart" uri="{C3380CC4-5D6E-409C-BE32-E72D297353CC}">
              <c16:uniqueId val="{00000000-9BF5-4D3D-98FA-366D595370CA}"/>
            </c:ext>
          </c:extLst>
        </c:ser>
        <c:ser>
          <c:idx val="1"/>
          <c:order val="1"/>
          <c:tx>
            <c:strRef>
              <c:f>Sheet1!$C$1</c:f>
              <c:strCache>
                <c:ptCount val="1"/>
                <c:pt idx="0">
                  <c:v>Total Export</c:v>
                </c:pt>
              </c:strCache>
            </c:strRef>
          </c:tx>
          <c:spPr>
            <a:ln w="28575" cap="rnd">
              <a:solidFill>
                <a:schemeClr val="accent2"/>
              </a:solidFill>
              <a:round/>
            </a:ln>
            <a:effectLst/>
          </c:spPr>
          <c:marker>
            <c:symbol val="none"/>
          </c:marker>
          <c:cat>
            <c:strRef>
              <c:f>Sheet1!$A$2:$A$38</c:f>
              <c:strCache>
                <c:ptCount val="37"/>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pt idx="28">
                  <c:v>2013</c:v>
                </c:pt>
                <c:pt idx="29">
                  <c:v>2014</c:v>
                </c:pt>
                <c:pt idx="30">
                  <c:v>2015</c:v>
                </c:pt>
                <c:pt idx="31">
                  <c:v>2016</c:v>
                </c:pt>
                <c:pt idx="32">
                  <c:v>2017</c:v>
                </c:pt>
                <c:pt idx="33">
                  <c:v>2018</c:v>
                </c:pt>
                <c:pt idx="34">
                  <c:v>2019</c:v>
                </c:pt>
                <c:pt idx="35">
                  <c:v>2020</c:v>
                </c:pt>
                <c:pt idx="36">
                  <c:v>2021</c:v>
                </c:pt>
              </c:strCache>
            </c:strRef>
          </c:cat>
          <c:val>
            <c:numRef>
              <c:f>Sheet1!$C$2:$C$38</c:f>
              <c:numCache>
                <c:formatCode>General</c:formatCode>
                <c:ptCount val="37"/>
                <c:pt idx="0">
                  <c:v>218.9</c:v>
                </c:pt>
                <c:pt idx="1">
                  <c:v>164.90000000000003</c:v>
                </c:pt>
                <c:pt idx="2">
                  <c:v>193.1</c:v>
                </c:pt>
                <c:pt idx="3">
                  <c:v>258.10000000000002</c:v>
                </c:pt>
                <c:pt idx="4">
                  <c:v>281.40000000000003</c:v>
                </c:pt>
                <c:pt idx="5">
                  <c:v>181.5</c:v>
                </c:pt>
                <c:pt idx="6">
                  <c:v>178.79999999999998</c:v>
                </c:pt>
                <c:pt idx="7">
                  <c:v>188.09999999999997</c:v>
                </c:pt>
                <c:pt idx="8">
                  <c:v>254.49999999999997</c:v>
                </c:pt>
                <c:pt idx="9">
                  <c:v>231.9</c:v>
                </c:pt>
                <c:pt idx="10">
                  <c:v>325</c:v>
                </c:pt>
                <c:pt idx="11">
                  <c:v>210</c:v>
                </c:pt>
                <c:pt idx="12">
                  <c:v>259.00000000000006</c:v>
                </c:pt>
                <c:pt idx="13">
                  <c:v>318.59999999999997</c:v>
                </c:pt>
                <c:pt idx="14">
                  <c:v>274.10000000000002</c:v>
                </c:pt>
                <c:pt idx="15">
                  <c:v>239</c:v>
                </c:pt>
                <c:pt idx="16">
                  <c:v>307</c:v>
                </c:pt>
                <c:pt idx="17">
                  <c:v>269.19999999999993</c:v>
                </c:pt>
                <c:pt idx="18">
                  <c:v>225.884184</c:v>
                </c:pt>
                <c:pt idx="19">
                  <c:v>289.30257599999999</c:v>
                </c:pt>
                <c:pt idx="20">
                  <c:v>319.76975800000002</c:v>
                </c:pt>
                <c:pt idx="21">
                  <c:v>332.95133799999996</c:v>
                </c:pt>
                <c:pt idx="22">
                  <c:v>455.98558999999995</c:v>
                </c:pt>
                <c:pt idx="23">
                  <c:v>468.05441800000006</c:v>
                </c:pt>
                <c:pt idx="24">
                  <c:v>434.56844399999994</c:v>
                </c:pt>
                <c:pt idx="25">
                  <c:v>575.69801499999994</c:v>
                </c:pt>
                <c:pt idx="26">
                  <c:v>1144.148134</c:v>
                </c:pt>
                <c:pt idx="27">
                  <c:v>508.18070500000005</c:v>
                </c:pt>
                <c:pt idx="28">
                  <c:v>708.77758000000006</c:v>
                </c:pt>
                <c:pt idx="29">
                  <c:v>1113.2293870000001</c:v>
                </c:pt>
                <c:pt idx="30">
                  <c:v>942.520126</c:v>
                </c:pt>
                <c:pt idx="31">
                  <c:v>905.73060099999998</c:v>
                </c:pt>
                <c:pt idx="32">
                  <c:v>1473.8247349999999</c:v>
                </c:pt>
                <c:pt idx="33">
                  <c:v>2081.5271429999998</c:v>
                </c:pt>
                <c:pt idx="34">
                  <c:v>2339.320099</c:v>
                </c:pt>
                <c:pt idx="35">
                  <c:v>1851.7401219999997</c:v>
                </c:pt>
                <c:pt idx="36">
                  <c:v>2350.5147379999999</c:v>
                </c:pt>
              </c:numCache>
            </c:numRef>
          </c:val>
          <c:smooth val="0"/>
          <c:extLst>
            <c:ext xmlns:c16="http://schemas.microsoft.com/office/drawing/2014/chart" uri="{C3380CC4-5D6E-409C-BE32-E72D297353CC}">
              <c16:uniqueId val="{00000001-9BF5-4D3D-98FA-366D595370CA}"/>
            </c:ext>
          </c:extLst>
        </c:ser>
        <c:dLbls>
          <c:showLegendKey val="0"/>
          <c:showVal val="0"/>
          <c:showCatName val="0"/>
          <c:showSerName val="0"/>
          <c:showPercent val="0"/>
          <c:showBubbleSize val="0"/>
        </c:dLbls>
        <c:smooth val="0"/>
        <c:axId val="-1201900160"/>
        <c:axId val="-1201877856"/>
      </c:lineChart>
      <c:catAx>
        <c:axId val="-1201900160"/>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1201877856"/>
        <c:crosses val="autoZero"/>
        <c:auto val="1"/>
        <c:lblAlgn val="ctr"/>
        <c:lblOffset val="100"/>
        <c:noMultiLvlLbl val="0"/>
      </c:catAx>
      <c:valAx>
        <c:axId val="-1201877856"/>
        <c:scaling>
          <c:orientation val="minMax"/>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1201900160"/>
        <c:crosses val="autoZero"/>
        <c:crossBetween val="between"/>
      </c:valAx>
      <c:spPr>
        <a:noFill/>
        <a:ln>
          <a:noFill/>
        </a:ln>
        <a:effectLst/>
      </c:spPr>
    </c:plotArea>
    <c:legend>
      <c:legendPos val="b"/>
      <c:layout>
        <c:manualLayout>
          <c:xMode val="edge"/>
          <c:yMode val="edge"/>
          <c:x val="0.29772048804335388"/>
          <c:y val="0.2688003328852186"/>
          <c:w val="0.36492890502293557"/>
          <c:h val="6.859804109852121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a:solidFill>
        <a:schemeClr val="tx1">
          <a:lumMod val="15000"/>
          <a:lumOff val="85000"/>
        </a:schemeClr>
      </a:solidFill>
      <a:round/>
    </a:ln>
    <a:effectLst/>
  </c:spPr>
  <c:txPr>
    <a:bodyPr/>
    <a:lstStyle/>
    <a:p>
      <a:pPr>
        <a:defRPr/>
      </a:pPr>
      <a:endParaRPr lang="en-BD"/>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Sheet1!$B$1</c:f>
              <c:strCache>
                <c:ptCount val="1"/>
                <c:pt idx="0">
                  <c:v>Remittance inflow </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trendline>
            <c:spPr>
              <a:ln w="6350" cap="rnd">
                <a:solidFill>
                  <a:schemeClr val="accent1"/>
                </a:solidFill>
                <a:prstDash val="solid"/>
                <a:miter lim="800000"/>
              </a:ln>
              <a:effectLst/>
            </c:spPr>
            <c:trendlineType val="linear"/>
            <c:dispRSqr val="0"/>
            <c:dispEq val="0"/>
          </c:trendline>
          <c:xVal>
            <c:numRef>
              <c:f>Sheet1!$A$2:$A$17</c:f>
              <c:numCache>
                <c:formatCode>General</c:formatCode>
                <c:ptCount val="16"/>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numCache>
            </c:numRef>
          </c:xVal>
          <c:yVal>
            <c:numRef>
              <c:f>Sheet1!$B$2:$B$17</c:f>
              <c:numCache>
                <c:formatCode>General</c:formatCode>
                <c:ptCount val="16"/>
                <c:pt idx="0">
                  <c:v>557.30999999999995</c:v>
                </c:pt>
                <c:pt idx="1">
                  <c:v>760.69</c:v>
                </c:pt>
                <c:pt idx="2">
                  <c:v>930.33</c:v>
                </c:pt>
                <c:pt idx="3">
                  <c:v>1380.08</c:v>
                </c:pt>
                <c:pt idx="4">
                  <c:v>1575.22</c:v>
                </c:pt>
                <c:pt idx="5">
                  <c:v>1890.31</c:v>
                </c:pt>
                <c:pt idx="6">
                  <c:v>1848.5</c:v>
                </c:pt>
                <c:pt idx="7">
                  <c:v>1498.46</c:v>
                </c:pt>
                <c:pt idx="8">
                  <c:v>1859.76</c:v>
                </c:pt>
                <c:pt idx="9">
                  <c:v>2323.3200000000002</c:v>
                </c:pt>
                <c:pt idx="10">
                  <c:v>2380.19</c:v>
                </c:pt>
                <c:pt idx="11">
                  <c:v>2424.3200000000002</c:v>
                </c:pt>
                <c:pt idx="12">
                  <c:v>1688.86</c:v>
                </c:pt>
                <c:pt idx="13">
                  <c:v>1997.49</c:v>
                </c:pt>
                <c:pt idx="14">
                  <c:v>1842.86</c:v>
                </c:pt>
                <c:pt idx="15">
                  <c:v>2403.4</c:v>
                </c:pt>
              </c:numCache>
            </c:numRef>
          </c:yVal>
          <c:smooth val="0"/>
          <c:extLst>
            <c:ext xmlns:c16="http://schemas.microsoft.com/office/drawing/2014/chart" uri="{C3380CC4-5D6E-409C-BE32-E72D297353CC}">
              <c16:uniqueId val="{00000000-B87D-4649-B308-9A8185DE8578}"/>
            </c:ext>
          </c:extLst>
        </c:ser>
        <c:dLbls>
          <c:showLegendKey val="0"/>
          <c:showVal val="0"/>
          <c:showCatName val="0"/>
          <c:showSerName val="0"/>
          <c:showPercent val="0"/>
          <c:showBubbleSize val="0"/>
        </c:dLbls>
        <c:axId val="-1201875680"/>
        <c:axId val="-1201884928"/>
      </c:scatterChart>
      <c:valAx>
        <c:axId val="-1201875680"/>
        <c:scaling>
          <c:orientation val="minMax"/>
        </c:scaling>
        <c:delete val="0"/>
        <c:axPos val="b"/>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w="9525">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1201884928"/>
        <c:crosses val="autoZero"/>
        <c:crossBetween val="midCat"/>
      </c:valAx>
      <c:valAx>
        <c:axId val="-1201884928"/>
        <c:scaling>
          <c:orientation val="minMax"/>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w="9525">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1201875680"/>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BD"/>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Sheet1!$A$2</c:f>
              <c:strCache>
                <c:ptCount val="1"/>
                <c:pt idx="0">
                  <c:v>2019-20</c:v>
                </c:pt>
              </c:strCache>
            </c:strRef>
          </c:tx>
          <c:spPr>
            <a:solidFill>
              <a:schemeClr val="accent1"/>
            </a:solidFill>
            <a:ln>
              <a:noFill/>
            </a:ln>
            <a:effectLst/>
          </c:spPr>
          <c:invertIfNegative val="0"/>
          <c:cat>
            <c:strRef>
              <c:f>Sheet1!$B$1:$K$1</c:f>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f>Sheet1!$B$2:$K$2</c:f>
              <c:numCache>
                <c:formatCode>General</c:formatCode>
                <c:ptCount val="10"/>
                <c:pt idx="0">
                  <c:v>2403.4</c:v>
                </c:pt>
                <c:pt idx="1">
                  <c:v>4015.16</c:v>
                </c:pt>
                <c:pt idx="2">
                  <c:v>2472.56</c:v>
                </c:pt>
                <c:pt idx="3">
                  <c:v>1019.6</c:v>
                </c:pt>
                <c:pt idx="4">
                  <c:v>1240.54</c:v>
                </c:pt>
                <c:pt idx="5">
                  <c:v>1372.24</c:v>
                </c:pt>
                <c:pt idx="6">
                  <c:v>1364.89</c:v>
                </c:pt>
                <c:pt idx="7">
                  <c:v>1231.3</c:v>
                </c:pt>
                <c:pt idx="8">
                  <c:v>457.4</c:v>
                </c:pt>
                <c:pt idx="9">
                  <c:v>699.15</c:v>
                </c:pt>
              </c:numCache>
            </c:numRef>
          </c:val>
          <c:extLst>
            <c:ext xmlns:c16="http://schemas.microsoft.com/office/drawing/2014/chart" uri="{C3380CC4-5D6E-409C-BE32-E72D297353CC}">
              <c16:uniqueId val="{00000000-8F8B-4C93-B18E-327FDF3F00F5}"/>
            </c:ext>
          </c:extLst>
        </c:ser>
        <c:dLbls>
          <c:showLegendKey val="0"/>
          <c:showVal val="0"/>
          <c:showCatName val="0"/>
          <c:showSerName val="0"/>
          <c:showPercent val="0"/>
          <c:showBubbleSize val="0"/>
        </c:dLbls>
        <c:gapWidth val="219"/>
        <c:overlap val="-27"/>
        <c:axId val="-1201895264"/>
        <c:axId val="-1201893088"/>
        <c:extLst>
          <c:ext xmlns:c15="http://schemas.microsoft.com/office/drawing/2012/chart" uri="{02D57815-91ED-43cb-92C2-25804820EDAC}">
            <c15:filteredBarSeries>
              <c15:ser>
                <c:idx val="1"/>
                <c:order val="1"/>
                <c:tx>
                  <c:strRef>
                    <c:extLst>
                      <c:ext uri="{02D57815-91ED-43cb-92C2-25804820EDAC}">
                        <c15:formulaRef>
                          <c15:sqref>Sheet1!$A$3</c15:sqref>
                        </c15:formulaRef>
                      </c:ext>
                    </c:extLst>
                    <c:strCache>
                      <c:ptCount val="1"/>
                    </c:strCache>
                  </c:strRef>
                </c:tx>
                <c:spPr>
                  <a:solidFill>
                    <a:schemeClr val="accent2"/>
                  </a:solidFill>
                  <a:ln>
                    <a:noFill/>
                  </a:ln>
                  <a:effectLst/>
                </c:spPr>
                <c:invertIfNegative val="0"/>
                <c:cat>
                  <c:strRef>
                    <c:extLst>
                      <c:ex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c:ext uri="{02D57815-91ED-43cb-92C2-25804820EDAC}">
                        <c15:formulaRef>
                          <c15:sqref>Sheet1!$B$3:$K$3</c15:sqref>
                        </c15:formulaRef>
                      </c:ext>
                    </c:extLst>
                    <c:numCache>
                      <c:formatCode>General</c:formatCode>
                      <c:ptCount val="10"/>
                    </c:numCache>
                  </c:numRef>
                </c:val>
                <c:extLst>
                  <c:ext xmlns:c16="http://schemas.microsoft.com/office/drawing/2014/chart" uri="{C3380CC4-5D6E-409C-BE32-E72D297353CC}">
                    <c16:uniqueId val="{00000001-8F8B-4C93-B18E-327FDF3F00F5}"/>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Sheet1!$A$4</c15:sqref>
                        </c15:formulaRef>
                      </c:ext>
                    </c:extLst>
                    <c:strCache>
                      <c:ptCount val="1"/>
                    </c:strCache>
                  </c:strRef>
                </c:tx>
                <c:spPr>
                  <a:solidFill>
                    <a:schemeClr val="accent3"/>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Sheet1!$B$4:$K$4</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2-8F8B-4C93-B18E-327FDF3F00F5}"/>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Sheet1!$A$5</c15:sqref>
                        </c15:formulaRef>
                      </c:ext>
                    </c:extLst>
                    <c:strCache>
                      <c:ptCount val="1"/>
                    </c:strCache>
                  </c:strRef>
                </c:tx>
                <c:spPr>
                  <a:solidFill>
                    <a:schemeClr val="accent4"/>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Sheet1!$B$5:$K$5</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3-8F8B-4C93-B18E-327FDF3F00F5}"/>
                  </c:ext>
                </c:extLst>
              </c15:ser>
            </c15:filteredBarSeries>
            <c15:filteredBarSeries>
              <c15:ser>
                <c:idx val="4"/>
                <c:order val="4"/>
                <c:tx>
                  <c:strRef>
                    <c:extLst xmlns:c15="http://schemas.microsoft.com/office/drawing/2012/chart">
                      <c:ext xmlns:c15="http://schemas.microsoft.com/office/drawing/2012/chart" uri="{02D57815-91ED-43cb-92C2-25804820EDAC}">
                        <c15:formulaRef>
                          <c15:sqref>Sheet1!$A$6</c15:sqref>
                        </c15:formulaRef>
                      </c:ext>
                    </c:extLst>
                    <c:strCache>
                      <c:ptCount val="1"/>
                    </c:strCache>
                  </c:strRef>
                </c:tx>
                <c:spPr>
                  <a:solidFill>
                    <a:schemeClr val="accent5"/>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Sheet1!$B$6:$K$6</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4-8F8B-4C93-B18E-327FDF3F00F5}"/>
                  </c:ext>
                </c:extLst>
              </c15:ser>
            </c15:filteredBarSeries>
            <c15:filteredBarSeries>
              <c15:ser>
                <c:idx val="5"/>
                <c:order val="5"/>
                <c:tx>
                  <c:strRef>
                    <c:extLst xmlns:c15="http://schemas.microsoft.com/office/drawing/2012/chart">
                      <c:ext xmlns:c15="http://schemas.microsoft.com/office/drawing/2012/chart" uri="{02D57815-91ED-43cb-92C2-25804820EDAC}">
                        <c15:formulaRef>
                          <c15:sqref>Sheet1!$A$7</c15:sqref>
                        </c15:formulaRef>
                      </c:ext>
                    </c:extLst>
                    <c:strCache>
                      <c:ptCount val="1"/>
                    </c:strCache>
                  </c:strRef>
                </c:tx>
                <c:spPr>
                  <a:solidFill>
                    <a:schemeClr val="accent6"/>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Sheet1!$B$7:$K$7</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5-8F8B-4C93-B18E-327FDF3F00F5}"/>
                  </c:ext>
                </c:extLst>
              </c15:ser>
            </c15:filteredBarSeries>
            <c15:filteredBarSeries>
              <c15:ser>
                <c:idx val="6"/>
                <c:order val="6"/>
                <c:tx>
                  <c:strRef>
                    <c:extLst xmlns:c15="http://schemas.microsoft.com/office/drawing/2012/chart">
                      <c:ext xmlns:c15="http://schemas.microsoft.com/office/drawing/2012/chart" uri="{02D57815-91ED-43cb-92C2-25804820EDAC}">
                        <c15:formulaRef>
                          <c15:sqref>Sheet1!$A$8</c15:sqref>
                        </c15:formulaRef>
                      </c:ext>
                    </c:extLst>
                    <c:strCache>
                      <c:ptCount val="1"/>
                    </c:strCache>
                  </c:strRef>
                </c:tx>
                <c:spPr>
                  <a:solidFill>
                    <a:schemeClr val="accent1">
                      <a:lumMod val="60000"/>
                    </a:schemeClr>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Sheet1!$B$8:$K$8</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6-8F8B-4C93-B18E-327FDF3F00F5}"/>
                  </c:ext>
                </c:extLst>
              </c15:ser>
            </c15:filteredBarSeries>
            <c15:filteredBarSeries>
              <c15:ser>
                <c:idx val="7"/>
                <c:order val="7"/>
                <c:tx>
                  <c:strRef>
                    <c:extLst xmlns:c15="http://schemas.microsoft.com/office/drawing/2012/chart">
                      <c:ext xmlns:c15="http://schemas.microsoft.com/office/drawing/2012/chart" uri="{02D57815-91ED-43cb-92C2-25804820EDAC}">
                        <c15:formulaRef>
                          <c15:sqref>Sheet1!$A$9</c15:sqref>
                        </c15:formulaRef>
                      </c:ext>
                    </c:extLst>
                    <c:strCache>
                      <c:ptCount val="1"/>
                    </c:strCache>
                  </c:strRef>
                </c:tx>
                <c:spPr>
                  <a:solidFill>
                    <a:schemeClr val="accent2">
                      <a:lumMod val="60000"/>
                    </a:schemeClr>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Sheet1!$B$9:$K$9</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7-8F8B-4C93-B18E-327FDF3F00F5}"/>
                  </c:ext>
                </c:extLst>
              </c15:ser>
            </c15:filteredBarSeries>
            <c15:filteredBarSeries>
              <c15:ser>
                <c:idx val="8"/>
                <c:order val="8"/>
                <c:tx>
                  <c:strRef>
                    <c:extLst xmlns:c15="http://schemas.microsoft.com/office/drawing/2012/chart">
                      <c:ext xmlns:c15="http://schemas.microsoft.com/office/drawing/2012/chart" uri="{02D57815-91ED-43cb-92C2-25804820EDAC}">
                        <c15:formulaRef>
                          <c15:sqref>Sheet1!$A$10</c15:sqref>
                        </c15:formulaRef>
                      </c:ext>
                    </c:extLst>
                    <c:strCache>
                      <c:ptCount val="1"/>
                    </c:strCache>
                  </c:strRef>
                </c:tx>
                <c:spPr>
                  <a:solidFill>
                    <a:schemeClr val="accent3">
                      <a:lumMod val="60000"/>
                    </a:schemeClr>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Sheet1!$B$10:$K$10</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8-8F8B-4C93-B18E-327FDF3F00F5}"/>
                  </c:ext>
                </c:extLst>
              </c15:ser>
            </c15:filteredBarSeries>
            <c15:filteredBarSeries>
              <c15:ser>
                <c:idx val="9"/>
                <c:order val="9"/>
                <c:tx>
                  <c:strRef>
                    <c:extLst xmlns:c15="http://schemas.microsoft.com/office/drawing/2012/chart">
                      <c:ext xmlns:c15="http://schemas.microsoft.com/office/drawing/2012/chart" uri="{02D57815-91ED-43cb-92C2-25804820EDAC}">
                        <c15:formulaRef>
                          <c15:sqref>Sheet1!$A$11</c15:sqref>
                        </c15:formulaRef>
                      </c:ext>
                    </c:extLst>
                    <c:strCache>
                      <c:ptCount val="1"/>
                    </c:strCache>
                  </c:strRef>
                </c:tx>
                <c:spPr>
                  <a:solidFill>
                    <a:schemeClr val="accent4">
                      <a:lumMod val="60000"/>
                    </a:schemeClr>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Sheet1!$B$11:$K$11</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9-8F8B-4C93-B18E-327FDF3F00F5}"/>
                  </c:ext>
                </c:extLst>
              </c15:ser>
            </c15:filteredBarSeries>
            <c15:filteredBarSeries>
              <c15:ser>
                <c:idx val="10"/>
                <c:order val="10"/>
                <c:tx>
                  <c:strRef>
                    <c:extLst xmlns:c15="http://schemas.microsoft.com/office/drawing/2012/chart">
                      <c:ext xmlns:c15="http://schemas.microsoft.com/office/drawing/2012/chart" uri="{02D57815-91ED-43cb-92C2-25804820EDAC}">
                        <c15:formulaRef>
                          <c15:sqref>Sheet1!$A$12</c15:sqref>
                        </c15:formulaRef>
                      </c:ext>
                    </c:extLst>
                    <c:strCache>
                      <c:ptCount val="1"/>
                    </c:strCache>
                  </c:strRef>
                </c:tx>
                <c:spPr>
                  <a:solidFill>
                    <a:schemeClr val="accent5">
                      <a:lumMod val="60000"/>
                    </a:schemeClr>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Sheet1!$B$12:$K$12</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A-8F8B-4C93-B18E-327FDF3F00F5}"/>
                  </c:ext>
                </c:extLst>
              </c15:ser>
            </c15:filteredBarSeries>
            <c15:filteredBarSeries>
              <c15:ser>
                <c:idx val="11"/>
                <c:order val="11"/>
                <c:tx>
                  <c:strRef>
                    <c:extLst xmlns:c15="http://schemas.microsoft.com/office/drawing/2012/chart">
                      <c:ext xmlns:c15="http://schemas.microsoft.com/office/drawing/2012/chart" uri="{02D57815-91ED-43cb-92C2-25804820EDAC}">
                        <c15:formulaRef>
                          <c15:sqref>Sheet1!$A$13</c15:sqref>
                        </c15:formulaRef>
                      </c:ext>
                    </c:extLst>
                    <c:strCache>
                      <c:ptCount val="1"/>
                    </c:strCache>
                  </c:strRef>
                </c:tx>
                <c:spPr>
                  <a:solidFill>
                    <a:schemeClr val="accent6">
                      <a:lumMod val="60000"/>
                    </a:schemeClr>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Sheet1!$B$13:$K$13</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B-8F8B-4C93-B18E-327FDF3F00F5}"/>
                  </c:ext>
                </c:extLst>
              </c15:ser>
            </c15:filteredBarSeries>
            <c15:filteredBarSeries>
              <c15:ser>
                <c:idx val="12"/>
                <c:order val="12"/>
                <c:tx>
                  <c:strRef>
                    <c:extLst xmlns:c15="http://schemas.microsoft.com/office/drawing/2012/chart">
                      <c:ext xmlns:c15="http://schemas.microsoft.com/office/drawing/2012/chart" uri="{02D57815-91ED-43cb-92C2-25804820EDAC}">
                        <c15:formulaRef>
                          <c15:sqref>Sheet1!$A$14</c15:sqref>
                        </c15:formulaRef>
                      </c:ext>
                    </c:extLst>
                    <c:strCache>
                      <c:ptCount val="1"/>
                    </c:strCache>
                  </c:strRef>
                </c:tx>
                <c:spPr>
                  <a:solidFill>
                    <a:schemeClr val="accent1">
                      <a:lumMod val="80000"/>
                      <a:lumOff val="20000"/>
                    </a:schemeClr>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Sheet1!$B$14:$K$14</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C-8F8B-4C93-B18E-327FDF3F00F5}"/>
                  </c:ext>
                </c:extLst>
              </c15:ser>
            </c15:filteredBarSeries>
            <c15:filteredBarSeries>
              <c15:ser>
                <c:idx val="13"/>
                <c:order val="13"/>
                <c:tx>
                  <c:strRef>
                    <c:extLst xmlns:c15="http://schemas.microsoft.com/office/drawing/2012/chart">
                      <c:ext xmlns:c15="http://schemas.microsoft.com/office/drawing/2012/chart" uri="{02D57815-91ED-43cb-92C2-25804820EDAC}">
                        <c15:formulaRef>
                          <c15:sqref>Sheet1!$A$15</c15:sqref>
                        </c15:formulaRef>
                      </c:ext>
                    </c:extLst>
                    <c:strCache>
                      <c:ptCount val="1"/>
                    </c:strCache>
                  </c:strRef>
                </c:tx>
                <c:spPr>
                  <a:solidFill>
                    <a:schemeClr val="accent2">
                      <a:lumMod val="80000"/>
                      <a:lumOff val="20000"/>
                    </a:schemeClr>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Sheet1!$B$15:$K$15</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D-8F8B-4C93-B18E-327FDF3F00F5}"/>
                  </c:ext>
                </c:extLst>
              </c15:ser>
            </c15:filteredBarSeries>
            <c15:filteredBarSeries>
              <c15:ser>
                <c:idx val="14"/>
                <c:order val="14"/>
                <c:tx>
                  <c:strRef>
                    <c:extLst xmlns:c15="http://schemas.microsoft.com/office/drawing/2012/chart">
                      <c:ext xmlns:c15="http://schemas.microsoft.com/office/drawing/2012/chart" uri="{02D57815-91ED-43cb-92C2-25804820EDAC}">
                        <c15:formulaRef>
                          <c15:sqref>Sheet1!$A$16</c15:sqref>
                        </c15:formulaRef>
                      </c:ext>
                    </c:extLst>
                    <c:strCache>
                      <c:ptCount val="1"/>
                    </c:strCache>
                  </c:strRef>
                </c:tx>
                <c:spPr>
                  <a:solidFill>
                    <a:schemeClr val="accent3">
                      <a:lumMod val="80000"/>
                      <a:lumOff val="20000"/>
                    </a:schemeClr>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Sheet1!$B$16:$K$16</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E-8F8B-4C93-B18E-327FDF3F00F5}"/>
                  </c:ext>
                </c:extLst>
              </c15:ser>
            </c15:filteredBarSeries>
            <c15:filteredBarSeries>
              <c15:ser>
                <c:idx val="15"/>
                <c:order val="15"/>
                <c:tx>
                  <c:strRef>
                    <c:extLst xmlns:c15="http://schemas.microsoft.com/office/drawing/2012/chart">
                      <c:ext xmlns:c15="http://schemas.microsoft.com/office/drawing/2012/chart" uri="{02D57815-91ED-43cb-92C2-25804820EDAC}">
                        <c15:formulaRef>
                          <c15:sqref>Sheet1!$A$17</c15:sqref>
                        </c15:formulaRef>
                      </c:ext>
                    </c:extLst>
                    <c:strCache>
                      <c:ptCount val="1"/>
                    </c:strCache>
                  </c:strRef>
                </c:tx>
                <c:spPr>
                  <a:solidFill>
                    <a:schemeClr val="accent4">
                      <a:lumMod val="80000"/>
                      <a:lumOff val="20000"/>
                    </a:schemeClr>
                  </a:solidFill>
                  <a:ln>
                    <a:noFill/>
                  </a:ln>
                  <a:effectLst/>
                </c:spPr>
                <c:invertIfNegative val="0"/>
                <c:cat>
                  <c:strRef>
                    <c:extLst xmlns:c15="http://schemas.microsoft.com/office/drawing/2012/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c:ext xmlns:c15="http://schemas.microsoft.com/office/drawing/2012/chart" uri="{02D57815-91ED-43cb-92C2-25804820EDAC}">
                        <c15:formulaRef>
                          <c15:sqref>Sheet1!$B$17:$K$17</c15:sqref>
                        </c15:formulaRef>
                      </c:ext>
                    </c:extLst>
                    <c:numCache>
                      <c:formatCode>General</c:formatCode>
                      <c:ptCount val="10"/>
                    </c:numCache>
                  </c:numRef>
                </c:val>
                <c:extLst xmlns:c15="http://schemas.microsoft.com/office/drawing/2012/chart">
                  <c:ext xmlns:c16="http://schemas.microsoft.com/office/drawing/2014/chart" uri="{C3380CC4-5D6E-409C-BE32-E72D297353CC}">
                    <c16:uniqueId val="{0000000F-8F8B-4C93-B18E-327FDF3F00F5}"/>
                  </c:ext>
                </c:extLst>
              </c15:ser>
            </c15:filteredBarSeries>
          </c:ext>
        </c:extLst>
      </c:barChart>
      <c:catAx>
        <c:axId val="-1201895264"/>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1201893088"/>
        <c:crosses val="autoZero"/>
        <c:auto val="1"/>
        <c:lblAlgn val="ctr"/>
        <c:lblOffset val="100"/>
        <c:noMultiLvlLbl val="0"/>
      </c:catAx>
      <c:valAx>
        <c:axId val="-1201893088"/>
        <c:scaling>
          <c:orientation val="minMax"/>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1201895264"/>
        <c:crosses val="autoZero"/>
        <c:crossBetween val="between"/>
      </c:valAx>
      <c:spPr>
        <a:noFill/>
        <a:ln>
          <a:noFill/>
        </a:ln>
        <a:effectLst/>
      </c:spPr>
    </c:plotArea>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BD"/>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January</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DE4C-4D3A-91DA-897A9F2E39AD}"/>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DE4C-4D3A-91DA-897A9F2E39AD}"/>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DE4C-4D3A-91DA-897A9F2E39AD}"/>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DE4C-4D3A-91DA-897A9F2E39AD}"/>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DE4C-4D3A-91DA-897A9F2E39AD}"/>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B-DE4C-4D3A-91DA-897A9F2E39AD}"/>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D-DE4C-4D3A-91DA-897A9F2E39AD}"/>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F-DE4C-4D3A-91DA-897A9F2E39AD}"/>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1-DE4C-4D3A-91DA-897A9F2E39AD}"/>
              </c:ext>
            </c:extLst>
          </c:dPt>
          <c:dPt>
            <c:idx val="9"/>
            <c:bubble3D val="0"/>
            <c:spPr>
              <a:solidFill>
                <a:schemeClr val="accent4">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3-DE4C-4D3A-91DA-897A9F2E39AD}"/>
              </c:ext>
            </c:extLst>
          </c:dPt>
          <c:dPt>
            <c:idx val="10"/>
            <c:bubble3D val="0"/>
            <c:spPr>
              <a:solidFill>
                <a:schemeClr val="accent5">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5-DE4C-4D3A-91DA-897A9F2E39AD}"/>
              </c:ext>
            </c:extLst>
          </c:dPt>
          <c:dPt>
            <c:idx val="11"/>
            <c:bubble3D val="0"/>
            <c:spPr>
              <a:solidFill>
                <a:schemeClr val="accent6">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7-DE4C-4D3A-91DA-897A9F2E39AD}"/>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01-DE4C-4D3A-91DA-897A9F2E39AD}"/>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03-DE4C-4D3A-91DA-897A9F2E39AD}"/>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05-DE4C-4D3A-91DA-897A9F2E39AD}"/>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07-DE4C-4D3A-91DA-897A9F2E39AD}"/>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09-DE4C-4D3A-91DA-897A9F2E39AD}"/>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0B-DE4C-4D3A-91DA-897A9F2E39AD}"/>
                </c:ext>
              </c:extLst>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0D-DE4C-4D3A-91DA-897A9F2E39AD}"/>
                </c:ext>
              </c:extLst>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0F-DE4C-4D3A-91DA-897A9F2E39AD}"/>
                </c:ext>
              </c:extLst>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11-DE4C-4D3A-91DA-897A9F2E39AD}"/>
                </c:ext>
              </c:extLst>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13-DE4C-4D3A-91DA-897A9F2E39AD}"/>
                </c:ext>
              </c:extLst>
            </c:dLbl>
            <c:dLbl>
              <c:idx val="10"/>
              <c:layout>
                <c:manualLayout>
                  <c:x val="-0.15170940170940173"/>
                  <c:y val="4.5155993431855501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en-BD"/>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5-DE4C-4D3A-91DA-897A9F2E39AD}"/>
                </c:ext>
              </c:extLst>
            </c:dLbl>
            <c:dLbl>
              <c:idx val="1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17-DE4C-4D3A-91DA-897A9F2E39AD}"/>
                </c:ext>
              </c:extLst>
            </c:dLbl>
            <c:spPr>
              <a:noFill/>
              <a:ln>
                <a:noFill/>
              </a:ln>
              <a:effectLst/>
            </c:spPr>
            <c:dLblPos val="outEnd"/>
            <c:showLegendKey val="0"/>
            <c:showVal val="0"/>
            <c:showCatName val="1"/>
            <c:showSerName val="0"/>
            <c:showPercent val="1"/>
            <c:showBubbleSize val="0"/>
            <c:showLeaderLines val="1"/>
            <c:leaderLines>
              <c:spPr>
                <a:ln w="9525">
                  <a:solidFill>
                    <a:schemeClr val="tx1">
                      <a:lumMod val="35000"/>
                      <a:lumOff val="65000"/>
                    </a:schemeClr>
                  </a:solidFill>
                  <a:round/>
                </a:ln>
                <a:effectLst/>
              </c:spPr>
            </c:leaderLines>
            <c:extLst>
              <c:ext xmlns:c15="http://schemas.microsoft.com/office/drawing/2012/chart" uri="{CE6537A1-D6FC-4f65-9D91-7224C49458BB}"/>
            </c:extLst>
          </c:dLbls>
          <c:cat>
            <c:strRef>
              <c:f>Sheet1!$A$2:$A$13</c:f>
              <c:strCache>
                <c:ptCount val="12"/>
                <c:pt idx="0">
                  <c:v>Baharain</c:v>
                </c:pt>
                <c:pt idx="1">
                  <c:v>Kuwait </c:v>
                </c:pt>
                <c:pt idx="2">
                  <c:v>Oman</c:v>
                </c:pt>
                <c:pt idx="3">
                  <c:v>Qatar</c:v>
                </c:pt>
                <c:pt idx="4">
                  <c:v>K.S.A</c:v>
                </c:pt>
                <c:pt idx="5">
                  <c:v>U.A.E.</c:v>
                </c:pt>
                <c:pt idx="6">
                  <c:v>Italy</c:v>
                </c:pt>
                <c:pt idx="7">
                  <c:v>Malaysia</c:v>
                </c:pt>
                <c:pt idx="8">
                  <c:v>Singapore</c:v>
                </c:pt>
                <c:pt idx="9">
                  <c:v>U.K.</c:v>
                </c:pt>
                <c:pt idx="10">
                  <c:v>U.S.A.</c:v>
                </c:pt>
                <c:pt idx="11">
                  <c:v>Others</c:v>
                </c:pt>
              </c:strCache>
            </c:strRef>
          </c:cat>
          <c:val>
            <c:numRef>
              <c:f>Sheet1!$B$2:$B$13</c:f>
              <c:numCache>
                <c:formatCode>General</c:formatCode>
                <c:ptCount val="12"/>
                <c:pt idx="0">
                  <c:v>47.43</c:v>
                </c:pt>
                <c:pt idx="1">
                  <c:v>131.28</c:v>
                </c:pt>
                <c:pt idx="2">
                  <c:v>69.099999999999994</c:v>
                </c:pt>
                <c:pt idx="3">
                  <c:v>111.71</c:v>
                </c:pt>
                <c:pt idx="4">
                  <c:v>358.15</c:v>
                </c:pt>
                <c:pt idx="5">
                  <c:v>138.9</c:v>
                </c:pt>
                <c:pt idx="6">
                  <c:v>90.07</c:v>
                </c:pt>
                <c:pt idx="7">
                  <c:v>79.290000000000006</c:v>
                </c:pt>
                <c:pt idx="8">
                  <c:v>33.020000000000003</c:v>
                </c:pt>
                <c:pt idx="9">
                  <c:v>193.72</c:v>
                </c:pt>
                <c:pt idx="10">
                  <c:v>279.49</c:v>
                </c:pt>
                <c:pt idx="11">
                  <c:v>37.78</c:v>
                </c:pt>
              </c:numCache>
            </c:numRef>
          </c:val>
          <c:extLst>
            <c:ext xmlns:c16="http://schemas.microsoft.com/office/drawing/2014/chart" uri="{C3380CC4-5D6E-409C-BE32-E72D297353CC}">
              <c16:uniqueId val="{00000018-DE4C-4D3A-91DA-897A9F2E39AD}"/>
            </c:ext>
          </c:extLst>
        </c:ser>
        <c:ser>
          <c:idx val="1"/>
          <c:order val="1"/>
          <c:tx>
            <c:strRef>
              <c:f>Sheet1!$C$1</c:f>
              <c:strCache>
                <c:ptCount val="1"/>
                <c:pt idx="0">
                  <c:v>February</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A-DE4C-4D3A-91DA-897A9F2E39AD}"/>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C-DE4C-4D3A-91DA-897A9F2E39AD}"/>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E-DE4C-4D3A-91DA-897A9F2E39AD}"/>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20-DE4C-4D3A-91DA-897A9F2E39AD}"/>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22-DE4C-4D3A-91DA-897A9F2E39AD}"/>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24-DE4C-4D3A-91DA-897A9F2E39AD}"/>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26-DE4C-4D3A-91DA-897A9F2E39AD}"/>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28-DE4C-4D3A-91DA-897A9F2E39AD}"/>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2A-DE4C-4D3A-91DA-897A9F2E39AD}"/>
              </c:ext>
            </c:extLst>
          </c:dPt>
          <c:dPt>
            <c:idx val="9"/>
            <c:bubble3D val="0"/>
            <c:spPr>
              <a:solidFill>
                <a:schemeClr val="accent4">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2C-DE4C-4D3A-91DA-897A9F2E39AD}"/>
              </c:ext>
            </c:extLst>
          </c:dPt>
          <c:dPt>
            <c:idx val="10"/>
            <c:bubble3D val="0"/>
            <c:spPr>
              <a:solidFill>
                <a:schemeClr val="accent5">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2E-DE4C-4D3A-91DA-897A9F2E39AD}"/>
              </c:ext>
            </c:extLst>
          </c:dPt>
          <c:dPt>
            <c:idx val="11"/>
            <c:bubble3D val="0"/>
            <c:spPr>
              <a:solidFill>
                <a:schemeClr val="accent6">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30-DE4C-4D3A-91DA-897A9F2E39AD}"/>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1A-DE4C-4D3A-91DA-897A9F2E39AD}"/>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1C-DE4C-4D3A-91DA-897A9F2E39AD}"/>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1E-DE4C-4D3A-91DA-897A9F2E39AD}"/>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20-DE4C-4D3A-91DA-897A9F2E39AD}"/>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22-DE4C-4D3A-91DA-897A9F2E39AD}"/>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24-DE4C-4D3A-91DA-897A9F2E39AD}"/>
                </c:ext>
              </c:extLst>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26-DE4C-4D3A-91DA-897A9F2E39AD}"/>
                </c:ext>
              </c:extLst>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28-DE4C-4D3A-91DA-897A9F2E39AD}"/>
                </c:ext>
              </c:extLst>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2A-DE4C-4D3A-91DA-897A9F2E39AD}"/>
                </c:ext>
              </c:extLst>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2C-DE4C-4D3A-91DA-897A9F2E39AD}"/>
                </c:ext>
              </c:extLst>
            </c:dLbl>
            <c:dLbl>
              <c:idx val="1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2E-DE4C-4D3A-91DA-897A9F2E39AD}"/>
                </c:ext>
              </c:extLst>
            </c:dLbl>
            <c:dLbl>
              <c:idx val="1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30-DE4C-4D3A-91DA-897A9F2E39AD}"/>
                </c:ext>
              </c:extLst>
            </c:dLbl>
            <c:spPr>
              <a:noFill/>
              <a:ln>
                <a:noFill/>
              </a:ln>
              <a:effectLst/>
            </c:spPr>
            <c:dLblPos val="outEnd"/>
            <c:showLegendKey val="0"/>
            <c:showVal val="0"/>
            <c:showCatName val="1"/>
            <c:showSerName val="0"/>
            <c:showPercent val="1"/>
            <c:showBubbleSize val="0"/>
            <c:showLeaderLines val="1"/>
            <c:leaderLines>
              <c:spPr>
                <a:ln w="9525">
                  <a:solidFill>
                    <a:schemeClr val="tx1">
                      <a:lumMod val="35000"/>
                      <a:lumOff val="65000"/>
                    </a:schemeClr>
                  </a:solidFill>
                  <a:round/>
                </a:ln>
                <a:effectLst/>
              </c:spPr>
            </c:leaderLines>
            <c:extLst>
              <c:ext xmlns:c15="http://schemas.microsoft.com/office/drawing/2012/chart" uri="{CE6537A1-D6FC-4f65-9D91-7224C49458BB}"/>
            </c:extLst>
          </c:dLbls>
          <c:cat>
            <c:strRef>
              <c:f>Sheet1!$A$2:$A$13</c:f>
              <c:strCache>
                <c:ptCount val="12"/>
                <c:pt idx="0">
                  <c:v>Baharain</c:v>
                </c:pt>
                <c:pt idx="1">
                  <c:v>Kuwait </c:v>
                </c:pt>
                <c:pt idx="2">
                  <c:v>Oman</c:v>
                </c:pt>
                <c:pt idx="3">
                  <c:v>Qatar</c:v>
                </c:pt>
                <c:pt idx="4">
                  <c:v>K.S.A</c:v>
                </c:pt>
                <c:pt idx="5">
                  <c:v>U.A.E.</c:v>
                </c:pt>
                <c:pt idx="6">
                  <c:v>Italy</c:v>
                </c:pt>
                <c:pt idx="7">
                  <c:v>Malaysia</c:v>
                </c:pt>
                <c:pt idx="8">
                  <c:v>Singapore</c:v>
                </c:pt>
                <c:pt idx="9">
                  <c:v>U.K.</c:v>
                </c:pt>
                <c:pt idx="10">
                  <c:v>U.S.A.</c:v>
                </c:pt>
                <c:pt idx="11">
                  <c:v>Others</c:v>
                </c:pt>
              </c:strCache>
            </c:strRef>
          </c:cat>
          <c:val>
            <c:numRef>
              <c:f>Sheet1!$C$2:$C$13</c:f>
              <c:numCache>
                <c:formatCode>General</c:formatCode>
                <c:ptCount val="12"/>
                <c:pt idx="0">
                  <c:v>48.85</c:v>
                </c:pt>
                <c:pt idx="1">
                  <c:v>120.57</c:v>
                </c:pt>
                <c:pt idx="2">
                  <c:v>57.95</c:v>
                </c:pt>
                <c:pt idx="3">
                  <c:v>97.3</c:v>
                </c:pt>
                <c:pt idx="4">
                  <c:v>315.52</c:v>
                </c:pt>
                <c:pt idx="5">
                  <c:v>127.83</c:v>
                </c:pt>
                <c:pt idx="6">
                  <c:v>70.11</c:v>
                </c:pt>
                <c:pt idx="7">
                  <c:v>75.05</c:v>
                </c:pt>
                <c:pt idx="8">
                  <c:v>28.68</c:v>
                </c:pt>
                <c:pt idx="9">
                  <c:v>165.04</c:v>
                </c:pt>
                <c:pt idx="10">
                  <c:v>235.59</c:v>
                </c:pt>
                <c:pt idx="11">
                  <c:v>33.490000000000009</c:v>
                </c:pt>
              </c:numCache>
            </c:numRef>
          </c:val>
          <c:extLst>
            <c:ext xmlns:c16="http://schemas.microsoft.com/office/drawing/2014/chart" uri="{C3380CC4-5D6E-409C-BE32-E72D297353CC}">
              <c16:uniqueId val="{00000031-DE4C-4D3A-91DA-897A9F2E39AD}"/>
            </c:ext>
          </c:extLst>
        </c:ser>
        <c:ser>
          <c:idx val="2"/>
          <c:order val="2"/>
          <c:tx>
            <c:strRef>
              <c:f>Sheet1!$D$1</c:f>
              <c:strCache>
                <c:ptCount val="1"/>
                <c:pt idx="0">
                  <c:v>March</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33-DE4C-4D3A-91DA-897A9F2E39AD}"/>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35-DE4C-4D3A-91DA-897A9F2E39AD}"/>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37-DE4C-4D3A-91DA-897A9F2E39AD}"/>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39-DE4C-4D3A-91DA-897A9F2E39AD}"/>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3B-DE4C-4D3A-91DA-897A9F2E39AD}"/>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3D-DE4C-4D3A-91DA-897A9F2E39AD}"/>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3F-DE4C-4D3A-91DA-897A9F2E39AD}"/>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41-DE4C-4D3A-91DA-897A9F2E39AD}"/>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43-DE4C-4D3A-91DA-897A9F2E39AD}"/>
              </c:ext>
            </c:extLst>
          </c:dPt>
          <c:dPt>
            <c:idx val="9"/>
            <c:bubble3D val="0"/>
            <c:spPr>
              <a:solidFill>
                <a:schemeClr val="accent4">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45-DE4C-4D3A-91DA-897A9F2E39AD}"/>
              </c:ext>
            </c:extLst>
          </c:dPt>
          <c:dPt>
            <c:idx val="10"/>
            <c:bubble3D val="0"/>
            <c:spPr>
              <a:solidFill>
                <a:schemeClr val="accent5">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47-DE4C-4D3A-91DA-897A9F2E39AD}"/>
              </c:ext>
            </c:extLst>
          </c:dPt>
          <c:dPt>
            <c:idx val="11"/>
            <c:bubble3D val="0"/>
            <c:spPr>
              <a:solidFill>
                <a:schemeClr val="accent6">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49-DE4C-4D3A-91DA-897A9F2E39AD}"/>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33-DE4C-4D3A-91DA-897A9F2E39AD}"/>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35-DE4C-4D3A-91DA-897A9F2E39AD}"/>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37-DE4C-4D3A-91DA-897A9F2E39AD}"/>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39-DE4C-4D3A-91DA-897A9F2E39AD}"/>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3B-DE4C-4D3A-91DA-897A9F2E39AD}"/>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3D-DE4C-4D3A-91DA-897A9F2E39AD}"/>
                </c:ext>
              </c:extLst>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3F-DE4C-4D3A-91DA-897A9F2E39AD}"/>
                </c:ext>
              </c:extLst>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41-DE4C-4D3A-91DA-897A9F2E39AD}"/>
                </c:ext>
              </c:extLst>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43-DE4C-4D3A-91DA-897A9F2E39AD}"/>
                </c:ext>
              </c:extLst>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45-DE4C-4D3A-91DA-897A9F2E39AD}"/>
                </c:ext>
              </c:extLst>
            </c:dLbl>
            <c:dLbl>
              <c:idx val="1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47-DE4C-4D3A-91DA-897A9F2E39AD}"/>
                </c:ext>
              </c:extLst>
            </c:dLbl>
            <c:dLbl>
              <c:idx val="1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49-DE4C-4D3A-91DA-897A9F2E39AD}"/>
                </c:ext>
              </c:extLst>
            </c:dLbl>
            <c:spPr>
              <a:noFill/>
              <a:ln>
                <a:noFill/>
              </a:ln>
              <a:effectLst/>
            </c:spPr>
            <c:dLblPos val="outEnd"/>
            <c:showLegendKey val="0"/>
            <c:showVal val="0"/>
            <c:showCatName val="1"/>
            <c:showSerName val="0"/>
            <c:showPercent val="1"/>
            <c:showBubbleSize val="0"/>
            <c:showLeaderLines val="1"/>
            <c:leaderLines>
              <c:spPr>
                <a:ln w="9525">
                  <a:solidFill>
                    <a:schemeClr val="tx1">
                      <a:lumMod val="35000"/>
                      <a:lumOff val="65000"/>
                    </a:schemeClr>
                  </a:solidFill>
                  <a:round/>
                </a:ln>
                <a:effectLst/>
              </c:spPr>
            </c:leaderLines>
            <c:extLst>
              <c:ext xmlns:c15="http://schemas.microsoft.com/office/drawing/2012/chart" uri="{CE6537A1-D6FC-4f65-9D91-7224C49458BB}"/>
            </c:extLst>
          </c:dLbls>
          <c:cat>
            <c:strRef>
              <c:f>Sheet1!$A$2:$A$13</c:f>
              <c:strCache>
                <c:ptCount val="12"/>
                <c:pt idx="0">
                  <c:v>Baharain</c:v>
                </c:pt>
                <c:pt idx="1">
                  <c:v>Kuwait </c:v>
                </c:pt>
                <c:pt idx="2">
                  <c:v>Oman</c:v>
                </c:pt>
                <c:pt idx="3">
                  <c:v>Qatar</c:v>
                </c:pt>
                <c:pt idx="4">
                  <c:v>K.S.A</c:v>
                </c:pt>
                <c:pt idx="5">
                  <c:v>U.A.E.</c:v>
                </c:pt>
                <c:pt idx="6">
                  <c:v>Italy</c:v>
                </c:pt>
                <c:pt idx="7">
                  <c:v>Malaysia</c:v>
                </c:pt>
                <c:pt idx="8">
                  <c:v>Singapore</c:v>
                </c:pt>
                <c:pt idx="9">
                  <c:v>U.K.</c:v>
                </c:pt>
                <c:pt idx="10">
                  <c:v>U.S.A.</c:v>
                </c:pt>
                <c:pt idx="11">
                  <c:v>Others</c:v>
                </c:pt>
              </c:strCache>
            </c:strRef>
          </c:cat>
          <c:val>
            <c:numRef>
              <c:f>Sheet1!$D$2:$D$13</c:f>
              <c:numCache>
                <c:formatCode>General</c:formatCode>
                <c:ptCount val="12"/>
                <c:pt idx="0">
                  <c:v>57.48</c:v>
                </c:pt>
                <c:pt idx="1">
                  <c:v>144.47999999999999</c:v>
                </c:pt>
                <c:pt idx="2">
                  <c:v>74.3</c:v>
                </c:pt>
                <c:pt idx="3">
                  <c:v>119.59</c:v>
                </c:pt>
                <c:pt idx="4">
                  <c:v>377.52</c:v>
                </c:pt>
                <c:pt idx="5">
                  <c:v>184.14</c:v>
                </c:pt>
                <c:pt idx="6">
                  <c:v>85.88</c:v>
                </c:pt>
                <c:pt idx="7">
                  <c:v>81.430000000000007</c:v>
                </c:pt>
                <c:pt idx="8">
                  <c:v>29.77</c:v>
                </c:pt>
                <c:pt idx="9">
                  <c:v>214.16</c:v>
                </c:pt>
                <c:pt idx="10">
                  <c:v>308.82</c:v>
                </c:pt>
                <c:pt idx="11">
                  <c:v>42.46</c:v>
                </c:pt>
              </c:numCache>
            </c:numRef>
          </c:val>
          <c:extLst>
            <c:ext xmlns:c16="http://schemas.microsoft.com/office/drawing/2014/chart" uri="{C3380CC4-5D6E-409C-BE32-E72D297353CC}">
              <c16:uniqueId val="{0000004A-DE4C-4D3A-91DA-897A9F2E39AD}"/>
            </c:ext>
          </c:extLst>
        </c:ser>
        <c:ser>
          <c:idx val="3"/>
          <c:order val="3"/>
          <c:tx>
            <c:strRef>
              <c:f>Sheet1!$E$1</c:f>
              <c:strCache>
                <c:ptCount val="1"/>
                <c:pt idx="0">
                  <c:v>April</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4C-DE4C-4D3A-91DA-897A9F2E39AD}"/>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4E-DE4C-4D3A-91DA-897A9F2E39AD}"/>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50-DE4C-4D3A-91DA-897A9F2E39AD}"/>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52-DE4C-4D3A-91DA-897A9F2E39AD}"/>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54-DE4C-4D3A-91DA-897A9F2E39AD}"/>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56-DE4C-4D3A-91DA-897A9F2E39AD}"/>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58-DE4C-4D3A-91DA-897A9F2E39AD}"/>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5A-DE4C-4D3A-91DA-897A9F2E39AD}"/>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5C-DE4C-4D3A-91DA-897A9F2E39AD}"/>
              </c:ext>
            </c:extLst>
          </c:dPt>
          <c:dPt>
            <c:idx val="9"/>
            <c:bubble3D val="0"/>
            <c:spPr>
              <a:solidFill>
                <a:schemeClr val="accent4">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5E-DE4C-4D3A-91DA-897A9F2E39AD}"/>
              </c:ext>
            </c:extLst>
          </c:dPt>
          <c:dPt>
            <c:idx val="10"/>
            <c:bubble3D val="0"/>
            <c:spPr>
              <a:solidFill>
                <a:schemeClr val="accent5">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60-DE4C-4D3A-91DA-897A9F2E39AD}"/>
              </c:ext>
            </c:extLst>
          </c:dPt>
          <c:dPt>
            <c:idx val="11"/>
            <c:bubble3D val="0"/>
            <c:spPr>
              <a:solidFill>
                <a:schemeClr val="accent6">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62-DE4C-4D3A-91DA-897A9F2E39AD}"/>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4C-DE4C-4D3A-91DA-897A9F2E39AD}"/>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4E-DE4C-4D3A-91DA-897A9F2E39AD}"/>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50-DE4C-4D3A-91DA-897A9F2E39AD}"/>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52-DE4C-4D3A-91DA-897A9F2E39AD}"/>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54-DE4C-4D3A-91DA-897A9F2E39AD}"/>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56-DE4C-4D3A-91DA-897A9F2E39AD}"/>
                </c:ext>
              </c:extLst>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58-DE4C-4D3A-91DA-897A9F2E39AD}"/>
                </c:ext>
              </c:extLst>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5A-DE4C-4D3A-91DA-897A9F2E39AD}"/>
                </c:ext>
              </c:extLst>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5C-DE4C-4D3A-91DA-897A9F2E39AD}"/>
                </c:ext>
              </c:extLst>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5E-DE4C-4D3A-91DA-897A9F2E39AD}"/>
                </c:ext>
              </c:extLst>
            </c:dLbl>
            <c:dLbl>
              <c:idx val="1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60-DE4C-4D3A-91DA-897A9F2E39AD}"/>
                </c:ext>
              </c:extLst>
            </c:dLbl>
            <c:dLbl>
              <c:idx val="1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62-DE4C-4D3A-91DA-897A9F2E39AD}"/>
                </c:ext>
              </c:extLst>
            </c:dLbl>
            <c:spPr>
              <a:noFill/>
              <a:ln>
                <a:noFill/>
              </a:ln>
              <a:effectLst/>
            </c:spPr>
            <c:dLblPos val="outEnd"/>
            <c:showLegendKey val="0"/>
            <c:showVal val="0"/>
            <c:showCatName val="1"/>
            <c:showSerName val="0"/>
            <c:showPercent val="1"/>
            <c:showBubbleSize val="0"/>
            <c:showLeaderLines val="1"/>
            <c:leaderLines>
              <c:spPr>
                <a:ln w="9525">
                  <a:solidFill>
                    <a:schemeClr val="tx1">
                      <a:lumMod val="35000"/>
                      <a:lumOff val="65000"/>
                    </a:schemeClr>
                  </a:solidFill>
                  <a:round/>
                </a:ln>
                <a:effectLst/>
              </c:spPr>
            </c:leaderLines>
            <c:extLst>
              <c:ext xmlns:c15="http://schemas.microsoft.com/office/drawing/2012/chart" uri="{CE6537A1-D6FC-4f65-9D91-7224C49458BB}"/>
            </c:extLst>
          </c:dLbls>
          <c:cat>
            <c:strRef>
              <c:f>Sheet1!$A$2:$A$13</c:f>
              <c:strCache>
                <c:ptCount val="12"/>
                <c:pt idx="0">
                  <c:v>Baharain</c:v>
                </c:pt>
                <c:pt idx="1">
                  <c:v>Kuwait </c:v>
                </c:pt>
                <c:pt idx="2">
                  <c:v>Oman</c:v>
                </c:pt>
                <c:pt idx="3">
                  <c:v>Qatar</c:v>
                </c:pt>
                <c:pt idx="4">
                  <c:v>K.S.A</c:v>
                </c:pt>
                <c:pt idx="5">
                  <c:v>U.A.E.</c:v>
                </c:pt>
                <c:pt idx="6">
                  <c:v>Italy</c:v>
                </c:pt>
                <c:pt idx="7">
                  <c:v>Malaysia</c:v>
                </c:pt>
                <c:pt idx="8">
                  <c:v>Singapore</c:v>
                </c:pt>
                <c:pt idx="9">
                  <c:v>U.K.</c:v>
                </c:pt>
                <c:pt idx="10">
                  <c:v>U.S.A.</c:v>
                </c:pt>
                <c:pt idx="11">
                  <c:v>Others</c:v>
                </c:pt>
              </c:strCache>
            </c:strRef>
          </c:cat>
          <c:val>
            <c:numRef>
              <c:f>Sheet1!$E$2:$E$13</c:f>
              <c:numCache>
                <c:formatCode>General</c:formatCode>
                <c:ptCount val="12"/>
                <c:pt idx="0">
                  <c:v>49.29</c:v>
                </c:pt>
                <c:pt idx="1">
                  <c:v>148.07</c:v>
                </c:pt>
                <c:pt idx="2">
                  <c:v>74.3</c:v>
                </c:pt>
                <c:pt idx="3">
                  <c:v>112.96</c:v>
                </c:pt>
                <c:pt idx="4">
                  <c:v>375.83</c:v>
                </c:pt>
                <c:pt idx="5">
                  <c:v>236.19</c:v>
                </c:pt>
                <c:pt idx="6">
                  <c:v>98.42</c:v>
                </c:pt>
                <c:pt idx="7">
                  <c:v>92.61</c:v>
                </c:pt>
                <c:pt idx="8">
                  <c:v>34.58</c:v>
                </c:pt>
                <c:pt idx="9">
                  <c:v>238.89</c:v>
                </c:pt>
                <c:pt idx="10">
                  <c:v>354.63</c:v>
                </c:pt>
                <c:pt idx="11">
                  <c:v>44.620000000000005</c:v>
                </c:pt>
              </c:numCache>
            </c:numRef>
          </c:val>
          <c:extLst>
            <c:ext xmlns:c16="http://schemas.microsoft.com/office/drawing/2014/chart" uri="{C3380CC4-5D6E-409C-BE32-E72D297353CC}">
              <c16:uniqueId val="{00000063-DE4C-4D3A-91DA-897A9F2E39AD}"/>
            </c:ext>
          </c:extLst>
        </c:ser>
        <c:ser>
          <c:idx val="4"/>
          <c:order val="4"/>
          <c:tx>
            <c:strRef>
              <c:f>Sheet1!$F$1</c:f>
              <c:strCache>
                <c:ptCount val="1"/>
                <c:pt idx="0">
                  <c:v>May</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65-DE4C-4D3A-91DA-897A9F2E39AD}"/>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67-DE4C-4D3A-91DA-897A9F2E39AD}"/>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69-DE4C-4D3A-91DA-897A9F2E39AD}"/>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6B-DE4C-4D3A-91DA-897A9F2E39AD}"/>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6D-DE4C-4D3A-91DA-897A9F2E39AD}"/>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6F-DE4C-4D3A-91DA-897A9F2E39AD}"/>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71-DE4C-4D3A-91DA-897A9F2E39AD}"/>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73-DE4C-4D3A-91DA-897A9F2E39AD}"/>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75-DE4C-4D3A-91DA-897A9F2E39AD}"/>
              </c:ext>
            </c:extLst>
          </c:dPt>
          <c:dPt>
            <c:idx val="9"/>
            <c:bubble3D val="0"/>
            <c:spPr>
              <a:solidFill>
                <a:schemeClr val="accent4">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77-DE4C-4D3A-91DA-897A9F2E39AD}"/>
              </c:ext>
            </c:extLst>
          </c:dPt>
          <c:dPt>
            <c:idx val="10"/>
            <c:bubble3D val="0"/>
            <c:spPr>
              <a:solidFill>
                <a:schemeClr val="accent5">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79-DE4C-4D3A-91DA-897A9F2E39AD}"/>
              </c:ext>
            </c:extLst>
          </c:dPt>
          <c:dPt>
            <c:idx val="11"/>
            <c:bubble3D val="0"/>
            <c:spPr>
              <a:solidFill>
                <a:schemeClr val="accent6">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7B-DE4C-4D3A-91DA-897A9F2E39AD}"/>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65-DE4C-4D3A-91DA-897A9F2E39AD}"/>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67-DE4C-4D3A-91DA-897A9F2E39AD}"/>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69-DE4C-4D3A-91DA-897A9F2E39AD}"/>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6B-DE4C-4D3A-91DA-897A9F2E39AD}"/>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6D-DE4C-4D3A-91DA-897A9F2E39AD}"/>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6F-DE4C-4D3A-91DA-897A9F2E39AD}"/>
                </c:ext>
              </c:extLst>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71-DE4C-4D3A-91DA-897A9F2E39AD}"/>
                </c:ext>
              </c:extLst>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73-DE4C-4D3A-91DA-897A9F2E39AD}"/>
                </c:ext>
              </c:extLst>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75-DE4C-4D3A-91DA-897A9F2E39AD}"/>
                </c:ext>
              </c:extLst>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77-DE4C-4D3A-91DA-897A9F2E39AD}"/>
                </c:ext>
              </c:extLst>
            </c:dLbl>
            <c:dLbl>
              <c:idx val="1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79-DE4C-4D3A-91DA-897A9F2E39AD}"/>
                </c:ext>
              </c:extLst>
            </c:dLbl>
            <c:dLbl>
              <c:idx val="1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en-BD"/>
                </a:p>
              </c:txPr>
              <c:dLblPos val="outEnd"/>
              <c:showLegendKey val="0"/>
              <c:showVal val="0"/>
              <c:showCatName val="1"/>
              <c:showSerName val="0"/>
              <c:showPercent val="1"/>
              <c:showBubbleSize val="0"/>
              <c:extLst>
                <c:ext xmlns:c16="http://schemas.microsoft.com/office/drawing/2014/chart" uri="{C3380CC4-5D6E-409C-BE32-E72D297353CC}">
                  <c16:uniqueId val="{0000007B-DE4C-4D3A-91DA-897A9F2E39AD}"/>
                </c:ext>
              </c:extLst>
            </c:dLbl>
            <c:spPr>
              <a:noFill/>
              <a:ln>
                <a:noFill/>
              </a:ln>
              <a:effectLst/>
            </c:spPr>
            <c:dLblPos val="outEnd"/>
            <c:showLegendKey val="0"/>
            <c:showVal val="0"/>
            <c:showCatName val="1"/>
            <c:showSerName val="0"/>
            <c:showPercent val="1"/>
            <c:showBubbleSize val="0"/>
            <c:showLeaderLines val="1"/>
            <c:leaderLines>
              <c:spPr>
                <a:ln w="9525">
                  <a:solidFill>
                    <a:schemeClr val="tx1">
                      <a:lumMod val="35000"/>
                      <a:lumOff val="65000"/>
                    </a:schemeClr>
                  </a:solidFill>
                  <a:round/>
                </a:ln>
                <a:effectLst/>
              </c:spPr>
            </c:leaderLines>
            <c:extLst>
              <c:ext xmlns:c15="http://schemas.microsoft.com/office/drawing/2012/chart" uri="{CE6537A1-D6FC-4f65-9D91-7224C49458BB}"/>
            </c:extLst>
          </c:dLbls>
          <c:cat>
            <c:strRef>
              <c:f>Sheet1!$A$2:$A$13</c:f>
              <c:strCache>
                <c:ptCount val="12"/>
                <c:pt idx="0">
                  <c:v>Baharain</c:v>
                </c:pt>
                <c:pt idx="1">
                  <c:v>Kuwait </c:v>
                </c:pt>
                <c:pt idx="2">
                  <c:v>Oman</c:v>
                </c:pt>
                <c:pt idx="3">
                  <c:v>Qatar</c:v>
                </c:pt>
                <c:pt idx="4">
                  <c:v>K.S.A</c:v>
                </c:pt>
                <c:pt idx="5">
                  <c:v>U.A.E.</c:v>
                </c:pt>
                <c:pt idx="6">
                  <c:v>Italy</c:v>
                </c:pt>
                <c:pt idx="7">
                  <c:v>Malaysia</c:v>
                </c:pt>
                <c:pt idx="8">
                  <c:v>Singapore</c:v>
                </c:pt>
                <c:pt idx="9">
                  <c:v>U.K.</c:v>
                </c:pt>
                <c:pt idx="10">
                  <c:v>U.S.A.</c:v>
                </c:pt>
                <c:pt idx="11">
                  <c:v>Others</c:v>
                </c:pt>
              </c:strCache>
            </c:strRef>
          </c:cat>
          <c:val>
            <c:numRef>
              <c:f>Sheet1!$F$2:$F$13</c:f>
              <c:numCache>
                <c:formatCode>General</c:formatCode>
                <c:ptCount val="12"/>
                <c:pt idx="0">
                  <c:v>52</c:v>
                </c:pt>
                <c:pt idx="1">
                  <c:v>147</c:v>
                </c:pt>
                <c:pt idx="2">
                  <c:v>85</c:v>
                </c:pt>
                <c:pt idx="3">
                  <c:v>105</c:v>
                </c:pt>
                <c:pt idx="4">
                  <c:v>329.99</c:v>
                </c:pt>
                <c:pt idx="5">
                  <c:v>339</c:v>
                </c:pt>
                <c:pt idx="6">
                  <c:v>101</c:v>
                </c:pt>
                <c:pt idx="7">
                  <c:v>91</c:v>
                </c:pt>
                <c:pt idx="8">
                  <c:v>29</c:v>
                </c:pt>
                <c:pt idx="9">
                  <c:v>166</c:v>
                </c:pt>
                <c:pt idx="10">
                  <c:v>273</c:v>
                </c:pt>
                <c:pt idx="11">
                  <c:v>45</c:v>
                </c:pt>
              </c:numCache>
            </c:numRef>
          </c:val>
          <c:extLst>
            <c:ext xmlns:c16="http://schemas.microsoft.com/office/drawing/2014/chart" uri="{C3380CC4-5D6E-409C-BE32-E72D297353CC}">
              <c16:uniqueId val="{0000007C-DE4C-4D3A-91DA-897A9F2E39AD}"/>
            </c:ext>
          </c:extLst>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a:solidFill>
        <a:schemeClr val="tx1">
          <a:lumMod val="15000"/>
          <a:lumOff val="85000"/>
        </a:schemeClr>
      </a:solidFill>
      <a:round/>
    </a:ln>
    <a:effectLst/>
  </c:spPr>
  <c:txPr>
    <a:bodyPr/>
    <a:lstStyle/>
    <a:p>
      <a:pPr>
        <a:defRPr/>
      </a:pPr>
      <a:endParaRPr lang="en-BD"/>
    </a:p>
  </c:txPr>
  <c:externalData r:id="rId4">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round/>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50000"/>
            <a:lumOff val="50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round/>
      </a:ln>
    </cs:spPr>
  </cs:upBar>
  <cs:valueAxis>
    <cs:lnRef idx="0"/>
    <cs:fillRef idx="0"/>
    <cs:effectRef idx="0"/>
    <cs:fontRef idx="minor">
      <a:schemeClr val="tx1">
        <a:lumMod val="65000"/>
        <a:lumOff val="35000"/>
      </a:schemeClr>
    </cs:fontRef>
    <cs:spPr>
      <a:ln w="9525">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round/>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50000"/>
            <a:lumOff val="50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FFB54-8F89-493E-9977-858BB3DC3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15159</Words>
  <Characters>86411</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Md. Abul Kalam Azad</cp:lastModifiedBy>
  <cp:revision>3</cp:revision>
  <dcterms:created xsi:type="dcterms:W3CDTF">2024-09-03T15:06:00Z</dcterms:created>
  <dcterms:modified xsi:type="dcterms:W3CDTF">2024-09-15T07:14:00Z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bc1c4df3-d6c5-4b06-9bec-5024f14af468</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11th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f2fb7931-c55c-39e7-87a6-41da0efc97f8</vt:lpwstr>
  </property>
  <property fmtid="{D5CDD505-2E9C-101B-9397-08002B2CF9AE}" pid="25" name="Mendeley Citation Style_1">
    <vt:lpwstr>http://www.zotero.org/styles/apa</vt:lpwstr>
  </property>
</Properties>
</file>