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FEF5C" w14:textId="77777777" w:rsidR="002A0259" w:rsidRDefault="00343186">
      <w:pPr>
        <w:pStyle w:val="Heading1"/>
        <w:spacing w:line="360" w:lineRule="auto"/>
        <w:ind w:right="116"/>
        <w:jc w:val="both"/>
        <w:rPr>
          <w:rFonts w:ascii="Times New Roman" w:eastAsia="Times New Roman" w:hAnsi="Times New Roman" w:cs="Times New Roman"/>
          <w:sz w:val="24"/>
          <w:szCs w:val="24"/>
        </w:rPr>
      </w:pPr>
      <w:bookmarkStart w:id="0" w:name="_5odxzfx08r57" w:colFirst="0" w:colLast="0"/>
      <w:bookmarkEnd w:id="0"/>
      <w:r>
        <w:rPr>
          <w:rFonts w:ascii="Times New Roman" w:eastAsia="Times New Roman" w:hAnsi="Times New Roman" w:cs="Times New Roman"/>
          <w:sz w:val="24"/>
          <w:szCs w:val="24"/>
        </w:rPr>
        <w:t xml:space="preserve">Investment Intention towards </w:t>
      </w:r>
      <w:r w:rsidR="00954A73">
        <w:rPr>
          <w:rFonts w:ascii="Times New Roman" w:eastAsia="Times New Roman" w:hAnsi="Times New Roman" w:cs="Times New Roman"/>
          <w:sz w:val="24"/>
          <w:szCs w:val="24"/>
        </w:rPr>
        <w:t>Socially Responsible Investments in Malaysia: An Application of t</w:t>
      </w:r>
      <w:r>
        <w:rPr>
          <w:rFonts w:ascii="Times New Roman" w:eastAsia="Times New Roman" w:hAnsi="Times New Roman" w:cs="Times New Roman"/>
          <w:sz w:val="24"/>
          <w:szCs w:val="24"/>
        </w:rPr>
        <w:t xml:space="preserve">he Extended </w:t>
      </w:r>
      <w:r w:rsidR="00954A73">
        <w:rPr>
          <w:rFonts w:ascii="Times New Roman" w:eastAsia="Times New Roman" w:hAnsi="Times New Roman" w:cs="Times New Roman"/>
          <w:sz w:val="24"/>
          <w:szCs w:val="24"/>
        </w:rPr>
        <w:t>Theory of Planned Behaviour, Unified Theory of Acceptance and Use of Technology</w:t>
      </w:r>
      <w:r>
        <w:rPr>
          <w:rFonts w:ascii="Times New Roman" w:eastAsia="Times New Roman" w:hAnsi="Times New Roman" w:cs="Times New Roman"/>
          <w:sz w:val="24"/>
          <w:szCs w:val="24"/>
        </w:rPr>
        <w:t xml:space="preserve"> and Financial Literacy Model</w:t>
      </w:r>
    </w:p>
    <w:p w14:paraId="4E4E6554" w14:textId="77777777" w:rsidR="002A0259" w:rsidRDefault="0034318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Authors: </w:t>
      </w:r>
    </w:p>
    <w:p w14:paraId="3092173E" w14:textId="77777777" w:rsidR="002A0259" w:rsidRDefault="00343186">
      <w:pP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Tohidi, Parsa</w:t>
      </w:r>
      <w:r>
        <w:rPr>
          <w:rFonts w:ascii="Times New Roman" w:eastAsia="Times New Roman" w:hAnsi="Times New Roman" w:cs="Times New Roman"/>
          <w:sz w:val="24"/>
          <w:szCs w:val="24"/>
          <w:vertAlign w:val="superscript"/>
        </w:rPr>
        <w:t>1</w:t>
      </w:r>
    </w:p>
    <w:p w14:paraId="6F926330" w14:textId="77777777" w:rsidR="002A0259" w:rsidRDefault="00343186">
      <w:pPr>
        <w:rPr>
          <w:rFonts w:ascii="Times New Roman" w:eastAsia="Times New Roman" w:hAnsi="Times New Roman" w:cs="Times New Roman"/>
          <w:sz w:val="24"/>
          <w:szCs w:val="24"/>
        </w:rPr>
      </w:pPr>
      <w:r>
        <w:rPr>
          <w:rFonts w:ascii="Times New Roman" w:eastAsia="Times New Roman" w:hAnsi="Times New Roman" w:cs="Times New Roman"/>
          <w:sz w:val="24"/>
          <w:szCs w:val="24"/>
        </w:rPr>
        <w:t>Mostafa, Ataul</w:t>
      </w:r>
      <w:r>
        <w:rPr>
          <w:rFonts w:ascii="Times New Roman" w:eastAsia="Times New Roman" w:hAnsi="Times New Roman" w:cs="Times New Roman"/>
          <w:sz w:val="24"/>
          <w:szCs w:val="24"/>
          <w:vertAlign w:val="superscript"/>
        </w:rPr>
        <w:t>1</w:t>
      </w:r>
    </w:p>
    <w:p w14:paraId="5DF41515" w14:textId="77777777" w:rsidR="002A0259" w:rsidRDefault="00343186">
      <w:pPr>
        <w:rPr>
          <w:rFonts w:ascii="Times New Roman" w:eastAsia="Times New Roman" w:hAnsi="Times New Roman" w:cs="Times New Roman"/>
          <w:sz w:val="24"/>
          <w:szCs w:val="24"/>
        </w:rPr>
      </w:pPr>
      <w:r>
        <w:rPr>
          <w:rFonts w:ascii="Times New Roman" w:eastAsia="Times New Roman" w:hAnsi="Times New Roman" w:cs="Times New Roman"/>
          <w:sz w:val="24"/>
          <w:szCs w:val="24"/>
        </w:rPr>
        <w:t>Santhana Rajan, Marcia Edna</w:t>
      </w:r>
      <w:r>
        <w:rPr>
          <w:rFonts w:ascii="Times New Roman" w:eastAsia="Times New Roman" w:hAnsi="Times New Roman" w:cs="Times New Roman"/>
          <w:sz w:val="24"/>
          <w:szCs w:val="24"/>
          <w:vertAlign w:val="superscript"/>
        </w:rPr>
        <w:t>1</w:t>
      </w:r>
    </w:p>
    <w:p w14:paraId="77D9AF27" w14:textId="77777777" w:rsidR="002A0259" w:rsidRDefault="002A0259">
      <w:pPr>
        <w:rPr>
          <w:rFonts w:ascii="Times New Roman" w:eastAsia="Times New Roman" w:hAnsi="Times New Roman" w:cs="Times New Roman"/>
          <w:sz w:val="24"/>
          <w:szCs w:val="24"/>
        </w:rPr>
      </w:pPr>
    </w:p>
    <w:p w14:paraId="752153EA" w14:textId="77777777" w:rsidR="002A0259" w:rsidRDefault="00343186">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Faculty of Business and Management, UCSI University Kuala Lumpur Campus, Kuala Lumpur, Malaysia</w:t>
      </w:r>
    </w:p>
    <w:p w14:paraId="1A9D35D1" w14:textId="77777777" w:rsidR="002A0259" w:rsidRDefault="002A0259">
      <w:pPr>
        <w:rPr>
          <w:rFonts w:ascii="Times New Roman" w:eastAsia="Times New Roman" w:hAnsi="Times New Roman" w:cs="Times New Roman"/>
          <w:sz w:val="24"/>
          <w:szCs w:val="24"/>
        </w:rPr>
      </w:pPr>
    </w:p>
    <w:p w14:paraId="1C264581" w14:textId="77777777" w:rsidR="002A0259" w:rsidRDefault="00343186">
      <w:pPr>
        <w:rPr>
          <w:rFonts w:ascii="Times New Roman" w:eastAsia="Times New Roman" w:hAnsi="Times New Roman" w:cs="Times New Roman"/>
          <w:sz w:val="24"/>
          <w:szCs w:val="24"/>
        </w:rPr>
      </w:pPr>
      <w:r>
        <w:rPr>
          <w:rFonts w:ascii="Times New Roman" w:eastAsia="Times New Roman" w:hAnsi="Times New Roman" w:cs="Times New Roman"/>
          <w:sz w:val="24"/>
          <w:szCs w:val="24"/>
        </w:rPr>
        <w:t>Correspondence:</w:t>
      </w:r>
    </w:p>
    <w:p w14:paraId="034530A5" w14:textId="77777777" w:rsidR="002A0259" w:rsidRDefault="0034318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Tohidi, Parsa, Faculty of Business and Management, UCSI University Kuala Lumpur Campus, Kuala Lumpur, Malaysia </w:t>
      </w:r>
    </w:p>
    <w:p w14:paraId="1067E80F" w14:textId="77777777" w:rsidR="002A0259" w:rsidRDefault="00343186">
      <w:pPr>
        <w:rPr>
          <w:rFonts w:ascii="Times New Roman" w:eastAsia="Times New Roman" w:hAnsi="Times New Roman" w:cs="Times New Roman"/>
          <w:sz w:val="24"/>
          <w:szCs w:val="24"/>
        </w:rPr>
      </w:pPr>
      <w:r>
        <w:rPr>
          <w:rFonts w:ascii="Times New Roman" w:eastAsia="Times New Roman" w:hAnsi="Times New Roman" w:cs="Times New Roman"/>
          <w:sz w:val="24"/>
          <w:szCs w:val="24"/>
        </w:rPr>
        <w:t>Email: parsat02126@gmail.com</w:t>
      </w:r>
    </w:p>
    <w:p w14:paraId="7D3E512D" w14:textId="77777777" w:rsidR="002A0259" w:rsidRDefault="002A0259">
      <w:pPr>
        <w:spacing w:before="240" w:after="240" w:line="240" w:lineRule="auto"/>
        <w:jc w:val="both"/>
        <w:rPr>
          <w:rFonts w:ascii="Times New Roman" w:eastAsia="Times New Roman" w:hAnsi="Times New Roman" w:cs="Times New Roman"/>
          <w:b/>
          <w:sz w:val="24"/>
          <w:szCs w:val="24"/>
        </w:rPr>
      </w:pPr>
    </w:p>
    <w:p w14:paraId="5ABD385D" w14:textId="77777777" w:rsidR="002A0259" w:rsidRDefault="00343186">
      <w:pPr>
        <w:spacing w:before="240"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Abstract</w:t>
      </w:r>
    </w:p>
    <w:p w14:paraId="28281BEE" w14:textId="77777777" w:rsidR="002A0259" w:rsidRDefault="00343186">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study aims to critically examine the existing literature on sustainable investments and to measure the socially responsible investment intentions of investors in Malaysia. The study will use survey data to gather information from more than 300 Malaysian investors from all categories to determine their thought processes and beliefs about short–term and long-term performances of socially responsible investments</w:t>
      </w:r>
      <w:r w:rsidR="008007AB">
        <w:rPr>
          <w:rFonts w:ascii="Times New Roman" w:eastAsia="Times New Roman" w:hAnsi="Times New Roman" w:cs="Times New Roman"/>
          <w:sz w:val="24"/>
          <w:szCs w:val="24"/>
        </w:rPr>
        <w:t xml:space="preserve"> (SRI)</w:t>
      </w:r>
      <w:r>
        <w:rPr>
          <w:rFonts w:ascii="Times New Roman" w:eastAsia="Times New Roman" w:hAnsi="Times New Roman" w:cs="Times New Roman"/>
          <w:sz w:val="24"/>
          <w:szCs w:val="24"/>
        </w:rPr>
        <w:t xml:space="preserve">. Additionally, the study will examine the intention of investors to invest further in </w:t>
      </w:r>
      <w:r w:rsidR="008007AB">
        <w:rPr>
          <w:rFonts w:ascii="Times New Roman" w:eastAsia="Times New Roman" w:hAnsi="Times New Roman" w:cs="Times New Roman"/>
          <w:sz w:val="24"/>
          <w:szCs w:val="24"/>
        </w:rPr>
        <w:t>SRI</w:t>
      </w:r>
      <w:r>
        <w:rPr>
          <w:rFonts w:ascii="Times New Roman" w:eastAsia="Times New Roman" w:hAnsi="Times New Roman" w:cs="Times New Roman"/>
          <w:sz w:val="24"/>
          <w:szCs w:val="24"/>
        </w:rPr>
        <w:t xml:space="preserve">s. The findings of this study will provide insight into </w:t>
      </w:r>
      <w:r w:rsidR="008007AB">
        <w:rPr>
          <w:rFonts w:ascii="Times New Roman" w:eastAsia="Times New Roman" w:hAnsi="Times New Roman" w:cs="Times New Roman"/>
          <w:sz w:val="24"/>
          <w:szCs w:val="24"/>
        </w:rPr>
        <w:t xml:space="preserve">SRI </w:t>
      </w:r>
      <w:r>
        <w:rPr>
          <w:rFonts w:ascii="Times New Roman" w:eastAsia="Times New Roman" w:hAnsi="Times New Roman" w:cs="Times New Roman"/>
          <w:sz w:val="24"/>
          <w:szCs w:val="24"/>
        </w:rPr>
        <w:t>initiatives that can be useful for stakeholders when making financial and investment decisions.</w:t>
      </w:r>
    </w:p>
    <w:p w14:paraId="25C452A1" w14:textId="77777777" w:rsidR="002A0259" w:rsidRDefault="002A0259">
      <w:pPr>
        <w:spacing w:before="240" w:after="240" w:line="240" w:lineRule="auto"/>
        <w:jc w:val="both"/>
        <w:rPr>
          <w:rFonts w:ascii="Times New Roman" w:eastAsia="Times New Roman" w:hAnsi="Times New Roman" w:cs="Times New Roman"/>
          <w:sz w:val="24"/>
          <w:szCs w:val="24"/>
        </w:rPr>
      </w:pPr>
    </w:p>
    <w:p w14:paraId="77A2A3CE" w14:textId="77777777" w:rsidR="002A0259" w:rsidRDefault="00343186">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Keywords: Socially Responsible Investment (SRI), Environmental, Social, and Governance (ESG), Investment Intention, Perceived Performance, TPB, UTAUT, Financial Literacy Model, Malaysia.</w:t>
      </w:r>
    </w:p>
    <w:p w14:paraId="35731451" w14:textId="77777777" w:rsidR="002A0259" w:rsidRDefault="00343186">
      <w:pPr>
        <w:pStyle w:val="Heading1"/>
        <w:pBdr>
          <w:top w:val="none" w:sz="0" w:space="0" w:color="D9D9E3"/>
          <w:left w:val="none" w:sz="0" w:space="0" w:color="D9D9E3"/>
          <w:bottom w:val="none" w:sz="0" w:space="0" w:color="D9D9E3"/>
          <w:right w:val="none" w:sz="0" w:space="0" w:color="D9D9E3"/>
          <w:between w:val="none" w:sz="0" w:space="0" w:color="D9D9E3"/>
        </w:pBdr>
        <w:shd w:val="clear" w:color="auto" w:fill="F7F7F8"/>
        <w:tabs>
          <w:tab w:val="left" w:pos="500"/>
        </w:tabs>
        <w:spacing w:before="0" w:after="300" w:line="240" w:lineRule="auto"/>
        <w:jc w:val="both"/>
        <w:rPr>
          <w:rFonts w:ascii="Times New Roman" w:eastAsia="Times New Roman" w:hAnsi="Times New Roman" w:cs="Times New Roman"/>
          <w:b/>
          <w:sz w:val="24"/>
          <w:szCs w:val="24"/>
        </w:rPr>
      </w:pPr>
      <w:bookmarkStart w:id="1" w:name="_q7bkltlh3ntw" w:colFirst="0" w:colLast="0"/>
      <w:bookmarkEnd w:id="1"/>
      <w:r>
        <w:rPr>
          <w:rFonts w:ascii="Times New Roman" w:eastAsia="Times New Roman" w:hAnsi="Times New Roman" w:cs="Times New Roman"/>
          <w:b/>
          <w:sz w:val="24"/>
          <w:szCs w:val="24"/>
        </w:rPr>
        <w:lastRenderedPageBreak/>
        <w:t>1. Introduction</w:t>
      </w:r>
    </w:p>
    <w:p w14:paraId="1ADF3248" w14:textId="77777777" w:rsidR="002A0259" w:rsidRDefault="00343186">
      <w:pPr>
        <w:pStyle w:val="Heading1"/>
        <w:pBdr>
          <w:top w:val="none" w:sz="0" w:space="0" w:color="D9D9E3"/>
          <w:left w:val="none" w:sz="0" w:space="0" w:color="D9D9E3"/>
          <w:bottom w:val="none" w:sz="0" w:space="0" w:color="D9D9E3"/>
          <w:right w:val="none" w:sz="0" w:space="0" w:color="D9D9E3"/>
          <w:between w:val="none" w:sz="0" w:space="0" w:color="D9D9E3"/>
        </w:pBdr>
        <w:shd w:val="clear" w:color="auto" w:fill="F7F7F8"/>
        <w:tabs>
          <w:tab w:val="left" w:pos="500"/>
        </w:tabs>
        <w:spacing w:before="300" w:after="0" w:line="240" w:lineRule="auto"/>
        <w:jc w:val="both"/>
        <w:rPr>
          <w:rFonts w:ascii="Times New Roman" w:eastAsia="Times New Roman" w:hAnsi="Times New Roman" w:cs="Times New Roman"/>
          <w:sz w:val="24"/>
          <w:szCs w:val="24"/>
        </w:rPr>
      </w:pPr>
      <w:bookmarkStart w:id="2" w:name="_oraq91wuhn48" w:colFirst="0" w:colLast="0"/>
      <w:bookmarkEnd w:id="2"/>
      <w:r>
        <w:rPr>
          <w:rFonts w:ascii="Times New Roman" w:eastAsia="Times New Roman" w:hAnsi="Times New Roman" w:cs="Times New Roman"/>
          <w:sz w:val="24"/>
          <w:szCs w:val="24"/>
        </w:rPr>
        <w:t>Sustainable investing, also known as socially responsible inve</w:t>
      </w:r>
      <w:r w:rsidR="008007AB">
        <w:rPr>
          <w:rFonts w:ascii="Times New Roman" w:eastAsia="Times New Roman" w:hAnsi="Times New Roman" w:cs="Times New Roman"/>
          <w:sz w:val="24"/>
          <w:szCs w:val="24"/>
        </w:rPr>
        <w:t xml:space="preserve">sting, </w:t>
      </w:r>
      <w:r>
        <w:rPr>
          <w:rFonts w:ascii="Times New Roman" w:eastAsia="Times New Roman" w:hAnsi="Times New Roman" w:cs="Times New Roman"/>
          <w:sz w:val="24"/>
          <w:szCs w:val="24"/>
        </w:rPr>
        <w:t>is becoming an increasingly popular trend among mainstream investors. Investing involves considering environmental, social, and governance (ESG) factors when making investment decisions. The goal of sustainable investing is to positively impact society and the environment while generating financial returns.</w:t>
      </w:r>
    </w:p>
    <w:p w14:paraId="7F98B93D" w14:textId="77777777" w:rsidR="002A0259" w:rsidRDefault="00343186">
      <w:pPr>
        <w:pStyle w:val="Heading1"/>
        <w:pBdr>
          <w:top w:val="none" w:sz="0" w:space="0" w:color="D9D9E3"/>
          <w:left w:val="none" w:sz="0" w:space="0" w:color="D9D9E3"/>
          <w:bottom w:val="none" w:sz="0" w:space="0" w:color="D9D9E3"/>
          <w:right w:val="none" w:sz="0" w:space="0" w:color="D9D9E3"/>
          <w:between w:val="none" w:sz="0" w:space="0" w:color="D9D9E3"/>
        </w:pBdr>
        <w:shd w:val="clear" w:color="auto" w:fill="F7F7F8"/>
        <w:tabs>
          <w:tab w:val="left" w:pos="500"/>
        </w:tabs>
        <w:spacing w:before="300" w:after="0" w:line="240" w:lineRule="auto"/>
        <w:jc w:val="both"/>
        <w:rPr>
          <w:rFonts w:ascii="Times New Roman" w:eastAsia="Times New Roman" w:hAnsi="Times New Roman" w:cs="Times New Roman"/>
          <w:sz w:val="24"/>
          <w:szCs w:val="24"/>
        </w:rPr>
      </w:pPr>
      <w:bookmarkStart w:id="3" w:name="_h34nl84sxyhv" w:colFirst="0" w:colLast="0"/>
      <w:bookmarkEnd w:id="3"/>
      <w:r>
        <w:rPr>
          <w:rFonts w:ascii="Times New Roman" w:eastAsia="Times New Roman" w:hAnsi="Times New Roman" w:cs="Times New Roman"/>
          <w:sz w:val="24"/>
          <w:szCs w:val="24"/>
        </w:rPr>
        <w:t>Global challenges such as climate change and pollution have prompted investors to demand more ethical and responsible corporate practices. Companies that consider these factors are seen as more attractive investments, as they are likely to be more resilient in the long term. Studies have also shown that SRI funds have the potential to outperform traditional funds, with SRI equity mutual funds in Canada outperforming their benchmarks 63% of the time and SRI fixed income and balanced mutual funds outperforming their benchmarks 67% of the time (Hebb, 2015).</w:t>
      </w:r>
    </w:p>
    <w:p w14:paraId="21074522" w14:textId="77777777" w:rsidR="002A0259" w:rsidRDefault="00343186">
      <w:pPr>
        <w:pStyle w:val="Heading1"/>
        <w:pBdr>
          <w:top w:val="none" w:sz="0" w:space="0" w:color="D9D9E3"/>
          <w:left w:val="none" w:sz="0" w:space="0" w:color="D9D9E3"/>
          <w:bottom w:val="none" w:sz="0" w:space="0" w:color="D9D9E3"/>
          <w:right w:val="none" w:sz="0" w:space="0" w:color="D9D9E3"/>
          <w:between w:val="none" w:sz="0" w:space="0" w:color="D9D9E3"/>
        </w:pBdr>
        <w:shd w:val="clear" w:color="auto" w:fill="F7F7F8"/>
        <w:tabs>
          <w:tab w:val="left" w:pos="500"/>
        </w:tabs>
        <w:spacing w:before="300" w:after="0" w:line="240" w:lineRule="auto"/>
        <w:jc w:val="both"/>
        <w:rPr>
          <w:rFonts w:ascii="Times New Roman" w:eastAsia="Times New Roman" w:hAnsi="Times New Roman" w:cs="Times New Roman"/>
          <w:sz w:val="24"/>
          <w:szCs w:val="24"/>
        </w:rPr>
      </w:pPr>
      <w:bookmarkStart w:id="4" w:name="_n486lua1tcd4" w:colFirst="0" w:colLast="0"/>
      <w:bookmarkEnd w:id="4"/>
      <w:r>
        <w:rPr>
          <w:rFonts w:ascii="Times New Roman" w:eastAsia="Times New Roman" w:hAnsi="Times New Roman" w:cs="Times New Roman"/>
          <w:sz w:val="24"/>
          <w:szCs w:val="24"/>
        </w:rPr>
        <w:t>In addition to the potential financial benefits, sustainable investing allows investors to align their investments with their values. Shareholders can demand that a firm disclose and report on its responsible investment strategies, which can attract other like-minded investors (Guay et al., 2004). This is a powerful way for investors to positively impact the world and encourage companies to take more responsibility for their actions.</w:t>
      </w:r>
    </w:p>
    <w:p w14:paraId="2EF3F974" w14:textId="77777777" w:rsidR="002A0259" w:rsidRDefault="00343186">
      <w:pPr>
        <w:pStyle w:val="Heading1"/>
        <w:pBdr>
          <w:top w:val="none" w:sz="0" w:space="0" w:color="D9D9E3"/>
          <w:left w:val="none" w:sz="0" w:space="0" w:color="D9D9E3"/>
          <w:bottom w:val="none" w:sz="0" w:space="0" w:color="D9D9E3"/>
          <w:right w:val="none" w:sz="0" w:space="0" w:color="D9D9E3"/>
          <w:between w:val="none" w:sz="0" w:space="0" w:color="D9D9E3"/>
        </w:pBdr>
        <w:shd w:val="clear" w:color="auto" w:fill="F7F7F8"/>
        <w:tabs>
          <w:tab w:val="left" w:pos="500"/>
        </w:tabs>
        <w:spacing w:before="300" w:after="0" w:line="240" w:lineRule="auto"/>
        <w:jc w:val="both"/>
        <w:rPr>
          <w:rFonts w:ascii="Times New Roman" w:eastAsia="Times New Roman" w:hAnsi="Times New Roman" w:cs="Times New Roman"/>
          <w:sz w:val="24"/>
          <w:szCs w:val="24"/>
        </w:rPr>
      </w:pPr>
      <w:bookmarkStart w:id="5" w:name="_2q0mswbzurrr" w:colFirst="0" w:colLast="0"/>
      <w:bookmarkEnd w:id="5"/>
      <w:r>
        <w:rPr>
          <w:rFonts w:ascii="Times New Roman" w:eastAsia="Times New Roman" w:hAnsi="Times New Roman" w:cs="Times New Roman"/>
          <w:sz w:val="24"/>
          <w:szCs w:val="24"/>
        </w:rPr>
        <w:t xml:space="preserve">It is important to remember that SRI is still an investment, and investors must weigh both the benefits and drawbacks of their investments and their potential for a return to ensure that their investment meets both their financial and social objectives (Chen, 2022). SRI has gained popularity in the United States and accounts for a significant portion of professionally managed assets in the United States and Canada (United States Social Investment Forum [SIF], n.d) and is also growing in popularity in Europe, Australia, and Asia (SIF, n.d). This has attracted the attention of scholars and researchers studying financial market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(Raut et al., 2020). </w:t>
      </w:r>
    </w:p>
    <w:p w14:paraId="60B59149" w14:textId="77777777" w:rsidR="002A0259" w:rsidRDefault="00343186">
      <w:pPr>
        <w:pStyle w:val="Heading1"/>
        <w:pBdr>
          <w:top w:val="none" w:sz="0" w:space="0" w:color="D9D9E3"/>
          <w:left w:val="none" w:sz="0" w:space="0" w:color="D9D9E3"/>
          <w:bottom w:val="none" w:sz="0" w:space="0" w:color="D9D9E3"/>
          <w:right w:val="none" w:sz="0" w:space="0" w:color="D9D9E3"/>
          <w:between w:val="none" w:sz="0" w:space="0" w:color="D9D9E3"/>
        </w:pBdr>
        <w:shd w:val="clear" w:color="auto" w:fill="F7F7F8"/>
        <w:tabs>
          <w:tab w:val="left" w:pos="500"/>
        </w:tabs>
        <w:spacing w:before="300" w:after="0" w:line="240" w:lineRule="auto"/>
        <w:jc w:val="both"/>
        <w:rPr>
          <w:rFonts w:ascii="Times New Roman" w:eastAsia="Times New Roman" w:hAnsi="Times New Roman" w:cs="Times New Roman"/>
          <w:sz w:val="24"/>
          <w:szCs w:val="24"/>
        </w:rPr>
      </w:pPr>
      <w:bookmarkStart w:id="6" w:name="_fy8tdm8i1uro" w:colFirst="0" w:colLast="0"/>
      <w:bookmarkEnd w:id="6"/>
      <w:r>
        <w:rPr>
          <w:rFonts w:ascii="Times New Roman" w:eastAsia="Times New Roman" w:hAnsi="Times New Roman" w:cs="Times New Roman"/>
          <w:sz w:val="24"/>
          <w:szCs w:val="24"/>
        </w:rPr>
        <w:t xml:space="preserve">SRI is a relatively new concept in Malaysia, and there is a lack of research in this area. This study aims to fill this research gap by understanding the attitudes of investors toward SRI in Malaysia. The study is especially important because understanding people's </w:t>
      </w:r>
      <w:r w:rsidR="00D13D1E">
        <w:rPr>
          <w:rFonts w:ascii="Times New Roman" w:eastAsia="Times New Roman" w:hAnsi="Times New Roman" w:cs="Times New Roman"/>
          <w:sz w:val="24"/>
          <w:szCs w:val="24"/>
        </w:rPr>
        <w:t>behavioural</w:t>
      </w:r>
      <w:r>
        <w:rPr>
          <w:rFonts w:ascii="Times New Roman" w:eastAsia="Times New Roman" w:hAnsi="Times New Roman" w:cs="Times New Roman"/>
          <w:sz w:val="24"/>
          <w:szCs w:val="24"/>
        </w:rPr>
        <w:t xml:space="preserve"> intentions towards SRI is scarce in developing nations, according to Adam and Shauki (2014). To accomplish this, the study uses an extended Theory of Planned Behavior (TPB) model in addition to the Unified Theory of Acceptance and Use of Technology (UTAUT) and the Financial Literacy Model (Raut et al., 2020). The study builds on previous research showing that particular investor attitudes can influence the propensity to purchase specific financial products. For instance, Shanmugham and Ramya (2012), Sachse (2012), Warsame and Ireri (2016), Ashidiqi and Arundina (2017), and Kunz (2017) have highlighted that the primary difference between socially responsible and conventional investors is their attitudes, as Williams (2005, 2007) also pointed out. The study also extends</w:t>
      </w:r>
      <w:r w:rsidR="00A55899">
        <w:rPr>
          <w:rFonts w:ascii="Times New Roman" w:eastAsia="Times New Roman" w:hAnsi="Times New Roman" w:cs="Times New Roman"/>
          <w:sz w:val="24"/>
          <w:szCs w:val="24"/>
        </w:rPr>
        <w:t xml:space="preserve"> the TPB</w:t>
      </w:r>
      <w:r>
        <w:rPr>
          <w:rFonts w:ascii="Times New Roman" w:eastAsia="Times New Roman" w:hAnsi="Times New Roman" w:cs="Times New Roman"/>
          <w:sz w:val="24"/>
          <w:szCs w:val="24"/>
        </w:rPr>
        <w:t xml:space="preserve"> by incorporating new constructs, moral standards, environmental concerns, and perceived financial performance and knowledge from the UTAUT and Financial Literacy Model. This allows a more comprehensive understanding of the factors influencing the intention to invest in SRI in Malaysia.</w:t>
      </w:r>
    </w:p>
    <w:p w14:paraId="30937590" w14:textId="77777777" w:rsidR="002A0259" w:rsidRDefault="00343186">
      <w:pPr>
        <w:pStyle w:val="Heading1"/>
        <w:pBdr>
          <w:top w:val="none" w:sz="0" w:space="0" w:color="D9D9E3"/>
          <w:left w:val="none" w:sz="0" w:space="0" w:color="D9D9E3"/>
          <w:bottom w:val="none" w:sz="0" w:space="0" w:color="D9D9E3"/>
          <w:right w:val="none" w:sz="0" w:space="0" w:color="D9D9E3"/>
          <w:between w:val="none" w:sz="0" w:space="0" w:color="D9D9E3"/>
        </w:pBdr>
        <w:shd w:val="clear" w:color="auto" w:fill="F7F7F8"/>
        <w:tabs>
          <w:tab w:val="left" w:pos="500"/>
        </w:tabs>
        <w:spacing w:before="300" w:after="0" w:line="240" w:lineRule="auto"/>
        <w:jc w:val="both"/>
        <w:rPr>
          <w:rFonts w:ascii="Times New Roman" w:eastAsia="Times New Roman" w:hAnsi="Times New Roman" w:cs="Times New Roman"/>
          <w:sz w:val="24"/>
          <w:szCs w:val="24"/>
        </w:rPr>
      </w:pPr>
      <w:bookmarkStart w:id="7" w:name="_55e6efnl1oyx" w:colFirst="0" w:colLast="0"/>
      <w:bookmarkEnd w:id="7"/>
      <w:r>
        <w:rPr>
          <w:rFonts w:ascii="Times New Roman" w:eastAsia="Times New Roman" w:hAnsi="Times New Roman" w:cs="Times New Roman"/>
          <w:sz w:val="24"/>
          <w:szCs w:val="24"/>
        </w:rPr>
        <w:lastRenderedPageBreak/>
        <w:t>The study is of great importance as it will allow us to predict and plan for market fluctuations in the future. This is because SRI is rapidly gaining popularity and is expected to become the primary way of investing in the near future. The reason for this is that people are becoming increasingly conscious of the environment and the long-term impact it has on society. As a result, they want to invest in companies and industries that align with their values and contribute to a sustainable future. By understanding the trends and patterns in SRI, we can make informed decisions about where to invest our money and support the transition to a more sustainable economy. It is vital for businesses, investors, and policymakers to stay informed about the latest developments in SRI to stay ahead of the curve and make a positive impact.</w:t>
      </w:r>
    </w:p>
    <w:p w14:paraId="2411D933" w14:textId="77777777" w:rsidR="002A0259" w:rsidRDefault="00343186">
      <w:pPr>
        <w:pStyle w:val="Heading1"/>
        <w:pBdr>
          <w:top w:val="none" w:sz="0" w:space="0" w:color="D9D9E3"/>
          <w:left w:val="none" w:sz="0" w:space="0" w:color="D9D9E3"/>
          <w:bottom w:val="none" w:sz="0" w:space="0" w:color="D9D9E3"/>
          <w:right w:val="none" w:sz="0" w:space="0" w:color="D9D9E3"/>
          <w:between w:val="none" w:sz="0" w:space="0" w:color="D9D9E3"/>
        </w:pBdr>
        <w:shd w:val="clear" w:color="auto" w:fill="F7F7F8"/>
        <w:tabs>
          <w:tab w:val="left" w:pos="500"/>
        </w:tabs>
        <w:spacing w:before="300" w:after="0" w:line="240" w:lineRule="auto"/>
        <w:jc w:val="both"/>
        <w:rPr>
          <w:rFonts w:ascii="Times New Roman" w:eastAsia="Times New Roman" w:hAnsi="Times New Roman" w:cs="Times New Roman"/>
          <w:sz w:val="24"/>
          <w:szCs w:val="24"/>
        </w:rPr>
      </w:pPr>
      <w:bookmarkStart w:id="8" w:name="_tjjhsmmgehmu" w:colFirst="0" w:colLast="0"/>
      <w:bookmarkEnd w:id="8"/>
      <w:r>
        <w:rPr>
          <w:rFonts w:ascii="Times New Roman" w:eastAsia="Times New Roman" w:hAnsi="Times New Roman" w:cs="Times New Roman"/>
          <w:sz w:val="24"/>
          <w:szCs w:val="24"/>
        </w:rPr>
        <w:t>The results of this study hold great significance for various stakeholders in the financial sector. Financial institutions, investment firms, and policymakers will all be able to utilize the information provided to craft strategies and policies that promote sustainable investing in Malaysia. This is particularly important in today's ever-changing economic landscape, where sustainability and responsible investing are becoming increasingly crucial for investors.</w:t>
      </w:r>
    </w:p>
    <w:p w14:paraId="5BC642BB" w14:textId="77777777" w:rsidR="002A0259" w:rsidRDefault="002A0259">
      <w:pPr>
        <w:tabs>
          <w:tab w:val="left" w:pos="500"/>
        </w:tabs>
        <w:rPr>
          <w:rFonts w:ascii="Times New Roman" w:eastAsia="Times New Roman" w:hAnsi="Times New Roman" w:cs="Times New Roman"/>
          <w:sz w:val="24"/>
          <w:szCs w:val="24"/>
        </w:rPr>
      </w:pPr>
    </w:p>
    <w:p w14:paraId="5FFAEB87" w14:textId="77777777" w:rsidR="002A0259" w:rsidRDefault="00343186">
      <w:pPr>
        <w:pStyle w:val="Heading1"/>
        <w:tabs>
          <w:tab w:val="left" w:pos="680"/>
        </w:tabs>
        <w:spacing w:before="200" w:line="240" w:lineRule="auto"/>
        <w:jc w:val="both"/>
        <w:rPr>
          <w:rFonts w:ascii="Times New Roman" w:eastAsia="Times New Roman" w:hAnsi="Times New Roman" w:cs="Times New Roman"/>
          <w:sz w:val="24"/>
          <w:szCs w:val="24"/>
        </w:rPr>
      </w:pPr>
      <w:bookmarkStart w:id="9" w:name="_djlfc6de0ytu" w:colFirst="0" w:colLast="0"/>
      <w:bookmarkEnd w:id="9"/>
      <w:r>
        <w:rPr>
          <w:rFonts w:ascii="Times New Roman" w:eastAsia="Times New Roman" w:hAnsi="Times New Roman" w:cs="Times New Roman"/>
          <w:b/>
          <w:sz w:val="24"/>
          <w:szCs w:val="24"/>
        </w:rPr>
        <w:t>2.0 Literature Review</w:t>
      </w:r>
    </w:p>
    <w:p w14:paraId="382A93F4" w14:textId="77777777" w:rsidR="002A0259" w:rsidRDefault="009B35A8">
      <w:pPr>
        <w:pStyle w:val="Heading1"/>
        <w:tabs>
          <w:tab w:val="left" w:pos="680"/>
        </w:tabs>
        <w:spacing w:before="200" w:line="240" w:lineRule="auto"/>
        <w:jc w:val="both"/>
        <w:rPr>
          <w:rFonts w:ascii="Times New Roman" w:eastAsia="Times New Roman" w:hAnsi="Times New Roman" w:cs="Times New Roman"/>
          <w:b/>
          <w:sz w:val="24"/>
          <w:szCs w:val="24"/>
        </w:rPr>
      </w:pPr>
      <w:bookmarkStart w:id="10" w:name="_1y810tw" w:colFirst="0" w:colLast="0"/>
      <w:bookmarkEnd w:id="10"/>
      <w:r>
        <w:rPr>
          <w:rFonts w:ascii="Times New Roman" w:eastAsia="Times New Roman" w:hAnsi="Times New Roman" w:cs="Times New Roman"/>
          <w:b/>
          <w:sz w:val="24"/>
          <w:szCs w:val="24"/>
        </w:rPr>
        <w:t>2.1 The Unified Theory of Acceptance &amp; Use o</w:t>
      </w:r>
      <w:r w:rsidR="00343186">
        <w:rPr>
          <w:rFonts w:ascii="Times New Roman" w:eastAsia="Times New Roman" w:hAnsi="Times New Roman" w:cs="Times New Roman"/>
          <w:b/>
          <w:sz w:val="24"/>
          <w:szCs w:val="24"/>
        </w:rPr>
        <w:t>f Technology</w:t>
      </w:r>
    </w:p>
    <w:p w14:paraId="547ABF6C" w14:textId="77777777" w:rsidR="002A0259" w:rsidRDefault="002A0259">
      <w:pPr>
        <w:widowControl w:val="0"/>
        <w:spacing w:line="240" w:lineRule="auto"/>
        <w:jc w:val="both"/>
        <w:rPr>
          <w:rFonts w:ascii="Times New Roman" w:eastAsia="Times New Roman" w:hAnsi="Times New Roman" w:cs="Times New Roman"/>
          <w:b/>
          <w:sz w:val="24"/>
          <w:szCs w:val="24"/>
        </w:rPr>
      </w:pPr>
    </w:p>
    <w:p w14:paraId="040E6C87" w14:textId="77777777" w:rsidR="002A0259" w:rsidRDefault="009B35A8">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study uses the U</w:t>
      </w:r>
      <w:r w:rsidR="00343186">
        <w:rPr>
          <w:rFonts w:ascii="Times New Roman" w:eastAsia="Times New Roman" w:hAnsi="Times New Roman" w:cs="Times New Roman"/>
          <w:sz w:val="24"/>
          <w:szCs w:val="24"/>
        </w:rPr>
        <w:t xml:space="preserve">nified </w:t>
      </w:r>
      <w:r>
        <w:rPr>
          <w:rFonts w:ascii="Times New Roman" w:eastAsia="Times New Roman" w:hAnsi="Times New Roman" w:cs="Times New Roman"/>
          <w:sz w:val="24"/>
          <w:szCs w:val="24"/>
        </w:rPr>
        <w:t xml:space="preserve">Theory of Acceptance and Use of Technology </w:t>
      </w:r>
      <w:r w:rsidR="00343186">
        <w:rPr>
          <w:rFonts w:ascii="Times New Roman" w:eastAsia="Times New Roman" w:hAnsi="Times New Roman" w:cs="Times New Roman"/>
          <w:sz w:val="24"/>
          <w:szCs w:val="24"/>
        </w:rPr>
        <w:t xml:space="preserve">(UTAUT) to investigate people's mechanical acceptance </w:t>
      </w:r>
      <w:r w:rsidR="00D13D1E">
        <w:rPr>
          <w:rFonts w:ascii="Times New Roman" w:eastAsia="Times New Roman" w:hAnsi="Times New Roman" w:cs="Times New Roman"/>
          <w:sz w:val="24"/>
          <w:szCs w:val="24"/>
        </w:rPr>
        <w:t>behaviour</w:t>
      </w:r>
      <w:r w:rsidR="00343186">
        <w:rPr>
          <w:rFonts w:ascii="Times New Roman" w:eastAsia="Times New Roman" w:hAnsi="Times New Roman" w:cs="Times New Roman"/>
          <w:sz w:val="24"/>
          <w:szCs w:val="24"/>
        </w:rPr>
        <w:t>. The UTAUT model aims to explain the difference between how users desire to use an information system and how they utilize it. The study focuses specifically on the impact of Perceived Performance, a UTAUT model variable that describes how much a person believes using a system would help them increase their action performance. Perceived Performance has implications for investors as it affects how they perceive the performance of SRI in terms of returns and research and, ultimately, how they use the market.</w:t>
      </w:r>
    </w:p>
    <w:p w14:paraId="386625CD"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41C4EA23"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2.2 Theory of Planned Behaviour (TPB)</w:t>
      </w:r>
    </w:p>
    <w:p w14:paraId="3A571130"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393B3B6D" w14:textId="77777777" w:rsidR="002A0259" w:rsidRDefault="00A5589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343186">
        <w:rPr>
          <w:rFonts w:ascii="Times New Roman" w:eastAsia="Times New Roman" w:hAnsi="Times New Roman" w:cs="Times New Roman"/>
          <w:sz w:val="24"/>
          <w:szCs w:val="24"/>
        </w:rPr>
        <w:t xml:space="preserve">TPB is a model that aims to understand, predict, and change human behaviour in specific contexts. Developed by Icek Ajzen in 1985, the TPB is based on the assumption that behaviour is intentional and can be planned. The theory </w:t>
      </w:r>
      <w:r w:rsidR="00A23590">
        <w:rPr>
          <w:rFonts w:ascii="Times New Roman" w:eastAsia="Times New Roman" w:hAnsi="Times New Roman" w:cs="Times New Roman"/>
          <w:sz w:val="24"/>
          <w:szCs w:val="24"/>
        </w:rPr>
        <w:t>suggests</w:t>
      </w:r>
      <w:r w:rsidR="00343186">
        <w:rPr>
          <w:rFonts w:ascii="Times New Roman" w:eastAsia="Times New Roman" w:hAnsi="Times New Roman" w:cs="Times New Roman"/>
          <w:sz w:val="24"/>
          <w:szCs w:val="24"/>
        </w:rPr>
        <w:t xml:space="preserve"> that intention and perceived control over conduct are the best constructs to determine behaviour. The TPB explains behaviour by focusing on intention, both the immediate antecedent and the most important driver of conduct. The theory also examines the perception of control over the conduct.</w:t>
      </w:r>
    </w:p>
    <w:p w14:paraId="30638809"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Attitude (ATT), subjective norms (SN), and perceived behavioural control (PBC) are used to explain intention. The individual's attitude toward the conduct, whether favourable or bad, is referred to as ATT. SN, on the other hand, describes how the individual believes important people would react or perceive them for executing the activity. In contrast, PBC describes how the individual believes they will be able to effectively perform the behaviour.</w:t>
      </w:r>
    </w:p>
    <w:p w14:paraId="75668706"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TPB has been used to determine the motive behind certain investment decisions and has been found to be the best appropriate theory to use in research on SRI. The current study aims to extend the TPB by integrating new variables: moral norm (MN) and environmental concern (EC).</w:t>
      </w:r>
    </w:p>
    <w:p w14:paraId="7956F580"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18152750"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2.21 Moral Norms</w:t>
      </w:r>
    </w:p>
    <w:p w14:paraId="7E91EC9E"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3F2F7152"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Recently, the TPB has been criticized for failing to account for moral considerations that may affect behaviour, such as moral norms (MN). MN is a necessary antecedent that may alter individuals' social conduct, according to the Norm-Activation Model (Schwartz, 1977). MN refers to a person's belief that a given behaviour is right or wrong and indicates a commitment to attribute values, seen as sentiments of individual obligation to do specified conduct (Harland et al., 1999). Research suggests that a person's moral principles significantly influence his or her intentions in situations where one's self-interest differs from that of others (Fornara et al., 2016; Kurland, 1995).</w:t>
      </w:r>
    </w:p>
    <w:p w14:paraId="1A1B1D73"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1D458345"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2.22 Environmental Concern</w:t>
      </w:r>
    </w:p>
    <w:p w14:paraId="0EC9B447"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p>
    <w:p w14:paraId="6B15C2D6"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Another variable that has been suggested to influence willingness to invest in SRI is EC. EC is a broad notion defined as an individual's attitude toward</w:t>
      </w:r>
      <w:r w:rsidR="00D13D1E">
        <w:rPr>
          <w:rFonts w:ascii="Times New Roman" w:eastAsia="Times New Roman" w:hAnsi="Times New Roman" w:cs="Times New Roman"/>
          <w:sz w:val="24"/>
          <w:szCs w:val="24"/>
        </w:rPr>
        <w:t xml:space="preserve">s environmental issues (Zimmer </w:t>
      </w:r>
      <w:r>
        <w:rPr>
          <w:rFonts w:ascii="Times New Roman" w:eastAsia="Times New Roman" w:hAnsi="Times New Roman" w:cs="Times New Roman"/>
          <w:sz w:val="24"/>
          <w:szCs w:val="24"/>
        </w:rPr>
        <w:t>et al., 1994) and has been found to be a powerful incentive for investment intent (D'Souza et al., 2007; Wee et al., 2014). Consumers who are concerned about environmental issues are more likely to invest in green technologies, according to Sang and Bekhet (2015). EC has a beneficial impact on the desire to invest for the benefit of the environment.</w:t>
      </w:r>
    </w:p>
    <w:p w14:paraId="3CE06AAD"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While the TPB places a greater emphasis on internal determinants, this study suggests that additional variables in the extended TPB, such as moral norms and EC, influence willingness to invest in SRI. Investigating whether Malaysian investors consider these factors while making investment decisions is important.</w:t>
      </w:r>
    </w:p>
    <w:p w14:paraId="08694E16"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4AE5504C"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2.3 Financial Literacy Model</w:t>
      </w:r>
    </w:p>
    <w:p w14:paraId="5A465730"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578BB5A3"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theory states that a well-informed and reasonable individual will consume less than their income during times of high wages and save to support consumption during times of low earnings (Jappelli, Tullio &amp; Mario; Padula, 2011; Lusardi &amp; Mitchell, 2013). This decision-making process is closely tied to financial literacy and knowledge. According to the Organization for Economic Cooperation and Development (OECD), financial knowledge is the process by which financial consumers/investors improve their understanding of financial products and concepts and develop the skills and confidence to become more aware of financial risks and opportunities, to make informed decisions, to know where to seek help, and to take other effective actions to impair financial risk and opportunity. On the other hand, financial literacy is defined as a family's ability to make informed financial decisions in the future (Cole &amp; Fernando, 2008). This definition is highly behavioural and is based on people's ability to utilize their knowledge and abilities to achieve financial well-being.</w:t>
      </w:r>
    </w:p>
    <w:p w14:paraId="25C408F4"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suggests that a lack of understanding of SRI benefits can lead to a loss of potential benefits for investors. Those who are financially literate are better able to increase and manage their earning potential in the face of unpredictability. A mix of financial aptitude and perceived knowledge identified in financial literature influences people's financial behaviour (Hung et al, 2009). Financial knowledge is a key to success in any market, and it is widely believed that financial education improves investors and helps to raise an individual's overall standard of living (Almendarez, 2013). Many developing countries have boosted their investments in education due to a growing belief in it as a catalyst for development, and many believe that extending financial knowledge and access enhances economic success (Almendarez, 2013).</w:t>
      </w:r>
    </w:p>
    <w:p w14:paraId="6C985134" w14:textId="77777777" w:rsidR="002A0259" w:rsidRDefault="002A0259">
      <w:pPr>
        <w:widowControl w:val="0"/>
        <w:spacing w:line="240" w:lineRule="auto"/>
        <w:jc w:val="both"/>
        <w:rPr>
          <w:rFonts w:ascii="Times New Roman" w:eastAsia="Times New Roman" w:hAnsi="Times New Roman" w:cs="Times New Roman"/>
          <w:sz w:val="24"/>
          <w:szCs w:val="24"/>
        </w:rPr>
      </w:pPr>
    </w:p>
    <w:p w14:paraId="2A702C8E"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0C317298" wp14:editId="6005F6D3">
            <wp:extent cx="5943600" cy="38227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5943600" cy="3822700"/>
                    </a:xfrm>
                    <a:prstGeom prst="rect">
                      <a:avLst/>
                    </a:prstGeom>
                    <a:ln/>
                  </pic:spPr>
                </pic:pic>
              </a:graphicData>
            </a:graphic>
          </wp:inline>
        </w:drawing>
      </w:r>
    </w:p>
    <w:p w14:paraId="2C6A1662" w14:textId="77777777" w:rsidR="002A0259" w:rsidRDefault="002A0259">
      <w:pPr>
        <w:widowControl w:val="0"/>
        <w:spacing w:line="240" w:lineRule="auto"/>
        <w:ind w:left="140"/>
        <w:jc w:val="both"/>
        <w:rPr>
          <w:rFonts w:ascii="Times New Roman" w:eastAsia="Times New Roman" w:hAnsi="Times New Roman" w:cs="Times New Roman"/>
          <w:sz w:val="24"/>
          <w:szCs w:val="24"/>
        </w:rPr>
      </w:pPr>
    </w:p>
    <w:p w14:paraId="7CE97C6C" w14:textId="77777777" w:rsidR="002A0259" w:rsidRDefault="00343186">
      <w:pPr>
        <w:widowControl w:val="0"/>
        <w:spacing w:before="123" w:line="240" w:lineRule="auto"/>
        <w:ind w:right="23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 1: Theoretical Framework </w:t>
      </w:r>
    </w:p>
    <w:p w14:paraId="24573EBC" w14:textId="77777777" w:rsidR="002A0259" w:rsidRDefault="002A0259">
      <w:pPr>
        <w:widowControl w:val="0"/>
        <w:spacing w:before="123" w:line="240" w:lineRule="auto"/>
        <w:ind w:right="2399"/>
        <w:jc w:val="both"/>
        <w:rPr>
          <w:rFonts w:ascii="Times New Roman" w:eastAsia="Times New Roman" w:hAnsi="Times New Roman" w:cs="Times New Roman"/>
          <w:sz w:val="24"/>
          <w:szCs w:val="24"/>
        </w:rPr>
      </w:pPr>
    </w:p>
    <w:p w14:paraId="420E83BE" w14:textId="77777777" w:rsidR="002A0259" w:rsidRDefault="002A0259">
      <w:pPr>
        <w:widowControl w:val="0"/>
        <w:spacing w:before="123" w:line="240" w:lineRule="auto"/>
        <w:ind w:right="2399"/>
        <w:jc w:val="both"/>
        <w:rPr>
          <w:rFonts w:ascii="Times New Roman" w:eastAsia="Times New Roman" w:hAnsi="Times New Roman" w:cs="Times New Roman"/>
          <w:sz w:val="24"/>
          <w:szCs w:val="24"/>
        </w:rPr>
      </w:pPr>
    </w:p>
    <w:p w14:paraId="41E0FADF" w14:textId="77777777" w:rsidR="002A0259" w:rsidRDefault="00343186">
      <w:pPr>
        <w:widowControl w:val="0"/>
        <w:spacing w:before="123" w:line="240" w:lineRule="auto"/>
        <w:ind w:right="239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2.4 The Influence of Perceived Performance (PP) on Intention towards SRI</w:t>
      </w:r>
    </w:p>
    <w:p w14:paraId="6F051799" w14:textId="77777777" w:rsidR="002A0259" w:rsidRDefault="002A0259">
      <w:pPr>
        <w:widowControl w:val="0"/>
        <w:spacing w:before="123" w:line="240" w:lineRule="auto"/>
        <w:ind w:right="2399"/>
        <w:jc w:val="both"/>
        <w:rPr>
          <w:rFonts w:ascii="Times New Roman" w:eastAsia="Times New Roman" w:hAnsi="Times New Roman" w:cs="Times New Roman"/>
          <w:b/>
          <w:sz w:val="24"/>
          <w:szCs w:val="24"/>
        </w:rPr>
      </w:pPr>
    </w:p>
    <w:p w14:paraId="31673993"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PP of SRI is a crucial factor in the decision-making process for investors. According to Venkatesh et al. (2012), PP refers to the subjective measure of how well an individual views SRIs in terms of whether they generate revenues or losses. Financial return and risk are essential elements in any investment decision, and as such, they significantly impact SRI investments (Nilsson, 2008). However, as stated by Owen and Qian (2008), ethical or SRI investors do not make investment decisions solely based on financial gains. Rosen et al. (1991) provided empirical evidence that socially conscious investors are willing to consider social and environmental factors alongside financial returns. According to Lewis and Mackenzie (2000), investors in SRI mutual funds have differing perspectives on financial returns.</w:t>
      </w:r>
    </w:p>
    <w:p w14:paraId="601892F1"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Furthermore, SRI and non-SRI investors may be attracted to increased financial returns (Lewis &amp; Mackenzie, 2000). As a result, the perceived financial performance of SRI becomes a key consideration in any investment decision. Therefore, this study proposes the following hypothesis:</w:t>
      </w:r>
    </w:p>
    <w:p w14:paraId="1804D1E4" w14:textId="75BDE5BA"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H1. Investors' intentions for SRI are strongly and positively influenced by Perceived Performance.</w:t>
      </w:r>
    </w:p>
    <w:p w14:paraId="0BF4E515"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4D051485"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2.5 The Influence of Attitude (ATT) on Intention towards SRI</w:t>
      </w:r>
    </w:p>
    <w:p w14:paraId="56F10D81"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789FE9DF"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defined by Ajzen (1991) in the TPB model, ATT refers to an individual's positive or negative feelings towards performing a certain activity. According to Wen et al. (2015), ATT is "the function of one's belief about the results of one's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and matching appraisal of the attractiveness of these events." Srirejeki et al. (2019) provide a similar definition, stating that ATT, also known as </w:t>
      </w:r>
      <w:r w:rsidR="00D13D1E">
        <w:rPr>
          <w:rFonts w:ascii="Times New Roman" w:eastAsia="Times New Roman" w:hAnsi="Times New Roman" w:cs="Times New Roman"/>
          <w:sz w:val="24"/>
          <w:szCs w:val="24"/>
        </w:rPr>
        <w:t>behavioural</w:t>
      </w:r>
      <w:r>
        <w:rPr>
          <w:rFonts w:ascii="Times New Roman" w:eastAsia="Times New Roman" w:hAnsi="Times New Roman" w:cs="Times New Roman"/>
          <w:sz w:val="24"/>
          <w:szCs w:val="24"/>
        </w:rPr>
        <w:t xml:space="preserve"> belief, is an individual's belief in and appraisal of the consequence of their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Intrinsic and extrinsic factors, such as career development, motivation, and financial rewards, influence ATT toward SRI intention, as noted by Jackling and Calero (2006). Therefore, the researchers will focus on ATT in their study as it is essential to assess the existence of </w:t>
      </w:r>
      <w:r w:rsidR="00D13D1E">
        <w:rPr>
          <w:rFonts w:ascii="Times New Roman" w:eastAsia="Times New Roman" w:hAnsi="Times New Roman" w:cs="Times New Roman"/>
          <w:sz w:val="24"/>
          <w:szCs w:val="24"/>
        </w:rPr>
        <w:t>behavioural</w:t>
      </w:r>
      <w:r>
        <w:rPr>
          <w:rFonts w:ascii="Times New Roman" w:eastAsia="Times New Roman" w:hAnsi="Times New Roman" w:cs="Times New Roman"/>
          <w:sz w:val="24"/>
          <w:szCs w:val="24"/>
        </w:rPr>
        <w:t xml:space="preserve"> beliefs and desirability toward the intention of investing in SRI. They propose the following hypothesis:</w:t>
      </w:r>
    </w:p>
    <w:p w14:paraId="675557DD" w14:textId="6D57CB58"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H2. Investors' intentions for SRI are strongly and positively influenced by their ATT.</w:t>
      </w:r>
    </w:p>
    <w:p w14:paraId="5018B464"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5ECD4AE0"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04BE5875" w14:textId="77777777" w:rsidR="002A0259" w:rsidRDefault="00343186">
      <w:pPr>
        <w:pStyle w:val="Heading1"/>
        <w:keepNext w:val="0"/>
        <w:keepLines w:val="0"/>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before="0" w:after="0" w:line="240" w:lineRule="auto"/>
        <w:jc w:val="both"/>
        <w:rPr>
          <w:rFonts w:ascii="Times New Roman" w:eastAsia="Times New Roman" w:hAnsi="Times New Roman" w:cs="Times New Roman"/>
          <w:b/>
          <w:sz w:val="24"/>
          <w:szCs w:val="24"/>
        </w:rPr>
      </w:pPr>
      <w:bookmarkStart w:id="11" w:name="_mn8bsj5p7ngj" w:colFirst="0" w:colLast="0"/>
      <w:bookmarkEnd w:id="11"/>
      <w:r>
        <w:rPr>
          <w:rFonts w:ascii="Times New Roman" w:eastAsia="Times New Roman" w:hAnsi="Times New Roman" w:cs="Times New Roman"/>
          <w:b/>
          <w:sz w:val="24"/>
          <w:szCs w:val="24"/>
        </w:rPr>
        <w:t>2.6 The Influence of Subjective Norms (SN) on Intention towards SRI</w:t>
      </w:r>
    </w:p>
    <w:p w14:paraId="5A8BD3A8" w14:textId="5C0600C1"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concept of SN is a significant factor in determining an individual's behaviour and intentions (Ajzen, 1991; Sheeran &amp; Taylor, 1999; Godin and Kok, 1996; Gopi and Ramayah, 2007; Alleyne and Broome, 2011). This has been demonstrated in studies of students' intentions to invest in unit trusts in Malaysia (Sharif, 2008) and individual investors' intents and behaviour toward SRI in Malaysia (Adam &amp; Shauki, 2014). The key belief underlying SN is normative views, which relate to whether or not significant individuals believe the respondents should or should not do something (Adam &amp; Shauki, 2014). In the context of SRI investments, investors' impressions of whether an investment in SRI funds is approved, promoted, or adopted by their circles of influence (e.g., friends, relatives, financial advisers) are reflected in their SN (Adam &amp; Shauki, 2014). Therefore, this research hypothesises that:</w:t>
      </w:r>
    </w:p>
    <w:p w14:paraId="4143B417"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H3. Investors' intentions toward SRI are strongly and positively influenced by SN.</w:t>
      </w:r>
    </w:p>
    <w:p w14:paraId="5D60AAF3"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608B08E3" w14:textId="77777777" w:rsidR="002A0259" w:rsidRDefault="00343186">
      <w:pPr>
        <w:pStyle w:val="Heading1"/>
        <w:keepNext w:val="0"/>
        <w:keepLines w:val="0"/>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before="0" w:after="0" w:line="240" w:lineRule="auto"/>
        <w:jc w:val="both"/>
        <w:rPr>
          <w:rFonts w:ascii="Times New Roman" w:eastAsia="Times New Roman" w:hAnsi="Times New Roman" w:cs="Times New Roman"/>
          <w:b/>
          <w:sz w:val="24"/>
          <w:szCs w:val="24"/>
        </w:rPr>
      </w:pPr>
      <w:bookmarkStart w:id="12" w:name="_1nhlvwxnvyhr" w:colFirst="0" w:colLast="0"/>
      <w:bookmarkEnd w:id="12"/>
      <w:r>
        <w:rPr>
          <w:rFonts w:ascii="Times New Roman" w:eastAsia="Times New Roman" w:hAnsi="Times New Roman" w:cs="Times New Roman"/>
          <w:b/>
          <w:sz w:val="24"/>
          <w:szCs w:val="24"/>
        </w:rPr>
        <w:t xml:space="preserve">2.7 The Influence of Perceived </w:t>
      </w:r>
      <w:r w:rsidR="00D13D1E">
        <w:rPr>
          <w:rFonts w:ascii="Times New Roman" w:eastAsia="Times New Roman" w:hAnsi="Times New Roman" w:cs="Times New Roman"/>
          <w:b/>
          <w:sz w:val="24"/>
          <w:szCs w:val="24"/>
        </w:rPr>
        <w:t>Behavioural</w:t>
      </w:r>
      <w:r>
        <w:rPr>
          <w:rFonts w:ascii="Times New Roman" w:eastAsia="Times New Roman" w:hAnsi="Times New Roman" w:cs="Times New Roman"/>
          <w:b/>
          <w:sz w:val="24"/>
          <w:szCs w:val="24"/>
        </w:rPr>
        <w:t xml:space="preserve"> Control (PBC) on Intention towards SRI</w:t>
      </w:r>
    </w:p>
    <w:p w14:paraId="50E0D9C9"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5D0FCE62"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Ajzen (1991) states that for a person to act on a certain subject, they must perceive a sense of control or agency over it, known as PBC. This sense of control is influenced by the availability of appropriate resources and opportunities, such as easy access and comprehension of SRI assets, as well as an individual's perception of the riskiness of these investments. According to Ajzen (1991), PBC is a measure of an individual's perceived ease or difficulty in performing a certain action. When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requires fewer control concerns, intentions alone are enough to predict it, according to Ajzen (1991). In the context of this study, PBC refers to investors' perceptions of the ease or difficulty of participating in SRI. PBC has two functions in the TPB (Ajzen, 1991; East, 1993). It not only serves as a co-determinant of intention, alongside ATT and SN but also as a co-determinant of behavio</w:t>
      </w:r>
      <w:r w:rsidR="00D13D1E">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r, alongside intention (Adam &amp; Shauki, 2014). However, a study by Hofmann et al. (2008) found PBC unimportant in explaining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among SRI investors, contradicting these ideas. This study proposes that both intention and PBC influence SRI investors'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providing additional insight into the determination of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The research hypotheses are:</w:t>
      </w:r>
    </w:p>
    <w:p w14:paraId="426D61B0"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H4. Investors' intentions toward SRI are strongly and positively influenced by PBC. </w:t>
      </w:r>
    </w:p>
    <w:p w14:paraId="79497FD7"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p>
    <w:p w14:paraId="13BA5252"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2.8 The Influence of Moral Norms (MN) on Intention towards SRI</w:t>
      </w:r>
    </w:p>
    <w:p w14:paraId="6DF4C6F6"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p>
    <w:p w14:paraId="6281CDE4"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MN refers to an individual's beliefs about the moral correctness or incorrectness of performing a certain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and their attitudes toward the obligation to perform or refrain from that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(Adam &amp; Shauki, 2014, p. 226). Many scholars have examined MN as a predictor of </w:t>
      </w:r>
      <w:r w:rsidR="00D13D1E">
        <w:rPr>
          <w:rFonts w:ascii="Times New Roman" w:eastAsia="Times New Roman" w:hAnsi="Times New Roman" w:cs="Times New Roman"/>
          <w:sz w:val="24"/>
          <w:szCs w:val="24"/>
        </w:rPr>
        <w:t>behavioural</w:t>
      </w:r>
      <w:r>
        <w:rPr>
          <w:rFonts w:ascii="Times New Roman" w:eastAsia="Times New Roman" w:hAnsi="Times New Roman" w:cs="Times New Roman"/>
          <w:sz w:val="24"/>
          <w:szCs w:val="24"/>
        </w:rPr>
        <w:t xml:space="preserve"> intentions (Kurland, 1995; Randall &amp; Gibson, 1991; Godin et al., 2005; Rivis et al., 2009). Manstead (2000) found that MN plays a significant role in understanding intention. Additionally, when an individual's self-interest and the interest of others conflict, MN becomes the most important predictor of a person's intention (Kaiser &amp; Scheuthle, 2003). Adam and Shauki (2014) considered MN one of the criteria for explaining SRI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among Malaysian investors and found that they are important in predicting SRI intentions. Jones (1991) found moral intensity to be the sole important factor in explaining investors' growing interest in SRI in a separate study. Being socially responsible often entails putting the needs of others before one's own; an individual's moral values play an important role in such decisions. Therefore, this study proposes the following hypothesis regarding the relationship between MN and investors' intentions toward SRI:</w:t>
      </w:r>
    </w:p>
    <w:p w14:paraId="28C48DDA"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H5. Investors' intentions toward SRI are strongly and positively influenced by MN.</w:t>
      </w:r>
    </w:p>
    <w:p w14:paraId="1782BEDD"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i/>
          <w:sz w:val="24"/>
          <w:szCs w:val="24"/>
        </w:rPr>
      </w:pPr>
    </w:p>
    <w:p w14:paraId="0DE0CF86"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2.9 The Influence of Environmental Concern (EC) on Intention towards SRI</w:t>
      </w:r>
    </w:p>
    <w:p w14:paraId="0485F3BE"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sz w:val="24"/>
          <w:szCs w:val="24"/>
        </w:rPr>
      </w:pPr>
    </w:p>
    <w:p w14:paraId="5310541B" w14:textId="2451EDE1"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decades, there has been a growing sense of urgency to protect the enviro</w:t>
      </w:r>
      <w:r w:rsidR="005E01A4">
        <w:rPr>
          <w:rFonts w:ascii="Times New Roman" w:eastAsia="Times New Roman" w:hAnsi="Times New Roman" w:cs="Times New Roman"/>
          <w:sz w:val="24"/>
          <w:szCs w:val="24"/>
        </w:rPr>
        <w:t>nment (Carson, 1962). A</w:t>
      </w:r>
      <w:r>
        <w:rPr>
          <w:rFonts w:ascii="Times New Roman" w:eastAsia="Times New Roman" w:hAnsi="Times New Roman" w:cs="Times New Roman"/>
          <w:sz w:val="24"/>
          <w:szCs w:val="24"/>
        </w:rPr>
        <w:t>s people worldwide become increasingly aware of environmental challenges and their consequences, this awareness has also been reflected in Malaysia. According to a survey c</w:t>
      </w:r>
      <w:r w:rsidR="005E01A4">
        <w:rPr>
          <w:rFonts w:ascii="Times New Roman" w:eastAsia="Times New Roman" w:hAnsi="Times New Roman" w:cs="Times New Roman"/>
          <w:sz w:val="24"/>
          <w:szCs w:val="24"/>
        </w:rPr>
        <w:t xml:space="preserve">onducted in 2016 on the </w:t>
      </w:r>
      <w:r>
        <w:rPr>
          <w:rFonts w:ascii="Times New Roman" w:eastAsia="Times New Roman" w:hAnsi="Times New Roman" w:cs="Times New Roman"/>
          <w:sz w:val="24"/>
          <w:szCs w:val="24"/>
        </w:rPr>
        <w:t>awareness of environmental issues</w:t>
      </w:r>
      <w:r w:rsidR="005E01A4">
        <w:rPr>
          <w:rFonts w:ascii="Times New Roman" w:eastAsia="Times New Roman" w:hAnsi="Times New Roman" w:cs="Times New Roman"/>
          <w:sz w:val="24"/>
          <w:szCs w:val="24"/>
        </w:rPr>
        <w:t xml:space="preserve"> among Malaysians</w:t>
      </w:r>
      <w:r>
        <w:rPr>
          <w:rFonts w:ascii="Times New Roman" w:eastAsia="Times New Roman" w:hAnsi="Times New Roman" w:cs="Times New Roman"/>
          <w:sz w:val="24"/>
          <w:szCs w:val="24"/>
        </w:rPr>
        <w:t xml:space="preserve">, individuals </w:t>
      </w:r>
      <w:r w:rsidR="005E01A4">
        <w:rPr>
          <w:rFonts w:ascii="Times New Roman" w:eastAsia="Times New Roman" w:hAnsi="Times New Roman" w:cs="Times New Roman"/>
          <w:sz w:val="24"/>
          <w:szCs w:val="24"/>
        </w:rPr>
        <w:t xml:space="preserve">were shown to </w:t>
      </w:r>
      <w:r>
        <w:rPr>
          <w:rFonts w:ascii="Times New Roman" w:eastAsia="Times New Roman" w:hAnsi="Times New Roman" w:cs="Times New Roman"/>
          <w:sz w:val="24"/>
          <w:szCs w:val="24"/>
        </w:rPr>
        <w:t xml:space="preserve">have a high awareness of water contamination and have the highest intention to </w:t>
      </w:r>
      <w:r w:rsidR="002C5EAF" w:rsidRPr="002C5EAF">
        <w:rPr>
          <w:rFonts w:ascii="Times New Roman" w:eastAsia="Times New Roman" w:hAnsi="Times New Roman" w:cs="Times New Roman"/>
          <w:sz w:val="24"/>
          <w:szCs w:val="24"/>
        </w:rPr>
        <w:t>taking steps to conserve resources, reduce waste, and minimize the negative impact of human activities on the natural environment</w:t>
      </w:r>
      <w:r>
        <w:rPr>
          <w:rFonts w:ascii="Times New Roman" w:eastAsia="Times New Roman" w:hAnsi="Times New Roman" w:cs="Times New Roman"/>
          <w:sz w:val="24"/>
          <w:szCs w:val="24"/>
        </w:rPr>
        <w:t xml:space="preserve">, </w:t>
      </w:r>
      <w:r w:rsidR="005E01A4">
        <w:rPr>
          <w:rFonts w:ascii="Times New Roman" w:eastAsia="Times New Roman" w:hAnsi="Times New Roman" w:cs="Times New Roman"/>
          <w:sz w:val="24"/>
          <w:szCs w:val="24"/>
        </w:rPr>
        <w:t>thus indicating that</w:t>
      </w:r>
      <w:r>
        <w:rPr>
          <w:rFonts w:ascii="Times New Roman" w:eastAsia="Times New Roman" w:hAnsi="Times New Roman" w:cs="Times New Roman"/>
          <w:sz w:val="24"/>
          <w:szCs w:val="24"/>
        </w:rPr>
        <w:t xml:space="preserve"> consumers have increased their environmental consciousness (Mei et al., 2016). As a result, individuals' growing EC has become a significant element in determining purchase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(Kashyap &amp; Iyer, 2009) and investment decisions (Boulatoff &amp; Boyer, 2009; Vyvyan et al., 2007). Research suggests that EC has a moderating effect on </w:t>
      </w:r>
      <w:r w:rsidR="00D13D1E">
        <w:rPr>
          <w:rFonts w:ascii="Times New Roman" w:eastAsia="Times New Roman" w:hAnsi="Times New Roman" w:cs="Times New Roman"/>
          <w:sz w:val="24"/>
          <w:szCs w:val="24"/>
        </w:rPr>
        <w:t>behavioural</w:t>
      </w:r>
      <w:r>
        <w:rPr>
          <w:rFonts w:ascii="Times New Roman" w:eastAsia="Times New Roman" w:hAnsi="Times New Roman" w:cs="Times New Roman"/>
          <w:sz w:val="24"/>
          <w:szCs w:val="24"/>
        </w:rPr>
        <w:t xml:space="preserve"> intention towards SRI (Ming et al., 2015). However, some studies suggest that EC has no bearing on </w:t>
      </w:r>
      <w:r w:rsidR="00D13D1E">
        <w:rPr>
          <w:rFonts w:ascii="Times New Roman" w:eastAsia="Times New Roman" w:hAnsi="Times New Roman" w:cs="Times New Roman"/>
          <w:sz w:val="24"/>
          <w:szCs w:val="24"/>
        </w:rPr>
        <w:t>behavioural</w:t>
      </w:r>
      <w:r>
        <w:rPr>
          <w:rFonts w:ascii="Times New Roman" w:eastAsia="Times New Roman" w:hAnsi="Times New Roman" w:cs="Times New Roman"/>
          <w:sz w:val="24"/>
          <w:szCs w:val="24"/>
        </w:rPr>
        <w:t xml:space="preserve"> intentions (Fujii, 2006). While profit has always been crucial in stock market investing, a long-term return is even more important, which may only be attainable by boosting the trading of socially responsible assets. Given the growing global focus on the influence of environmental issues on investment decisions, it is crucial to determine whether Malaysian investors take environmental factors into account when making investment decisions. In order to generalize these findings, this study proposes the following hypotheses:</w:t>
      </w:r>
    </w:p>
    <w:p w14:paraId="34775F4F"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H6. Investors' intentions for SRI are strongly and positively influenced by EC</w:t>
      </w:r>
    </w:p>
    <w:p w14:paraId="629028D2" w14:textId="77777777" w:rsidR="002A0259" w:rsidRDefault="002A0259">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b/>
          <w:i/>
          <w:sz w:val="24"/>
          <w:szCs w:val="24"/>
        </w:rPr>
      </w:pPr>
    </w:p>
    <w:p w14:paraId="1FB31AEC" w14:textId="77777777" w:rsidR="00B42DD8" w:rsidRDefault="00B42DD8">
      <w:pPr>
        <w:pStyle w:val="Heading1"/>
        <w:keepNext w:val="0"/>
        <w:keepLines w:val="0"/>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before="0" w:after="0" w:line="240" w:lineRule="auto"/>
        <w:jc w:val="both"/>
        <w:rPr>
          <w:rFonts w:ascii="Times New Roman" w:eastAsia="Times New Roman" w:hAnsi="Times New Roman" w:cs="Times New Roman"/>
          <w:b/>
          <w:sz w:val="24"/>
          <w:szCs w:val="24"/>
        </w:rPr>
      </w:pPr>
      <w:bookmarkStart w:id="13" w:name="_bnst28s42eaq" w:colFirst="0" w:colLast="0"/>
      <w:bookmarkEnd w:id="13"/>
    </w:p>
    <w:p w14:paraId="4F7AF94C" w14:textId="7073A5F8" w:rsidR="002A0259" w:rsidRDefault="00343186">
      <w:pPr>
        <w:pStyle w:val="Heading1"/>
        <w:keepNext w:val="0"/>
        <w:keepLines w:val="0"/>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before="0"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2.10 The Influence of Financial Knowledge (FK) on Intention towards SRI</w:t>
      </w:r>
    </w:p>
    <w:p w14:paraId="3BBABFDC" w14:textId="77777777" w:rsidR="002A0259" w:rsidRDefault="002A0259">
      <w:pPr>
        <w:rPr>
          <w:rFonts w:ascii="Times New Roman" w:eastAsia="Times New Roman" w:hAnsi="Times New Roman" w:cs="Times New Roman"/>
          <w:sz w:val="24"/>
          <w:szCs w:val="24"/>
        </w:rPr>
      </w:pPr>
    </w:p>
    <w:p w14:paraId="065F404E" w14:textId="77777777" w:rsidR="002A0259" w:rsidRDefault="00343186">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FK refers to the understanding and skills necessary to make informed financial decisions (Mandell, 2006). According to the Model of Financial Literacy, FK and awareness are crucial for making educated and sensible investment decisions. Individuals who possess financial prudence have a </w:t>
      </w:r>
      <w:r>
        <w:rPr>
          <w:rFonts w:ascii="Times New Roman" w:eastAsia="Times New Roman" w:hAnsi="Times New Roman" w:cs="Times New Roman"/>
          <w:sz w:val="24"/>
          <w:szCs w:val="24"/>
        </w:rPr>
        <w:lastRenderedPageBreak/>
        <w:t>better understanding of money and the ability to make sound financial decisions (Hogarth &amp; Hilgert, 2002). On the other hand, individuals with a limited understanding of basic financial concepts are less likely to invest in securities (Bucher-Koenen &amp; Ziegelmeyer, 2011). Studies have also shown that FK plays a significant role in understanding an individual's intention to invest in equities, particularly for SRI (Sivaramakrishnan et al., 2017).</w:t>
      </w:r>
    </w:p>
    <w:p w14:paraId="2A077F2E" w14:textId="77777777" w:rsidR="00B42DD8" w:rsidRDefault="00343186" w:rsidP="00B42DD8">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Individuals with low levels of financial experts tend to view stocks as a difficult asset and avoid investing in them, according to Van Rooij et al. (2011). Furthermore, those with limited FK may find it challenging to incorporate their non-financial preferences into their financial decisions (Borgers &amp; Pownall, 2014). SRI, a combination of financial and non-financial reasons, is believed to necessitate a high level of financial understanding. Thus, it is essential to understand the link between FK and investors' commitment to SRI in Malaysia:</w:t>
      </w:r>
    </w:p>
    <w:p w14:paraId="2361A425" w14:textId="79A42AB6" w:rsidR="002A0259" w:rsidRPr="00B42DD8" w:rsidRDefault="00343186" w:rsidP="00B42DD8">
      <w:pPr>
        <w:widowControl w:val="0"/>
        <w:pBdr>
          <w:top w:val="none" w:sz="0" w:space="0" w:color="D9D9E3"/>
          <w:left w:val="none" w:sz="0" w:space="0" w:color="D9D9E3"/>
          <w:bottom w:val="none" w:sz="0" w:space="0" w:color="D9D9E3"/>
          <w:right w:val="none" w:sz="0" w:space="0" w:color="D9D9E3"/>
          <w:between w:val="none" w:sz="0" w:space="0" w:color="D9D9E3"/>
        </w:pBdr>
        <w:shd w:val="clear" w:color="auto" w:fill="F7F7F8"/>
        <w:spacing w:line="240" w:lineRule="auto"/>
        <w:jc w:val="both"/>
        <w:rPr>
          <w:rFonts w:ascii="Times New Roman" w:eastAsia="Times New Roman" w:hAnsi="Times New Roman" w:cs="Times New Roman"/>
          <w:sz w:val="24"/>
          <w:szCs w:val="24"/>
        </w:rPr>
        <w:sectPr w:rsidR="002A0259" w:rsidRPr="00B42DD8">
          <w:headerReference w:type="default" r:id="rId7"/>
          <w:footerReference w:type="default" r:id="rId8"/>
          <w:pgSz w:w="12240" w:h="15840"/>
          <w:pgMar w:top="1440" w:right="1440" w:bottom="1440" w:left="1440" w:header="720" w:footer="720" w:gutter="0"/>
          <w:pgNumType w:start="1"/>
          <w:cols w:space="720"/>
        </w:sectPr>
      </w:pPr>
      <w:r>
        <w:rPr>
          <w:rFonts w:ascii="Times New Roman" w:eastAsia="Times New Roman" w:hAnsi="Times New Roman" w:cs="Times New Roman"/>
          <w:b/>
          <w:i/>
          <w:sz w:val="24"/>
          <w:szCs w:val="24"/>
        </w:rPr>
        <w:t>H7. Investors' intentions for SRI are strongly and positively influenced by FK.</w:t>
      </w:r>
    </w:p>
    <w:p w14:paraId="60EA65B8" w14:textId="77777777" w:rsidR="002A0259" w:rsidRDefault="002A0259">
      <w:pPr>
        <w:widowControl w:val="0"/>
        <w:spacing w:line="240" w:lineRule="auto"/>
        <w:jc w:val="both"/>
        <w:rPr>
          <w:rFonts w:ascii="Times New Roman" w:eastAsia="Times New Roman" w:hAnsi="Times New Roman" w:cs="Times New Roman"/>
          <w:b/>
          <w:i/>
          <w:sz w:val="24"/>
          <w:szCs w:val="24"/>
        </w:rPr>
      </w:pPr>
    </w:p>
    <w:p w14:paraId="39334AE6" w14:textId="77777777" w:rsidR="00B42DD8" w:rsidRDefault="00343186">
      <w:pPr>
        <w:spacing w:before="240"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3.0 METHODOLOGY</w:t>
      </w:r>
    </w:p>
    <w:p w14:paraId="7DCB16F1" w14:textId="618151FD" w:rsidR="002A0259" w:rsidRDefault="00343186">
      <w:pPr>
        <w:spacing w:before="240"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Data collection and sampling procedures</w:t>
      </w:r>
    </w:p>
    <w:p w14:paraId="6CD97CED" w14:textId="3DC63FA4" w:rsidR="00B42DD8"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study examined the impact of intention and financial perception on SRI behaviour using original data acquired directly from individuals. The data was collected through an online survey using Google Forms since it was an efficient, cost-effective, and easy technique with a high response rate. A simple random sampling technique was employed to select samples from the dataset. Approximately 450 questionnaires were distributed </w:t>
      </w:r>
      <w:r w:rsidR="0008355B">
        <w:rPr>
          <w:rFonts w:ascii="Times New Roman" w:eastAsia="Times New Roman" w:hAnsi="Times New Roman" w:cs="Times New Roman"/>
          <w:sz w:val="24"/>
          <w:szCs w:val="24"/>
        </w:rPr>
        <w:t xml:space="preserve">using </w:t>
      </w:r>
      <w:r>
        <w:rPr>
          <w:rFonts w:ascii="Times New Roman" w:eastAsia="Times New Roman" w:hAnsi="Times New Roman" w:cs="Times New Roman"/>
          <w:sz w:val="24"/>
          <w:szCs w:val="24"/>
        </w:rPr>
        <w:t xml:space="preserve">Google forms via </w:t>
      </w:r>
      <w:r w:rsidR="0008355B">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Youth Investors</w:t>
      </w:r>
      <w:r w:rsidR="0008355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Club and</w:t>
      </w:r>
      <w:r w:rsidR="0008355B">
        <w:rPr>
          <w:rFonts w:ascii="Times New Roman" w:eastAsia="Times New Roman" w:hAnsi="Times New Roman" w:cs="Times New Roman"/>
          <w:sz w:val="24"/>
          <w:szCs w:val="24"/>
        </w:rPr>
        <w:t xml:space="preserve"> the</w:t>
      </w:r>
      <w:r>
        <w:rPr>
          <w:rFonts w:ascii="Times New Roman" w:eastAsia="Times New Roman" w:hAnsi="Times New Roman" w:cs="Times New Roman"/>
          <w:sz w:val="24"/>
          <w:szCs w:val="24"/>
        </w:rPr>
        <w:t xml:space="preserve"> Research </w:t>
      </w:r>
      <w:r w:rsidR="00D13D1E">
        <w:rPr>
          <w:rFonts w:ascii="Times New Roman" w:eastAsia="Times New Roman" w:hAnsi="Times New Roman" w:cs="Times New Roman"/>
          <w:sz w:val="24"/>
          <w:szCs w:val="24"/>
        </w:rPr>
        <w:t>Centre</w:t>
      </w:r>
      <w:r>
        <w:rPr>
          <w:rFonts w:ascii="Times New Roman" w:eastAsia="Times New Roman" w:hAnsi="Times New Roman" w:cs="Times New Roman"/>
          <w:sz w:val="24"/>
          <w:szCs w:val="24"/>
        </w:rPr>
        <w:t xml:space="preserve"> at a university in the Klang Valley</w:t>
      </w:r>
      <w:r w:rsidR="0008355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well as Yahoo Finance, International Monetary Fund, World Bank, Investor Clubs (Facebook), and other financial institution</w:t>
      </w:r>
      <w:r w:rsidR="0008355B">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investor portals. Moreover, 202 responses were collected, with a response rate of 44.88%, which is generally considered excellent according to Willott (2019), as the average response rate is between 5% and 30%. </w:t>
      </w:r>
    </w:p>
    <w:p w14:paraId="798443D3" w14:textId="77777777" w:rsidR="00B42DD8" w:rsidRDefault="00B42DD8">
      <w:pPr>
        <w:spacing w:line="240" w:lineRule="auto"/>
        <w:jc w:val="both"/>
        <w:rPr>
          <w:rFonts w:ascii="Times New Roman" w:eastAsia="Times New Roman" w:hAnsi="Times New Roman" w:cs="Times New Roman"/>
          <w:sz w:val="24"/>
          <w:szCs w:val="24"/>
        </w:rPr>
      </w:pPr>
    </w:p>
    <w:p w14:paraId="1DD2DF1E" w14:textId="7F41EF76" w:rsidR="00B42DD8"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Respondents Profile:</w:t>
      </w:r>
    </w:p>
    <w:p w14:paraId="1F8C8645" w14:textId="77777777" w:rsidR="00B42DD8" w:rsidRDefault="00B42DD8">
      <w:pPr>
        <w:spacing w:line="240" w:lineRule="auto"/>
        <w:jc w:val="both"/>
        <w:rPr>
          <w:rFonts w:ascii="Times New Roman" w:eastAsia="Times New Roman" w:hAnsi="Times New Roman" w:cs="Times New Roman"/>
          <w:b/>
          <w:sz w:val="24"/>
          <w:szCs w:val="24"/>
        </w:rPr>
      </w:pPr>
    </w:p>
    <w:p w14:paraId="2C6C986C" w14:textId="7CA6D34F"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Survey respondents' gender, age, nationality, years of investment experience, greatest level of education, and income. With respect to gender, two-thirds (66%) of our respondents were male, whereas one-third (34%) were female, where the majority of answers were between the ages of 21 and 25 years old and 26 to 29 years old (both 37%), followed by the least being 21 and below (7%). Predominantly, the respondents were 84% Malaysian. In terms of experience, 37% of responders had 4 - 6 years of experience, with only 15% having less than 1 year. Additionally, respondents with 10 years or more of investing were 4%, while the masses having 4-6 years of investing with 37%. Table 4.6 shows respondents' highest education levels, 48% have a bachelor's or associate degree, and other qualifications have the lowest representation of 1%. Last but not least, the respondents earned RM5001–RM7000 and RM2500–RM5000, both 24%, and the minority, 4% of respondents, earned more than RM15000.</w:t>
      </w:r>
    </w:p>
    <w:p w14:paraId="27058878" w14:textId="1A51265C" w:rsidR="00B42DD8" w:rsidRDefault="00B42DD8">
      <w:pPr>
        <w:spacing w:line="240" w:lineRule="auto"/>
        <w:jc w:val="both"/>
        <w:rPr>
          <w:rFonts w:ascii="Times New Roman" w:eastAsia="Times New Roman" w:hAnsi="Times New Roman" w:cs="Times New Roman"/>
          <w:sz w:val="24"/>
          <w:szCs w:val="24"/>
        </w:rPr>
      </w:pPr>
    </w:p>
    <w:p w14:paraId="363944D4" w14:textId="4E1255B4" w:rsidR="00B42DD8" w:rsidRDefault="00B42DD8">
      <w:pPr>
        <w:spacing w:line="240" w:lineRule="auto"/>
        <w:jc w:val="both"/>
        <w:rPr>
          <w:rFonts w:ascii="Times New Roman" w:eastAsia="Times New Roman" w:hAnsi="Times New Roman" w:cs="Times New Roman"/>
          <w:sz w:val="24"/>
          <w:szCs w:val="24"/>
        </w:rPr>
      </w:pPr>
    </w:p>
    <w:p w14:paraId="306EA851" w14:textId="203C01AC" w:rsidR="00B42DD8" w:rsidRDefault="00B42DD8">
      <w:pPr>
        <w:spacing w:line="240" w:lineRule="auto"/>
        <w:jc w:val="both"/>
        <w:rPr>
          <w:rFonts w:ascii="Times New Roman" w:eastAsia="Times New Roman" w:hAnsi="Times New Roman" w:cs="Times New Roman"/>
          <w:sz w:val="24"/>
          <w:szCs w:val="24"/>
        </w:rPr>
      </w:pPr>
    </w:p>
    <w:p w14:paraId="3918D995" w14:textId="09600884" w:rsidR="00B42DD8" w:rsidRDefault="00B42DD8">
      <w:pPr>
        <w:spacing w:line="240" w:lineRule="auto"/>
        <w:jc w:val="both"/>
        <w:rPr>
          <w:rFonts w:ascii="Times New Roman" w:eastAsia="Times New Roman" w:hAnsi="Times New Roman" w:cs="Times New Roman"/>
          <w:sz w:val="24"/>
          <w:szCs w:val="24"/>
        </w:rPr>
      </w:pPr>
    </w:p>
    <w:p w14:paraId="44336C32" w14:textId="77777777" w:rsidR="00B42DD8" w:rsidRDefault="00B42DD8">
      <w:pPr>
        <w:spacing w:line="240" w:lineRule="auto"/>
        <w:jc w:val="both"/>
        <w:rPr>
          <w:rFonts w:ascii="Times New Roman" w:eastAsia="Times New Roman" w:hAnsi="Times New Roman" w:cs="Times New Roman"/>
          <w:sz w:val="24"/>
          <w:szCs w:val="24"/>
        </w:rPr>
      </w:pPr>
    </w:p>
    <w:p w14:paraId="5690CE9A" w14:textId="023165B6" w:rsidR="002A0259" w:rsidRDefault="00394544">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Table 1</w:t>
      </w:r>
      <w:r w:rsidR="00343186">
        <w:rPr>
          <w:rFonts w:ascii="Times New Roman" w:eastAsia="Times New Roman" w:hAnsi="Times New Roman" w:cs="Times New Roman"/>
          <w:sz w:val="24"/>
          <w:szCs w:val="24"/>
        </w:rPr>
        <w:t>: Measurement Scales for Respondents’ Basic Profiling</w:t>
      </w:r>
    </w:p>
    <w:p w14:paraId="0C52CDD4" w14:textId="77777777" w:rsidR="002A0259" w:rsidRDefault="002A0259">
      <w:pPr>
        <w:spacing w:line="240" w:lineRule="auto"/>
        <w:jc w:val="both"/>
        <w:rPr>
          <w:rFonts w:ascii="Times New Roman" w:eastAsia="Times New Roman" w:hAnsi="Times New Roman" w:cs="Times New Roman"/>
          <w:b/>
          <w:sz w:val="24"/>
          <w:szCs w:val="24"/>
        </w:rPr>
      </w:pPr>
    </w:p>
    <w:tbl>
      <w:tblPr>
        <w:tblStyle w:val="a"/>
        <w:tblW w:w="8983" w:type="dxa"/>
        <w:tblBorders>
          <w:top w:val="nil"/>
          <w:left w:val="nil"/>
          <w:bottom w:val="nil"/>
          <w:right w:val="nil"/>
          <w:insideH w:val="nil"/>
          <w:insideV w:val="nil"/>
        </w:tblBorders>
        <w:tblLayout w:type="fixed"/>
        <w:tblLook w:val="0600" w:firstRow="0" w:lastRow="0" w:firstColumn="0" w:lastColumn="0" w:noHBand="1" w:noVBand="1"/>
      </w:tblPr>
      <w:tblGrid>
        <w:gridCol w:w="4933"/>
        <w:gridCol w:w="1979"/>
        <w:gridCol w:w="2071"/>
      </w:tblGrid>
      <w:tr w:rsidR="002A0259" w14:paraId="2A7CC03E" w14:textId="77777777" w:rsidTr="004A6112">
        <w:trPr>
          <w:trHeight w:val="314"/>
        </w:trPr>
        <w:tc>
          <w:tcPr>
            <w:tcW w:w="49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AEF65C" w14:textId="77777777" w:rsidR="002A0259" w:rsidRDefault="00343186" w:rsidP="00D40403">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97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2E180A"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Frequency</w:t>
            </w:r>
          </w:p>
        </w:tc>
        <w:tc>
          <w:tcPr>
            <w:tcW w:w="207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15D11B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Percentage</w:t>
            </w:r>
          </w:p>
        </w:tc>
      </w:tr>
      <w:tr w:rsidR="002A0259" w14:paraId="2BCAC6E5" w14:textId="77777777" w:rsidTr="004A6112">
        <w:trPr>
          <w:trHeight w:val="316"/>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E7D78E" w14:textId="77777777" w:rsidR="002A0259" w:rsidRDefault="00343186" w:rsidP="00D40403">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Gender</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6F450B9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46D9C797"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A0259" w14:paraId="1FB7C8ED" w14:textId="77777777" w:rsidTr="004A6112">
        <w:trPr>
          <w:trHeight w:val="27"/>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D3D0D45"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Male</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4A32CDE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1A112B53"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r>
      <w:tr w:rsidR="002A0259" w14:paraId="5E0FA622" w14:textId="77777777" w:rsidTr="004A6112">
        <w:trPr>
          <w:trHeight w:val="22"/>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A3E14B"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Female</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7206F919"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108F21C8"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r>
      <w:tr w:rsidR="002A0259" w14:paraId="14486AB3" w14:textId="77777777" w:rsidTr="004A6112">
        <w:trPr>
          <w:trHeight w:val="147"/>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655433" w14:textId="77777777" w:rsidR="002A0259" w:rsidRDefault="00343186" w:rsidP="00D40403">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Age</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5F5BE6F1"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63B79127"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A0259" w14:paraId="68E6EAE4"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320D39"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Below 21 Years Old</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50322663"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2EF78646"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2A0259" w14:paraId="5E091D03"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CE274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to 25 to Years</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68C50789"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69BEF6A6"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r>
      <w:tr w:rsidR="002A0259" w14:paraId="4C6E96E4"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AAECB6"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 to 29 Years</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1E47B5D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4016F981"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r>
      <w:tr w:rsidR="002A0259" w14:paraId="4D95848D"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9F782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 years old and above</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05D23DE7"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6D9D7B71"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r>
      <w:tr w:rsidR="002A0259" w14:paraId="494BD8F1"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0B01A4" w14:textId="77777777" w:rsidR="002A0259" w:rsidRDefault="00343186" w:rsidP="00D40403">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Nationality</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4D4AEA69"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4E0FA578"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A0259" w14:paraId="4697C489"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CE620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Malaysian</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71947804"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147</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67CD35D9"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r>
      <w:tr w:rsidR="002A0259" w14:paraId="6BF9C7AA"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5B9B87"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Non-Malaysian</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206A6921"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2D4FDDB9"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r w:rsidR="002A0259" w14:paraId="4801C7E9"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6DAD35" w14:textId="77777777" w:rsidR="002A0259" w:rsidRDefault="00343186" w:rsidP="00D40403">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Years of Experience</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529AAC2F"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12CC706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A0259" w14:paraId="2F799F46"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5F05F9"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Less than 1 year</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6374CA24"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127BB91F"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r w:rsidR="002A0259" w14:paraId="27BCED58"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7DFFF11"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 3 Years</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174929B0"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6CD0F7B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r>
      <w:tr w:rsidR="002A0259" w14:paraId="4AFFBD2F"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EA212A"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 6 Years</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5206F3B7"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6FC09ACE"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r>
      <w:tr w:rsidR="002A0259" w14:paraId="08A2AD7D" w14:textId="77777777" w:rsidTr="00514843">
        <w:trPr>
          <w:trHeight w:val="323"/>
        </w:trPr>
        <w:tc>
          <w:tcPr>
            <w:tcW w:w="4933"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500980BA"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 9 Years</w:t>
            </w:r>
          </w:p>
        </w:tc>
        <w:tc>
          <w:tcPr>
            <w:tcW w:w="1979" w:type="dxa"/>
            <w:tcBorders>
              <w:top w:val="nil"/>
              <w:left w:val="nil"/>
              <w:bottom w:val="single" w:sz="4" w:space="0" w:color="auto"/>
              <w:right w:val="single" w:sz="8" w:space="0" w:color="000000"/>
            </w:tcBorders>
            <w:tcMar>
              <w:top w:w="100" w:type="dxa"/>
              <w:left w:w="100" w:type="dxa"/>
              <w:bottom w:w="100" w:type="dxa"/>
              <w:right w:w="100" w:type="dxa"/>
            </w:tcMar>
          </w:tcPr>
          <w:p w14:paraId="179C327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071" w:type="dxa"/>
            <w:tcBorders>
              <w:top w:val="nil"/>
              <w:left w:val="nil"/>
              <w:bottom w:val="single" w:sz="4" w:space="0" w:color="auto"/>
              <w:right w:val="single" w:sz="8" w:space="0" w:color="000000"/>
            </w:tcBorders>
            <w:tcMar>
              <w:top w:w="100" w:type="dxa"/>
              <w:left w:w="100" w:type="dxa"/>
              <w:bottom w:w="100" w:type="dxa"/>
              <w:right w:w="100" w:type="dxa"/>
            </w:tcMar>
          </w:tcPr>
          <w:p w14:paraId="5E47EED8"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2A0259" w14:paraId="31BD2523" w14:textId="77777777" w:rsidTr="00514843">
        <w:trPr>
          <w:trHeight w:val="22"/>
        </w:trPr>
        <w:tc>
          <w:tcPr>
            <w:tcW w:w="4933"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63E63FCB"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 Years or more</w:t>
            </w:r>
          </w:p>
        </w:tc>
        <w:tc>
          <w:tcPr>
            <w:tcW w:w="1979"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132A2F1B"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071"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45DE8E9"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2A0259" w14:paraId="3DE62C55"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46782C" w14:textId="77777777" w:rsidR="002A0259" w:rsidRDefault="00343186" w:rsidP="00D40403">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Highest Level of Education</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6A7CFC4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57E66CBB"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A0259" w14:paraId="62F791E4"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23F9005"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High School</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1B84F32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5671B347"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2A0259" w14:paraId="2D39AD45"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A4D5A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Foundation/Certificate</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24A480B8"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55EAD6A7"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2A0259" w14:paraId="162AC087"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8B8F96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Bachelor/ Associate Degree</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0B457769"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03029C17"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r>
      <w:tr w:rsidR="002A0259" w14:paraId="5425024A"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128A7EE"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Master’s Degree</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0FBF1860"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3116D638"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r>
      <w:tr w:rsidR="002A0259" w14:paraId="1E6E75B3"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D5AE35"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Doctorate/</w:t>
            </w:r>
            <w:r w:rsidR="00D13D1E">
              <w:rPr>
                <w:rFonts w:ascii="Times New Roman" w:eastAsia="Times New Roman" w:hAnsi="Times New Roman" w:cs="Times New Roman"/>
                <w:sz w:val="24"/>
                <w:szCs w:val="24"/>
              </w:rPr>
              <w:t>PhD</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6288F6D3"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3B71F91C"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2A0259" w14:paraId="6F74CE6D"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A6154B"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Others</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148B99BE"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4A95CA0A"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A0259" w14:paraId="14ED2D9A"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2021E8" w14:textId="77777777" w:rsidR="002A0259" w:rsidRDefault="00343186" w:rsidP="00D40403">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Income Level</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3EC1BA4A"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29149036"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A0259" w14:paraId="2FFDE16F"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9FB397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Less than RM 2500</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65D7B5B6"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1F62E528"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2A0259" w14:paraId="7AFEC694"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BE381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RM2500 - RM5000</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517B93B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0CDFA662"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2A0259" w14:paraId="6C99C8D1"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B1518D3"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RM5001 - RM7000</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13661046"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4D8B1B0E"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2A0259" w14:paraId="515C35EA"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B9E6DF"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RM7001 - RM9000</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10DAD70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3678BFA0"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r>
      <w:tr w:rsidR="002A0259" w14:paraId="4C4EC82F"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8D3536"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RM9001 - RM11000</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193F4557"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2B53E396"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2A0259" w14:paraId="17342C99" w14:textId="77777777" w:rsidTr="00D40403">
        <w:trPr>
          <w:trHeight w:val="323"/>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6292FD"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RM11001 - RM15000</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31AD9435"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6B1B73BE"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2A0259" w14:paraId="66C3F993" w14:textId="77777777" w:rsidTr="00D40403">
        <w:trPr>
          <w:trHeight w:val="158"/>
        </w:trPr>
        <w:tc>
          <w:tcPr>
            <w:tcW w:w="493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FA4B3"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More than RM15000</w:t>
            </w:r>
          </w:p>
        </w:tc>
        <w:tc>
          <w:tcPr>
            <w:tcW w:w="1979" w:type="dxa"/>
            <w:tcBorders>
              <w:top w:val="nil"/>
              <w:left w:val="nil"/>
              <w:bottom w:val="single" w:sz="8" w:space="0" w:color="000000"/>
              <w:right w:val="single" w:sz="8" w:space="0" w:color="000000"/>
            </w:tcBorders>
            <w:tcMar>
              <w:top w:w="100" w:type="dxa"/>
              <w:left w:w="100" w:type="dxa"/>
              <w:bottom w:w="100" w:type="dxa"/>
              <w:right w:w="100" w:type="dxa"/>
            </w:tcMar>
          </w:tcPr>
          <w:p w14:paraId="527E4CEE"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071" w:type="dxa"/>
            <w:tcBorders>
              <w:top w:val="nil"/>
              <w:left w:val="nil"/>
              <w:bottom w:val="single" w:sz="8" w:space="0" w:color="000000"/>
              <w:right w:val="single" w:sz="8" w:space="0" w:color="000000"/>
            </w:tcBorders>
            <w:tcMar>
              <w:top w:w="100" w:type="dxa"/>
              <w:left w:w="100" w:type="dxa"/>
              <w:bottom w:w="100" w:type="dxa"/>
              <w:right w:w="100" w:type="dxa"/>
            </w:tcMar>
          </w:tcPr>
          <w:p w14:paraId="525A217F" w14:textId="77777777" w:rsidR="002A0259" w:rsidRDefault="00343186" w:rsidP="00D40403">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bl>
    <w:p w14:paraId="074A6096" w14:textId="77777777" w:rsidR="002A0259" w:rsidRDefault="002A0259" w:rsidP="00D40403">
      <w:pPr>
        <w:spacing w:line="240" w:lineRule="auto"/>
        <w:jc w:val="both"/>
        <w:rPr>
          <w:rFonts w:ascii="Times New Roman" w:eastAsia="Times New Roman" w:hAnsi="Times New Roman" w:cs="Times New Roman"/>
          <w:sz w:val="24"/>
          <w:szCs w:val="24"/>
        </w:rPr>
      </w:pPr>
    </w:p>
    <w:p w14:paraId="4B680859" w14:textId="3F665594" w:rsidR="002A0259" w:rsidRDefault="002A0259" w:rsidP="00D40403">
      <w:pPr>
        <w:spacing w:before="240" w:after="240" w:line="240" w:lineRule="auto"/>
        <w:jc w:val="both"/>
        <w:rPr>
          <w:rFonts w:ascii="Times New Roman" w:eastAsia="Times New Roman" w:hAnsi="Times New Roman" w:cs="Times New Roman"/>
          <w:b/>
          <w:sz w:val="24"/>
          <w:szCs w:val="24"/>
        </w:rPr>
      </w:pPr>
    </w:p>
    <w:p w14:paraId="53EDD3EC" w14:textId="77777777" w:rsidR="00D40403" w:rsidRDefault="00D40403">
      <w:pPr>
        <w:spacing w:before="240" w:after="240" w:line="240" w:lineRule="auto"/>
        <w:jc w:val="both"/>
        <w:rPr>
          <w:rFonts w:ascii="Times New Roman" w:eastAsia="Times New Roman" w:hAnsi="Times New Roman" w:cs="Times New Roman"/>
          <w:b/>
          <w:sz w:val="24"/>
          <w:szCs w:val="24"/>
        </w:rPr>
      </w:pPr>
    </w:p>
    <w:p w14:paraId="71151E76" w14:textId="77777777" w:rsidR="002A0259" w:rsidRDefault="00343186">
      <w:pPr>
        <w:spacing w:before="240"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4.0 Statistical Analysis and Pre-testing Data</w:t>
      </w:r>
    </w:p>
    <w:p w14:paraId="523E96CB"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SPSS and Excel were used to analyze data for mistakes that could affect the dependability and accuracy of the research results. PLS-SEM was adopted, and 44.88% of questionnaires were considered excellent. Mahala Nobis was used for Outliers &amp; Mardia’s Skewness and Kurtosis for Normality Test. Harman's Single Factor Test concluded that there is no co</w:t>
      </w:r>
      <w:r w:rsidR="00D13D1E">
        <w:rPr>
          <w:rFonts w:ascii="Times New Roman" w:eastAsia="Times New Roman" w:hAnsi="Times New Roman" w:cs="Times New Roman"/>
          <w:sz w:val="24"/>
          <w:szCs w:val="24"/>
        </w:rPr>
        <w:t>mmon method bias. Furthermore, t</w:t>
      </w:r>
      <w:r>
        <w:rPr>
          <w:rFonts w:ascii="Times New Roman" w:eastAsia="Times New Roman" w:hAnsi="Times New Roman" w:cs="Times New Roman"/>
          <w:sz w:val="24"/>
          <w:szCs w:val="24"/>
        </w:rPr>
        <w:t>he 20 straight liners and six outliers were removed.</w:t>
      </w:r>
    </w:p>
    <w:p w14:paraId="462BC263" w14:textId="77777777" w:rsidR="002A0259" w:rsidRDefault="002A0259">
      <w:pPr>
        <w:spacing w:line="240" w:lineRule="auto"/>
        <w:jc w:val="both"/>
        <w:rPr>
          <w:rFonts w:ascii="Times New Roman" w:eastAsia="Times New Roman" w:hAnsi="Times New Roman" w:cs="Times New Roman"/>
          <w:sz w:val="24"/>
          <w:szCs w:val="24"/>
        </w:rPr>
      </w:pPr>
    </w:p>
    <w:p w14:paraId="17CD253C"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4.1 Measurement Model</w:t>
      </w:r>
    </w:p>
    <w:p w14:paraId="341A3D66" w14:textId="77777777" w:rsidR="002A0259" w:rsidRDefault="002A0259">
      <w:pPr>
        <w:spacing w:line="240" w:lineRule="auto"/>
        <w:jc w:val="both"/>
        <w:rPr>
          <w:rFonts w:ascii="Times New Roman" w:eastAsia="Times New Roman" w:hAnsi="Times New Roman" w:cs="Times New Roman"/>
          <w:b/>
          <w:sz w:val="24"/>
          <w:szCs w:val="24"/>
        </w:rPr>
      </w:pPr>
    </w:p>
    <w:p w14:paraId="6DB23A48"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Composite reliability assesses the internal consistency of scale items, like Cronbach's alpha (Netemeyer, 2003). It is an indicator of shared variance among indicator variables for a hidden concept (Fornell &amp; Larcker, 1981). PLS-based research often prefers composite reliability over Cronbach's alpha for convergent validity testing (Brunner &amp; Süß, 2005).</w:t>
      </w:r>
    </w:p>
    <w:p w14:paraId="6972E041"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Composite Reliability (CR),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Ab Hamid et al. (2017) suggest composite reliability values of 0.70 or higher in advanced stages, with values above 0.90 considered bad. The variables in Table 2 have composite reliability values greater than 0.70 and fall between 0.8 and 0.9, making them "good" (Ab Hamid et al., 2017). PP is "Acceptable," and Intention is "Good" (Ab Hamid et al., 2017). These factors are considered reliable for the study.</w:t>
      </w:r>
    </w:p>
    <w:p w14:paraId="77120071" w14:textId="77777777" w:rsidR="002A0259" w:rsidRDefault="002A0259">
      <w:pPr>
        <w:spacing w:line="240" w:lineRule="auto"/>
        <w:jc w:val="both"/>
        <w:rPr>
          <w:rFonts w:ascii="Times New Roman" w:eastAsia="Times New Roman" w:hAnsi="Times New Roman" w:cs="Times New Roman"/>
          <w:sz w:val="24"/>
          <w:szCs w:val="24"/>
        </w:rPr>
      </w:pPr>
    </w:p>
    <w:p w14:paraId="08A7DF4C"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the Average Variance Extracted (AVE) rule of thumb, all variables in Table 2 are considered credible with an AVE value higher than the </w:t>
      </w:r>
      <w:r w:rsidR="00D13D1E">
        <w:rPr>
          <w:rFonts w:ascii="Times New Roman" w:eastAsia="Times New Roman" w:hAnsi="Times New Roman" w:cs="Times New Roman"/>
          <w:sz w:val="24"/>
          <w:szCs w:val="24"/>
        </w:rPr>
        <w:t>cut-off</w:t>
      </w:r>
      <w:r>
        <w:rPr>
          <w:rFonts w:ascii="Times New Roman" w:eastAsia="Times New Roman" w:hAnsi="Times New Roman" w:cs="Times New Roman"/>
          <w:sz w:val="24"/>
          <w:szCs w:val="24"/>
        </w:rPr>
        <w:t xml:space="preserve"> of 0.50. PP, ATT, SN, PBC, MN, EC, and FK are considered "Acceptable" with values of 0.618, 0.665, 0.659, 0.607, 0.618, and 0.525 respectively, but FK has an AVE near 0.50, which is considered a minor boundary. The dependent variable, Intention (ITS), also has an acceptable value of 0.699, and all factors are considered reliable and consistent enough to be used in the study.</w:t>
      </w:r>
    </w:p>
    <w:p w14:paraId="2B2E1DFC" w14:textId="77777777" w:rsidR="002A0259" w:rsidRDefault="002A0259">
      <w:pPr>
        <w:spacing w:line="240" w:lineRule="auto"/>
        <w:jc w:val="both"/>
        <w:rPr>
          <w:rFonts w:ascii="Times New Roman" w:eastAsia="Times New Roman" w:hAnsi="Times New Roman" w:cs="Times New Roman"/>
          <w:sz w:val="24"/>
          <w:szCs w:val="24"/>
        </w:rPr>
      </w:pPr>
    </w:p>
    <w:p w14:paraId="234108F1"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Henseler (2017) used Monte Carlo simulation to demonstrate that the Heterotrait-monotrait (HTMT) ratio of correlation is a more effective method for assessing discriminant validity than other methods, such as the Fornell-Lacker (20.82 percent) and the cross-loadings criterion (0.00 percent). The HTMT method can achieve higher specificity and sensitivity rates (97-99 percent) (Ab Hamid &amp; Sidek, 2017).</w:t>
      </w:r>
    </w:p>
    <w:p w14:paraId="1100C877" w14:textId="77777777" w:rsidR="002A0259" w:rsidRDefault="002A0259">
      <w:pPr>
        <w:spacing w:line="240" w:lineRule="auto"/>
        <w:jc w:val="both"/>
        <w:rPr>
          <w:rFonts w:ascii="Times New Roman" w:eastAsia="Times New Roman" w:hAnsi="Times New Roman" w:cs="Times New Roman"/>
          <w:sz w:val="24"/>
          <w:szCs w:val="24"/>
        </w:rPr>
      </w:pPr>
    </w:p>
    <w:p w14:paraId="66173892"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Henseler et al. (2015) suggest using a threshold value of 0.90 for a path model that includes conceptually similar constructs, such as affective satisfaction, cognitive satisfaction, and loyalty. This threshold indicates a lack of discriminant validity. However, a threshold of 0.85 should be considered for a path model with more distinct constructs. The Hetero-Trait-Mono-Trait (HTMT) inference ratio, a correlation ratio, was used to evaluate the discriminant validity (Ringle &amp; Sarstedt, 2015).</w:t>
      </w:r>
    </w:p>
    <w:p w14:paraId="23E233D9" w14:textId="77777777" w:rsidR="002A0259" w:rsidRDefault="002A0259">
      <w:pPr>
        <w:spacing w:line="240" w:lineRule="auto"/>
        <w:jc w:val="both"/>
        <w:rPr>
          <w:rFonts w:ascii="Times New Roman" w:eastAsia="Times New Roman" w:hAnsi="Times New Roman" w:cs="Times New Roman"/>
          <w:sz w:val="24"/>
          <w:szCs w:val="24"/>
        </w:rPr>
      </w:pPr>
    </w:p>
    <w:p w14:paraId="37EBDA82"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process of evaluating the validity of the study uses convergent and discriminant validity methods. Convergent validity is established by factor loadings and the average variance extracted (AVE) (Hair, 2017). The general rule is that the outer loading should be at least 0.708 to be considered satisfactory. Discriminant validity is also essential for latent variable analysis (Bollen, 1989; Fornell &amp; Larcker, 1981) to confirm that results are not due to statistical anomalies. However, it is not always included in the literature, and incorrect use of the test might lead to incorrect conclusions (Bove et al., 2009). This study used Fornell Lacker Criterion and Cross </w:t>
      </w:r>
      <w:r>
        <w:rPr>
          <w:rFonts w:ascii="Times New Roman" w:eastAsia="Times New Roman" w:hAnsi="Times New Roman" w:cs="Times New Roman"/>
          <w:sz w:val="24"/>
          <w:szCs w:val="24"/>
        </w:rPr>
        <w:lastRenderedPageBreak/>
        <w:t>Loading to check discriminant validity, according to Fawad (2020). The data is considered legitimate when the variance between variables in cross-loading is more than 0.10, and Fornell Lacker is lower than 1. All of the variable values are smaller than 1 in this study which confirms that the data meets the discriminant validity requirement, as seen in Tables 5 and 6.</w:t>
      </w:r>
    </w:p>
    <w:p w14:paraId="6E2A7C6C" w14:textId="77777777" w:rsidR="002A0259" w:rsidRDefault="002A0259">
      <w:pPr>
        <w:spacing w:line="240" w:lineRule="auto"/>
        <w:jc w:val="both"/>
        <w:rPr>
          <w:rFonts w:ascii="Times New Roman" w:eastAsia="Times New Roman" w:hAnsi="Times New Roman" w:cs="Times New Roman"/>
          <w:sz w:val="24"/>
          <w:szCs w:val="24"/>
        </w:rPr>
      </w:pPr>
    </w:p>
    <w:p w14:paraId="6EF43B36"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avoid collinearity difficulties, the VIF ought to be lower than 5 (Hair, 2017). The information in Table 7 determined that the Variance Inflation Factors (VIF) values ranged from 1.000 to 2.760 for all constructs, proving that there was no collinearity issue in this study.</w:t>
      </w:r>
    </w:p>
    <w:p w14:paraId="2A9069C0" w14:textId="77777777" w:rsidR="002A0259" w:rsidRDefault="002A0259">
      <w:pPr>
        <w:spacing w:line="240" w:lineRule="auto"/>
        <w:jc w:val="both"/>
        <w:rPr>
          <w:rFonts w:ascii="Times New Roman" w:eastAsia="Times New Roman" w:hAnsi="Times New Roman" w:cs="Times New Roman"/>
          <w:sz w:val="24"/>
          <w:szCs w:val="24"/>
        </w:rPr>
      </w:pPr>
    </w:p>
    <w:p w14:paraId="0135AA38" w14:textId="77777777" w:rsidR="002A0259" w:rsidRDefault="002A0259">
      <w:pPr>
        <w:spacing w:line="240" w:lineRule="auto"/>
        <w:jc w:val="both"/>
        <w:rPr>
          <w:rFonts w:ascii="Times New Roman" w:eastAsia="Times New Roman" w:hAnsi="Times New Roman" w:cs="Times New Roman"/>
          <w:sz w:val="24"/>
          <w:szCs w:val="24"/>
        </w:rPr>
      </w:pPr>
    </w:p>
    <w:p w14:paraId="02CFD40E" w14:textId="3F91E99E"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Table 2: Measurement Model</w:t>
      </w:r>
    </w:p>
    <w:p w14:paraId="5BBC2498" w14:textId="77777777" w:rsidR="00514843" w:rsidRDefault="00514843">
      <w:pPr>
        <w:spacing w:line="240" w:lineRule="auto"/>
        <w:jc w:val="both"/>
        <w:rPr>
          <w:rFonts w:ascii="Times New Roman" w:eastAsia="Times New Roman" w:hAnsi="Times New Roman" w:cs="Times New Roman"/>
          <w:sz w:val="24"/>
          <w:szCs w:val="24"/>
        </w:rPr>
      </w:pP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2"/>
        <w:gridCol w:w="1872"/>
        <w:gridCol w:w="1872"/>
        <w:gridCol w:w="1872"/>
        <w:gridCol w:w="1872"/>
      </w:tblGrid>
      <w:tr w:rsidR="002A0259" w14:paraId="081BF8F3" w14:textId="77777777" w:rsidTr="004A6112">
        <w:trPr>
          <w:trHeight w:val="166"/>
          <w:jc w:val="center"/>
        </w:trPr>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6C8EB"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56CEAC"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Items</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439259"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Loadings</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522F87"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AVE</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F64E05"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w:t>
            </w:r>
          </w:p>
        </w:tc>
      </w:tr>
      <w:tr w:rsidR="002A0259" w14:paraId="299B02CE" w14:textId="77777777" w:rsidTr="004A6112">
        <w:trPr>
          <w:trHeight w:val="261"/>
          <w:jc w:val="center"/>
        </w:trPr>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2A41AB"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260A39"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PP1</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630306"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0.725</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77E09C"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0.618</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F09BF0"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0.829</w:t>
            </w:r>
          </w:p>
        </w:tc>
      </w:tr>
      <w:tr w:rsidR="002A0259" w14:paraId="371C67EF"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C770A7"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399784"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PP2</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660D9"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0.825</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6E19A8"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DB1E0A"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4F302173" w14:textId="77777777" w:rsidTr="004A6112">
        <w:trPr>
          <w:trHeight w:val="20"/>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CC10DE"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AFF4B5"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PP3</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4B9859"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0.804</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206AF1"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B38CDF"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241F5EC6" w14:textId="77777777" w:rsidTr="004A6112">
        <w:trPr>
          <w:trHeight w:val="261"/>
          <w:jc w:val="center"/>
        </w:trPr>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801BD6"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B8992A"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ATT1</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D8B17A"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0.795</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1D91A0"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0.618</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688E13"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0.829</w:t>
            </w:r>
          </w:p>
        </w:tc>
      </w:tr>
      <w:tr w:rsidR="002A0259" w14:paraId="6132DD02"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838CBF"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BB6BC7"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ATT2</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229CD1"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0.823</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6CA94"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F662A3"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21DDEA38"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556EBD"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8640C6"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ATT3</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6FA5FF"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0.738</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01F14"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F4E40E"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546A8E23" w14:textId="77777777" w:rsidTr="004A6112">
        <w:trPr>
          <w:trHeight w:val="261"/>
          <w:jc w:val="center"/>
        </w:trPr>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6F26DB"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328876"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SN1</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9D5BB"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0.769</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794FFC"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0.665</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FE435A"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0.856</w:t>
            </w:r>
          </w:p>
        </w:tc>
      </w:tr>
      <w:tr w:rsidR="002A0259" w14:paraId="7873C9FB"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DBC8A2"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ACA242"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SN2</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D96251"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0.841</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9D9AEF"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4DB70A"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1A43ED5D"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1889BD"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68CC57"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SN3</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73CD52"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0.836</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98809A"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A9A09"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70C13B58" w14:textId="77777777" w:rsidTr="004A6112">
        <w:trPr>
          <w:trHeight w:val="261"/>
          <w:jc w:val="center"/>
        </w:trPr>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F5D511"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FBB436"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PBC1</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3D3695"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0.820</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63F075"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0.659</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0C9BC9"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0.853</w:t>
            </w:r>
          </w:p>
        </w:tc>
      </w:tr>
      <w:tr w:rsidR="002A0259" w14:paraId="1A7C2A2E" w14:textId="77777777" w:rsidTr="004A6112">
        <w:trPr>
          <w:trHeight w:val="1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0E8A31"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D850F2"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PBC2</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610E7"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0.792</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E36894"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2FB694"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01F96DCF" w14:textId="77777777" w:rsidTr="004A6112">
        <w:trPr>
          <w:trHeight w:val="79"/>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6AD518"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7DBDE8"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PBC3</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EB2BFF"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0.823</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03B0C0"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A08ACB"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131154BF" w14:textId="77777777" w:rsidTr="004A6112">
        <w:trPr>
          <w:trHeight w:val="261"/>
          <w:jc w:val="center"/>
        </w:trPr>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F64C6E"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DEF492"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MN1</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59895D"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0.781</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F7863C"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0.607</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E57049"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0.822</w:t>
            </w:r>
          </w:p>
        </w:tc>
      </w:tr>
      <w:tr w:rsidR="002A0259" w14:paraId="430DEDB1"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CEE05"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3E600"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MN2</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4B399D"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0.794</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EDE492"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669924"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3554DF54"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64838F"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17B9C7"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MN3</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3EBCF2"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0.762</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E3457D"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EDA162"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62C1A8A7" w14:textId="77777777" w:rsidTr="004A6112">
        <w:trPr>
          <w:trHeight w:val="261"/>
          <w:jc w:val="center"/>
        </w:trPr>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08723C"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131DAC"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EC1</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619F7"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0.792</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FEE155"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0.618</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177A75"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0.829</w:t>
            </w:r>
          </w:p>
        </w:tc>
      </w:tr>
      <w:tr w:rsidR="002A0259" w14:paraId="04580CBF"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6FF9D1"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CF9705"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EC2</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E1A1B0"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0.778</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04B4FB"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9FC511"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603FE835"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EDC09F"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03674E"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EC3</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9F097B"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0.789</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3B8E1F"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C81E51"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7867E3F3" w14:textId="77777777" w:rsidTr="004A6112">
        <w:trPr>
          <w:trHeight w:val="261"/>
          <w:jc w:val="center"/>
        </w:trPr>
        <w:tc>
          <w:tcPr>
            <w:tcW w:w="1872" w:type="dxa"/>
            <w:vMerge w:val="restart"/>
            <w:tcBorders>
              <w:top w:val="single" w:sz="8" w:space="0" w:color="000000"/>
              <w:left w:val="single" w:sz="8" w:space="0" w:color="000000"/>
              <w:bottom w:val="single" w:sz="8" w:space="0" w:color="000000"/>
              <w:right w:val="single" w:sz="8" w:space="0" w:color="000000"/>
            </w:tcBorders>
          </w:tcPr>
          <w:p w14:paraId="0EBC30D8"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FK</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AA7E0C"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FK2</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B2794F"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0.837</w:t>
            </w:r>
          </w:p>
        </w:tc>
        <w:tc>
          <w:tcPr>
            <w:tcW w:w="1872" w:type="dxa"/>
            <w:vMerge w:val="restart"/>
            <w:tcBorders>
              <w:top w:val="single" w:sz="8" w:space="0" w:color="000000"/>
              <w:left w:val="single" w:sz="8" w:space="0" w:color="000000"/>
              <w:bottom w:val="single" w:sz="8" w:space="0" w:color="000000"/>
              <w:right w:val="single" w:sz="8" w:space="0" w:color="000000"/>
            </w:tcBorders>
          </w:tcPr>
          <w:p w14:paraId="08E4BB92"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0.692</w:t>
            </w:r>
          </w:p>
        </w:tc>
        <w:tc>
          <w:tcPr>
            <w:tcW w:w="1872" w:type="dxa"/>
            <w:vMerge w:val="restart"/>
            <w:tcBorders>
              <w:top w:val="single" w:sz="8" w:space="0" w:color="000000"/>
              <w:left w:val="single" w:sz="8" w:space="0" w:color="000000"/>
              <w:bottom w:val="single" w:sz="8" w:space="0" w:color="000000"/>
              <w:right w:val="single" w:sz="8" w:space="0" w:color="000000"/>
            </w:tcBorders>
          </w:tcPr>
          <w:p w14:paraId="49FC8ADC"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0.871</w:t>
            </w:r>
          </w:p>
        </w:tc>
      </w:tr>
      <w:tr w:rsidR="002A0259" w14:paraId="00DDBD12"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Pr>
          <w:p w14:paraId="44A0CCCD"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DDA11F"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FK3</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7B1B7F"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0.807</w:t>
            </w:r>
          </w:p>
        </w:tc>
        <w:tc>
          <w:tcPr>
            <w:tcW w:w="1872" w:type="dxa"/>
            <w:vMerge/>
            <w:tcBorders>
              <w:top w:val="single" w:sz="8" w:space="0" w:color="000000"/>
              <w:left w:val="single" w:sz="8" w:space="0" w:color="000000"/>
              <w:bottom w:val="single" w:sz="8" w:space="0" w:color="000000"/>
              <w:right w:val="single" w:sz="8" w:space="0" w:color="000000"/>
            </w:tcBorders>
          </w:tcPr>
          <w:p w14:paraId="59DAACEE"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Pr>
          <w:p w14:paraId="3528FF7A"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17D47798"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Pr>
          <w:p w14:paraId="55AB1588"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65F2E1"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FK4</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2352F8"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0.851</w:t>
            </w:r>
          </w:p>
        </w:tc>
        <w:tc>
          <w:tcPr>
            <w:tcW w:w="1872" w:type="dxa"/>
            <w:vMerge/>
            <w:tcBorders>
              <w:top w:val="single" w:sz="8" w:space="0" w:color="000000"/>
              <w:left w:val="single" w:sz="8" w:space="0" w:color="000000"/>
              <w:bottom w:val="single" w:sz="8" w:space="0" w:color="000000"/>
              <w:right w:val="single" w:sz="8" w:space="0" w:color="000000"/>
            </w:tcBorders>
          </w:tcPr>
          <w:p w14:paraId="5732B488"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Pr>
          <w:p w14:paraId="4F44A756"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68D2A257" w14:textId="77777777" w:rsidTr="004A6112">
        <w:trPr>
          <w:trHeight w:val="261"/>
          <w:jc w:val="center"/>
        </w:trPr>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FCC488"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0C65BB"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ITS1</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A785FC"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0.808</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CBE039"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0.699</w:t>
            </w:r>
          </w:p>
        </w:tc>
        <w:tc>
          <w:tcPr>
            <w:tcW w:w="187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65D615"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0.875</w:t>
            </w:r>
          </w:p>
        </w:tc>
      </w:tr>
      <w:tr w:rsidR="002A0259" w14:paraId="17EC0B26" w14:textId="77777777" w:rsidTr="004A6112">
        <w:trPr>
          <w:trHeight w:val="26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AE514"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232BAB"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ITS2</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4F459F"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0.825</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2E9A09"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D82ABA" w14:textId="77777777" w:rsidR="002A0259" w:rsidRDefault="002A0259">
            <w:pPr>
              <w:widowControl w:val="0"/>
              <w:spacing w:line="240" w:lineRule="auto"/>
              <w:jc w:val="both"/>
              <w:rPr>
                <w:rFonts w:ascii="Times New Roman" w:eastAsia="Times New Roman" w:hAnsi="Times New Roman" w:cs="Times New Roman"/>
                <w:sz w:val="24"/>
                <w:szCs w:val="24"/>
              </w:rPr>
            </w:pPr>
          </w:p>
        </w:tc>
      </w:tr>
      <w:tr w:rsidR="002A0259" w14:paraId="3566129B" w14:textId="77777777" w:rsidTr="004A6112">
        <w:trPr>
          <w:trHeight w:val="11"/>
          <w:jc w:val="center"/>
        </w:trPr>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7461BB"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D63439"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ITS3</w:t>
            </w:r>
          </w:p>
        </w:tc>
        <w:tc>
          <w:tcPr>
            <w:tcW w:w="1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9E611F" w14:textId="77777777" w:rsidR="002A0259" w:rsidRDefault="00343186">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0.875</w:t>
            </w: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00CA31" w14:textId="77777777" w:rsidR="002A0259" w:rsidRDefault="002A0259">
            <w:pPr>
              <w:widowControl w:val="0"/>
              <w:spacing w:line="240" w:lineRule="auto"/>
              <w:jc w:val="both"/>
              <w:rPr>
                <w:rFonts w:ascii="Times New Roman" w:eastAsia="Times New Roman" w:hAnsi="Times New Roman" w:cs="Times New Roman"/>
                <w:sz w:val="24"/>
                <w:szCs w:val="24"/>
              </w:rPr>
            </w:pPr>
          </w:p>
        </w:tc>
        <w:tc>
          <w:tcPr>
            <w:tcW w:w="1872"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96AE1" w14:textId="77777777" w:rsidR="002A0259" w:rsidRDefault="002A0259">
            <w:pPr>
              <w:widowControl w:val="0"/>
              <w:spacing w:line="240" w:lineRule="auto"/>
              <w:jc w:val="both"/>
              <w:rPr>
                <w:rFonts w:ascii="Times New Roman" w:eastAsia="Times New Roman" w:hAnsi="Times New Roman" w:cs="Times New Roman"/>
                <w:sz w:val="24"/>
                <w:szCs w:val="24"/>
              </w:rPr>
            </w:pPr>
          </w:p>
        </w:tc>
      </w:tr>
    </w:tbl>
    <w:p w14:paraId="27E4881F" w14:textId="77777777" w:rsidR="002A0259" w:rsidRDefault="002A0259">
      <w:pPr>
        <w:spacing w:line="240" w:lineRule="auto"/>
        <w:jc w:val="both"/>
        <w:rPr>
          <w:rFonts w:ascii="Times New Roman" w:eastAsia="Times New Roman" w:hAnsi="Times New Roman" w:cs="Times New Roman"/>
          <w:b/>
          <w:sz w:val="24"/>
          <w:szCs w:val="24"/>
        </w:rPr>
      </w:pPr>
    </w:p>
    <w:p w14:paraId="0546CF81" w14:textId="77777777" w:rsidR="002A0259" w:rsidRDefault="002A0259">
      <w:pPr>
        <w:spacing w:line="240" w:lineRule="auto"/>
        <w:jc w:val="both"/>
        <w:rPr>
          <w:rFonts w:ascii="Times New Roman" w:eastAsia="Times New Roman" w:hAnsi="Times New Roman" w:cs="Times New Roman"/>
          <w:sz w:val="24"/>
          <w:szCs w:val="24"/>
        </w:rPr>
      </w:pPr>
    </w:p>
    <w:p w14:paraId="6915940B" w14:textId="77777777" w:rsidR="004A6112" w:rsidRDefault="004A6112">
      <w:pPr>
        <w:spacing w:line="240" w:lineRule="auto"/>
        <w:jc w:val="both"/>
        <w:rPr>
          <w:rFonts w:ascii="Times New Roman" w:eastAsia="Times New Roman" w:hAnsi="Times New Roman" w:cs="Times New Roman"/>
          <w:sz w:val="24"/>
          <w:szCs w:val="24"/>
        </w:rPr>
      </w:pPr>
    </w:p>
    <w:p w14:paraId="74D8FF62" w14:textId="77777777" w:rsidR="004A6112" w:rsidRDefault="004A6112">
      <w:pPr>
        <w:spacing w:line="240" w:lineRule="auto"/>
        <w:jc w:val="both"/>
        <w:rPr>
          <w:rFonts w:ascii="Times New Roman" w:eastAsia="Times New Roman" w:hAnsi="Times New Roman" w:cs="Times New Roman"/>
          <w:sz w:val="24"/>
          <w:szCs w:val="24"/>
        </w:rPr>
      </w:pPr>
    </w:p>
    <w:p w14:paraId="4131191B" w14:textId="77777777" w:rsidR="004A6112" w:rsidRDefault="004A6112">
      <w:pPr>
        <w:spacing w:line="240" w:lineRule="auto"/>
        <w:jc w:val="both"/>
        <w:rPr>
          <w:rFonts w:ascii="Times New Roman" w:eastAsia="Times New Roman" w:hAnsi="Times New Roman" w:cs="Times New Roman"/>
          <w:sz w:val="24"/>
          <w:szCs w:val="24"/>
        </w:rPr>
      </w:pPr>
    </w:p>
    <w:p w14:paraId="08932ADC" w14:textId="35E84749"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3: HTMT </w:t>
      </w:r>
      <w:r w:rsidR="00D13D1E">
        <w:rPr>
          <w:rFonts w:ascii="Times New Roman" w:eastAsia="Times New Roman" w:hAnsi="Times New Roman" w:cs="Times New Roman"/>
          <w:sz w:val="24"/>
          <w:szCs w:val="24"/>
        </w:rPr>
        <w:t>Assessment</w:t>
      </w:r>
      <w:r>
        <w:rPr>
          <w:rFonts w:ascii="Times New Roman" w:eastAsia="Times New Roman" w:hAnsi="Times New Roman" w:cs="Times New Roman"/>
          <w:sz w:val="24"/>
          <w:szCs w:val="24"/>
        </w:rPr>
        <w:t xml:space="preserve"> </w:t>
      </w:r>
    </w:p>
    <w:p w14:paraId="2B037AFC" w14:textId="77777777" w:rsidR="00514843" w:rsidRDefault="00514843">
      <w:pPr>
        <w:spacing w:line="240" w:lineRule="auto"/>
        <w:jc w:val="both"/>
        <w:rPr>
          <w:rFonts w:ascii="Times New Roman" w:eastAsia="Times New Roman" w:hAnsi="Times New Roman" w:cs="Times New Roman"/>
          <w:b/>
          <w:sz w:val="24"/>
          <w:szCs w:val="24"/>
        </w:rPr>
      </w:pPr>
    </w:p>
    <w:tbl>
      <w:tblPr>
        <w:tblStyle w:val="a1"/>
        <w:tblW w:w="9342" w:type="dxa"/>
        <w:tblBorders>
          <w:top w:val="nil"/>
          <w:left w:val="nil"/>
          <w:bottom w:val="nil"/>
          <w:right w:val="nil"/>
          <w:insideH w:val="nil"/>
          <w:insideV w:val="nil"/>
        </w:tblBorders>
        <w:tblLayout w:type="fixed"/>
        <w:tblLook w:val="0600" w:firstRow="0" w:lastRow="0" w:firstColumn="0" w:lastColumn="0" w:noHBand="1" w:noVBand="1"/>
      </w:tblPr>
      <w:tblGrid>
        <w:gridCol w:w="957"/>
        <w:gridCol w:w="1092"/>
        <w:gridCol w:w="1091"/>
        <w:gridCol w:w="1091"/>
        <w:gridCol w:w="1091"/>
        <w:gridCol w:w="1091"/>
        <w:gridCol w:w="1091"/>
        <w:gridCol w:w="1091"/>
        <w:gridCol w:w="747"/>
      </w:tblGrid>
      <w:tr w:rsidR="002A0259" w14:paraId="5EE1B92B" w14:textId="77777777" w:rsidTr="004A6112">
        <w:trPr>
          <w:trHeight w:val="289"/>
        </w:trPr>
        <w:tc>
          <w:tcPr>
            <w:tcW w:w="9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DFE6B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8A35F3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w:t>
            </w:r>
          </w:p>
        </w:tc>
        <w:tc>
          <w:tcPr>
            <w:tcW w:w="10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E896FB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w:t>
            </w:r>
          </w:p>
        </w:tc>
        <w:tc>
          <w:tcPr>
            <w:tcW w:w="10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98EAC8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FK</w:t>
            </w:r>
          </w:p>
        </w:tc>
        <w:tc>
          <w:tcPr>
            <w:tcW w:w="10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17E492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w:t>
            </w:r>
          </w:p>
        </w:tc>
        <w:tc>
          <w:tcPr>
            <w:tcW w:w="10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4C861C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w:t>
            </w:r>
          </w:p>
        </w:tc>
        <w:tc>
          <w:tcPr>
            <w:tcW w:w="10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65B497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w:t>
            </w:r>
          </w:p>
        </w:tc>
        <w:tc>
          <w:tcPr>
            <w:tcW w:w="10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71E029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w:t>
            </w:r>
          </w:p>
        </w:tc>
        <w:tc>
          <w:tcPr>
            <w:tcW w:w="74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5573D9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w:t>
            </w:r>
          </w:p>
        </w:tc>
      </w:tr>
      <w:tr w:rsidR="002A0259" w14:paraId="0505A815" w14:textId="77777777" w:rsidTr="004A6112">
        <w:trPr>
          <w:trHeight w:val="289"/>
        </w:trPr>
        <w:tc>
          <w:tcPr>
            <w:tcW w:w="9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898A2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w:t>
            </w:r>
          </w:p>
        </w:tc>
        <w:tc>
          <w:tcPr>
            <w:tcW w:w="1092" w:type="dxa"/>
            <w:tcBorders>
              <w:top w:val="nil"/>
              <w:left w:val="nil"/>
              <w:bottom w:val="single" w:sz="8" w:space="0" w:color="000000"/>
              <w:right w:val="single" w:sz="8" w:space="0" w:color="000000"/>
            </w:tcBorders>
            <w:tcMar>
              <w:top w:w="100" w:type="dxa"/>
              <w:left w:w="100" w:type="dxa"/>
              <w:bottom w:w="100" w:type="dxa"/>
              <w:right w:w="100" w:type="dxa"/>
            </w:tcMar>
          </w:tcPr>
          <w:p w14:paraId="7B84CFDA"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3126E36B"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3BEF5836"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6817EF60"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794714F5"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36FBE81A"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7903F2E7" w14:textId="77777777" w:rsidR="002A0259" w:rsidRDefault="002A0259">
            <w:pPr>
              <w:spacing w:line="240" w:lineRule="auto"/>
              <w:jc w:val="both"/>
              <w:rPr>
                <w:rFonts w:ascii="Times New Roman" w:eastAsia="Times New Roman" w:hAnsi="Times New Roman" w:cs="Times New Roman"/>
                <w:sz w:val="24"/>
                <w:szCs w:val="24"/>
              </w:rPr>
            </w:pPr>
          </w:p>
        </w:tc>
        <w:tc>
          <w:tcPr>
            <w:tcW w:w="747" w:type="dxa"/>
            <w:tcBorders>
              <w:top w:val="nil"/>
              <w:left w:val="nil"/>
              <w:bottom w:val="single" w:sz="8" w:space="0" w:color="000000"/>
              <w:right w:val="single" w:sz="8" w:space="0" w:color="000000"/>
            </w:tcBorders>
            <w:tcMar>
              <w:top w:w="100" w:type="dxa"/>
              <w:left w:w="100" w:type="dxa"/>
              <w:bottom w:w="100" w:type="dxa"/>
              <w:right w:w="100" w:type="dxa"/>
            </w:tcMar>
          </w:tcPr>
          <w:p w14:paraId="278A705F" w14:textId="77777777" w:rsidR="002A0259" w:rsidRDefault="002A0259">
            <w:pPr>
              <w:spacing w:line="240" w:lineRule="auto"/>
              <w:jc w:val="both"/>
              <w:rPr>
                <w:rFonts w:ascii="Times New Roman" w:eastAsia="Times New Roman" w:hAnsi="Times New Roman" w:cs="Times New Roman"/>
                <w:sz w:val="24"/>
                <w:szCs w:val="24"/>
              </w:rPr>
            </w:pPr>
          </w:p>
        </w:tc>
      </w:tr>
      <w:tr w:rsidR="002A0259" w14:paraId="74B7B78B" w14:textId="77777777" w:rsidTr="004A6112">
        <w:trPr>
          <w:trHeight w:val="289"/>
        </w:trPr>
        <w:tc>
          <w:tcPr>
            <w:tcW w:w="9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50DF09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w:t>
            </w:r>
          </w:p>
        </w:tc>
        <w:tc>
          <w:tcPr>
            <w:tcW w:w="1092" w:type="dxa"/>
            <w:tcBorders>
              <w:top w:val="nil"/>
              <w:left w:val="nil"/>
              <w:bottom w:val="single" w:sz="8" w:space="0" w:color="000000"/>
              <w:right w:val="single" w:sz="8" w:space="0" w:color="000000"/>
            </w:tcBorders>
            <w:tcMar>
              <w:top w:w="100" w:type="dxa"/>
              <w:left w:w="100" w:type="dxa"/>
              <w:bottom w:w="100" w:type="dxa"/>
              <w:right w:w="100" w:type="dxa"/>
            </w:tcMar>
          </w:tcPr>
          <w:p w14:paraId="42D49FB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0.951</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71FFD970"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7F459319"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2B291833"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62922894"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1C2B9D9E"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504A86CC" w14:textId="77777777" w:rsidR="002A0259" w:rsidRDefault="002A0259">
            <w:pPr>
              <w:spacing w:line="240" w:lineRule="auto"/>
              <w:jc w:val="both"/>
              <w:rPr>
                <w:rFonts w:ascii="Times New Roman" w:eastAsia="Times New Roman" w:hAnsi="Times New Roman" w:cs="Times New Roman"/>
                <w:sz w:val="24"/>
                <w:szCs w:val="24"/>
              </w:rPr>
            </w:pPr>
          </w:p>
        </w:tc>
        <w:tc>
          <w:tcPr>
            <w:tcW w:w="747" w:type="dxa"/>
            <w:tcBorders>
              <w:top w:val="nil"/>
              <w:left w:val="nil"/>
              <w:bottom w:val="single" w:sz="8" w:space="0" w:color="000000"/>
              <w:right w:val="single" w:sz="8" w:space="0" w:color="000000"/>
            </w:tcBorders>
            <w:tcMar>
              <w:top w:w="100" w:type="dxa"/>
              <w:left w:w="100" w:type="dxa"/>
              <w:bottom w:w="100" w:type="dxa"/>
              <w:right w:w="100" w:type="dxa"/>
            </w:tcMar>
          </w:tcPr>
          <w:p w14:paraId="56221620" w14:textId="77777777" w:rsidR="002A0259" w:rsidRDefault="002A0259">
            <w:pPr>
              <w:spacing w:line="240" w:lineRule="auto"/>
              <w:jc w:val="both"/>
              <w:rPr>
                <w:rFonts w:ascii="Times New Roman" w:eastAsia="Times New Roman" w:hAnsi="Times New Roman" w:cs="Times New Roman"/>
                <w:sz w:val="24"/>
                <w:szCs w:val="24"/>
              </w:rPr>
            </w:pPr>
          </w:p>
        </w:tc>
      </w:tr>
      <w:tr w:rsidR="002A0259" w14:paraId="57D4FF21" w14:textId="77777777" w:rsidTr="004A6112">
        <w:trPr>
          <w:trHeight w:val="289"/>
        </w:trPr>
        <w:tc>
          <w:tcPr>
            <w:tcW w:w="9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093B3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FK</w:t>
            </w:r>
          </w:p>
        </w:tc>
        <w:tc>
          <w:tcPr>
            <w:tcW w:w="1092" w:type="dxa"/>
            <w:tcBorders>
              <w:top w:val="nil"/>
              <w:left w:val="nil"/>
              <w:bottom w:val="single" w:sz="8" w:space="0" w:color="000000"/>
              <w:right w:val="single" w:sz="8" w:space="0" w:color="000000"/>
            </w:tcBorders>
            <w:tcMar>
              <w:top w:w="100" w:type="dxa"/>
              <w:left w:w="100" w:type="dxa"/>
              <w:bottom w:w="100" w:type="dxa"/>
              <w:right w:w="100" w:type="dxa"/>
            </w:tcMar>
          </w:tcPr>
          <w:p w14:paraId="48329B2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0.777</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58771B0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0.817</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6C53EE85"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6AF25981"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6E6086FF"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0827DC73"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7C40EC55" w14:textId="77777777" w:rsidR="002A0259" w:rsidRDefault="002A0259">
            <w:pPr>
              <w:spacing w:line="240" w:lineRule="auto"/>
              <w:jc w:val="both"/>
              <w:rPr>
                <w:rFonts w:ascii="Times New Roman" w:eastAsia="Times New Roman" w:hAnsi="Times New Roman" w:cs="Times New Roman"/>
                <w:sz w:val="24"/>
                <w:szCs w:val="24"/>
              </w:rPr>
            </w:pPr>
          </w:p>
        </w:tc>
        <w:tc>
          <w:tcPr>
            <w:tcW w:w="747" w:type="dxa"/>
            <w:tcBorders>
              <w:top w:val="nil"/>
              <w:left w:val="nil"/>
              <w:bottom w:val="single" w:sz="8" w:space="0" w:color="000000"/>
              <w:right w:val="single" w:sz="8" w:space="0" w:color="000000"/>
            </w:tcBorders>
            <w:tcMar>
              <w:top w:w="100" w:type="dxa"/>
              <w:left w:w="100" w:type="dxa"/>
              <w:bottom w:w="100" w:type="dxa"/>
              <w:right w:w="100" w:type="dxa"/>
            </w:tcMar>
          </w:tcPr>
          <w:p w14:paraId="61B780CC" w14:textId="77777777" w:rsidR="002A0259" w:rsidRDefault="002A0259">
            <w:pPr>
              <w:spacing w:line="240" w:lineRule="auto"/>
              <w:jc w:val="both"/>
              <w:rPr>
                <w:rFonts w:ascii="Times New Roman" w:eastAsia="Times New Roman" w:hAnsi="Times New Roman" w:cs="Times New Roman"/>
                <w:sz w:val="24"/>
                <w:szCs w:val="24"/>
              </w:rPr>
            </w:pPr>
          </w:p>
        </w:tc>
      </w:tr>
      <w:tr w:rsidR="002A0259" w14:paraId="3037D753" w14:textId="77777777" w:rsidTr="004A6112">
        <w:trPr>
          <w:trHeight w:val="289"/>
        </w:trPr>
        <w:tc>
          <w:tcPr>
            <w:tcW w:w="9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14C79D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w:t>
            </w:r>
          </w:p>
        </w:tc>
        <w:tc>
          <w:tcPr>
            <w:tcW w:w="1092" w:type="dxa"/>
            <w:tcBorders>
              <w:top w:val="nil"/>
              <w:left w:val="nil"/>
              <w:bottom w:val="single" w:sz="8" w:space="0" w:color="000000"/>
              <w:right w:val="single" w:sz="8" w:space="0" w:color="000000"/>
            </w:tcBorders>
            <w:tcMar>
              <w:top w:w="100" w:type="dxa"/>
              <w:left w:w="100" w:type="dxa"/>
              <w:bottom w:w="100" w:type="dxa"/>
              <w:right w:w="100" w:type="dxa"/>
            </w:tcMar>
          </w:tcPr>
          <w:p w14:paraId="0DEB19A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0.803</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0F44E34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0.883</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60CF138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0.706</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032DC106"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0D52AA85"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376471A8"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2369137D" w14:textId="77777777" w:rsidR="002A0259" w:rsidRDefault="002A0259">
            <w:pPr>
              <w:spacing w:line="240" w:lineRule="auto"/>
              <w:jc w:val="both"/>
              <w:rPr>
                <w:rFonts w:ascii="Times New Roman" w:eastAsia="Times New Roman" w:hAnsi="Times New Roman" w:cs="Times New Roman"/>
                <w:sz w:val="24"/>
                <w:szCs w:val="24"/>
              </w:rPr>
            </w:pPr>
          </w:p>
        </w:tc>
        <w:tc>
          <w:tcPr>
            <w:tcW w:w="747" w:type="dxa"/>
            <w:tcBorders>
              <w:top w:val="nil"/>
              <w:left w:val="nil"/>
              <w:bottom w:val="single" w:sz="8" w:space="0" w:color="000000"/>
              <w:right w:val="single" w:sz="8" w:space="0" w:color="000000"/>
            </w:tcBorders>
            <w:tcMar>
              <w:top w:w="100" w:type="dxa"/>
              <w:left w:w="100" w:type="dxa"/>
              <w:bottom w:w="100" w:type="dxa"/>
              <w:right w:w="100" w:type="dxa"/>
            </w:tcMar>
          </w:tcPr>
          <w:p w14:paraId="111D6852" w14:textId="77777777" w:rsidR="002A0259" w:rsidRDefault="002A0259">
            <w:pPr>
              <w:spacing w:line="240" w:lineRule="auto"/>
              <w:jc w:val="both"/>
              <w:rPr>
                <w:rFonts w:ascii="Times New Roman" w:eastAsia="Times New Roman" w:hAnsi="Times New Roman" w:cs="Times New Roman"/>
                <w:sz w:val="24"/>
                <w:szCs w:val="24"/>
              </w:rPr>
            </w:pPr>
          </w:p>
        </w:tc>
      </w:tr>
      <w:tr w:rsidR="002A0259" w14:paraId="3E122A9D" w14:textId="77777777" w:rsidTr="004A6112">
        <w:trPr>
          <w:trHeight w:val="289"/>
        </w:trPr>
        <w:tc>
          <w:tcPr>
            <w:tcW w:w="9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94C543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w:t>
            </w:r>
          </w:p>
        </w:tc>
        <w:tc>
          <w:tcPr>
            <w:tcW w:w="1092" w:type="dxa"/>
            <w:tcBorders>
              <w:top w:val="nil"/>
              <w:left w:val="nil"/>
              <w:bottom w:val="single" w:sz="8" w:space="0" w:color="000000"/>
              <w:right w:val="single" w:sz="8" w:space="0" w:color="000000"/>
            </w:tcBorders>
            <w:tcMar>
              <w:top w:w="100" w:type="dxa"/>
              <w:left w:w="100" w:type="dxa"/>
              <w:bottom w:w="100" w:type="dxa"/>
              <w:right w:w="100" w:type="dxa"/>
            </w:tcMar>
          </w:tcPr>
          <w:p w14:paraId="304752E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0.703</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3B44B6C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0.903</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5625772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0.706</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7658816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0.714</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3C69711C"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3425229A"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0FAD4936" w14:textId="77777777" w:rsidR="002A0259" w:rsidRDefault="002A0259">
            <w:pPr>
              <w:spacing w:line="240" w:lineRule="auto"/>
              <w:jc w:val="both"/>
              <w:rPr>
                <w:rFonts w:ascii="Times New Roman" w:eastAsia="Times New Roman" w:hAnsi="Times New Roman" w:cs="Times New Roman"/>
                <w:sz w:val="24"/>
                <w:szCs w:val="24"/>
              </w:rPr>
            </w:pPr>
          </w:p>
        </w:tc>
        <w:tc>
          <w:tcPr>
            <w:tcW w:w="747" w:type="dxa"/>
            <w:tcBorders>
              <w:top w:val="nil"/>
              <w:left w:val="nil"/>
              <w:bottom w:val="single" w:sz="8" w:space="0" w:color="000000"/>
              <w:right w:val="single" w:sz="8" w:space="0" w:color="000000"/>
            </w:tcBorders>
            <w:tcMar>
              <w:top w:w="100" w:type="dxa"/>
              <w:left w:w="100" w:type="dxa"/>
              <w:bottom w:w="100" w:type="dxa"/>
              <w:right w:w="100" w:type="dxa"/>
            </w:tcMar>
          </w:tcPr>
          <w:p w14:paraId="05DE593D" w14:textId="77777777" w:rsidR="002A0259" w:rsidRDefault="002A0259">
            <w:pPr>
              <w:spacing w:line="240" w:lineRule="auto"/>
              <w:jc w:val="both"/>
              <w:rPr>
                <w:rFonts w:ascii="Times New Roman" w:eastAsia="Times New Roman" w:hAnsi="Times New Roman" w:cs="Times New Roman"/>
                <w:sz w:val="24"/>
                <w:szCs w:val="24"/>
              </w:rPr>
            </w:pPr>
          </w:p>
        </w:tc>
      </w:tr>
      <w:tr w:rsidR="002A0259" w14:paraId="75D3EF99" w14:textId="77777777" w:rsidTr="004A6112">
        <w:trPr>
          <w:trHeight w:val="289"/>
        </w:trPr>
        <w:tc>
          <w:tcPr>
            <w:tcW w:w="9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F99E6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w:t>
            </w:r>
          </w:p>
        </w:tc>
        <w:tc>
          <w:tcPr>
            <w:tcW w:w="1092" w:type="dxa"/>
            <w:tcBorders>
              <w:top w:val="nil"/>
              <w:left w:val="nil"/>
              <w:bottom w:val="single" w:sz="8" w:space="0" w:color="000000"/>
              <w:right w:val="single" w:sz="8" w:space="0" w:color="000000"/>
            </w:tcBorders>
            <w:tcMar>
              <w:top w:w="100" w:type="dxa"/>
              <w:left w:w="100" w:type="dxa"/>
              <w:bottom w:w="100" w:type="dxa"/>
              <w:right w:w="100" w:type="dxa"/>
            </w:tcMar>
          </w:tcPr>
          <w:p w14:paraId="583DC4C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0.920</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54B3FD4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1.044</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18099DD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0.867</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43F7ED6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0.886</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195C8FF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0F0CE6DB" w14:textId="77777777" w:rsidR="002A0259" w:rsidRDefault="002A0259">
            <w:pPr>
              <w:spacing w:line="240" w:lineRule="auto"/>
              <w:jc w:val="both"/>
              <w:rPr>
                <w:rFonts w:ascii="Times New Roman" w:eastAsia="Times New Roman" w:hAnsi="Times New Roman" w:cs="Times New Roman"/>
                <w:sz w:val="24"/>
                <w:szCs w:val="24"/>
              </w:rPr>
            </w:pP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7D012264" w14:textId="77777777" w:rsidR="002A0259" w:rsidRDefault="002A0259">
            <w:pPr>
              <w:spacing w:line="240" w:lineRule="auto"/>
              <w:jc w:val="both"/>
              <w:rPr>
                <w:rFonts w:ascii="Times New Roman" w:eastAsia="Times New Roman" w:hAnsi="Times New Roman" w:cs="Times New Roman"/>
                <w:sz w:val="24"/>
                <w:szCs w:val="24"/>
              </w:rPr>
            </w:pPr>
          </w:p>
        </w:tc>
        <w:tc>
          <w:tcPr>
            <w:tcW w:w="747" w:type="dxa"/>
            <w:tcBorders>
              <w:top w:val="nil"/>
              <w:left w:val="nil"/>
              <w:bottom w:val="single" w:sz="8" w:space="0" w:color="000000"/>
              <w:right w:val="single" w:sz="8" w:space="0" w:color="000000"/>
            </w:tcBorders>
            <w:tcMar>
              <w:top w:w="100" w:type="dxa"/>
              <w:left w:w="100" w:type="dxa"/>
              <w:bottom w:w="100" w:type="dxa"/>
              <w:right w:w="100" w:type="dxa"/>
            </w:tcMar>
          </w:tcPr>
          <w:p w14:paraId="2F91576E" w14:textId="77777777" w:rsidR="002A0259" w:rsidRDefault="002A0259">
            <w:pPr>
              <w:spacing w:line="240" w:lineRule="auto"/>
              <w:jc w:val="both"/>
              <w:rPr>
                <w:rFonts w:ascii="Times New Roman" w:eastAsia="Times New Roman" w:hAnsi="Times New Roman" w:cs="Times New Roman"/>
                <w:sz w:val="24"/>
                <w:szCs w:val="24"/>
              </w:rPr>
            </w:pPr>
          </w:p>
        </w:tc>
      </w:tr>
      <w:tr w:rsidR="002A0259" w14:paraId="205FE16B" w14:textId="77777777" w:rsidTr="004A6112">
        <w:trPr>
          <w:trHeight w:val="289"/>
        </w:trPr>
        <w:tc>
          <w:tcPr>
            <w:tcW w:w="9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E9BBC3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w:t>
            </w:r>
          </w:p>
        </w:tc>
        <w:tc>
          <w:tcPr>
            <w:tcW w:w="1092" w:type="dxa"/>
            <w:tcBorders>
              <w:top w:val="nil"/>
              <w:left w:val="nil"/>
              <w:bottom w:val="single" w:sz="8" w:space="0" w:color="000000"/>
              <w:right w:val="single" w:sz="8" w:space="0" w:color="000000"/>
            </w:tcBorders>
            <w:tcMar>
              <w:top w:w="100" w:type="dxa"/>
              <w:left w:w="100" w:type="dxa"/>
              <w:bottom w:w="100" w:type="dxa"/>
              <w:right w:w="100" w:type="dxa"/>
            </w:tcMar>
          </w:tcPr>
          <w:p w14:paraId="179058B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0.919</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17A8D41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0.912</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42DDBEF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0.850</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4FF2E0B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0.754</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33A2C88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0.744</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06F3E84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0.930</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562250E5" w14:textId="77777777" w:rsidR="002A0259" w:rsidRDefault="002A0259">
            <w:pPr>
              <w:spacing w:line="240" w:lineRule="auto"/>
              <w:jc w:val="both"/>
              <w:rPr>
                <w:rFonts w:ascii="Times New Roman" w:eastAsia="Times New Roman" w:hAnsi="Times New Roman" w:cs="Times New Roman"/>
                <w:sz w:val="24"/>
                <w:szCs w:val="24"/>
              </w:rPr>
            </w:pPr>
          </w:p>
        </w:tc>
        <w:tc>
          <w:tcPr>
            <w:tcW w:w="747" w:type="dxa"/>
            <w:tcBorders>
              <w:top w:val="nil"/>
              <w:left w:val="nil"/>
              <w:bottom w:val="single" w:sz="8" w:space="0" w:color="000000"/>
              <w:right w:val="single" w:sz="8" w:space="0" w:color="000000"/>
            </w:tcBorders>
            <w:tcMar>
              <w:top w:w="100" w:type="dxa"/>
              <w:left w:w="100" w:type="dxa"/>
              <w:bottom w:w="100" w:type="dxa"/>
              <w:right w:w="100" w:type="dxa"/>
            </w:tcMar>
          </w:tcPr>
          <w:p w14:paraId="7D863302" w14:textId="77777777" w:rsidR="002A0259" w:rsidRDefault="002A0259">
            <w:pPr>
              <w:spacing w:line="240" w:lineRule="auto"/>
              <w:jc w:val="both"/>
              <w:rPr>
                <w:rFonts w:ascii="Times New Roman" w:eastAsia="Times New Roman" w:hAnsi="Times New Roman" w:cs="Times New Roman"/>
                <w:sz w:val="24"/>
                <w:szCs w:val="24"/>
              </w:rPr>
            </w:pPr>
          </w:p>
        </w:tc>
      </w:tr>
      <w:tr w:rsidR="002A0259" w14:paraId="45628309" w14:textId="77777777" w:rsidTr="004A6112">
        <w:trPr>
          <w:trHeight w:val="289"/>
        </w:trPr>
        <w:tc>
          <w:tcPr>
            <w:tcW w:w="95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578BE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w:t>
            </w:r>
          </w:p>
        </w:tc>
        <w:tc>
          <w:tcPr>
            <w:tcW w:w="1092" w:type="dxa"/>
            <w:tcBorders>
              <w:top w:val="nil"/>
              <w:left w:val="nil"/>
              <w:bottom w:val="single" w:sz="8" w:space="0" w:color="000000"/>
              <w:right w:val="single" w:sz="8" w:space="0" w:color="000000"/>
            </w:tcBorders>
            <w:tcMar>
              <w:top w:w="100" w:type="dxa"/>
              <w:left w:w="100" w:type="dxa"/>
              <w:bottom w:w="100" w:type="dxa"/>
              <w:right w:w="100" w:type="dxa"/>
            </w:tcMar>
          </w:tcPr>
          <w:p w14:paraId="4E9FFCE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0.921</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6AB71DA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0.864</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0DF8D4A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0.741</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1E01D2D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0.809</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4703793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0.751</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6B4D583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0.912</w:t>
            </w:r>
          </w:p>
        </w:tc>
        <w:tc>
          <w:tcPr>
            <w:tcW w:w="1091" w:type="dxa"/>
            <w:tcBorders>
              <w:top w:val="nil"/>
              <w:left w:val="nil"/>
              <w:bottom w:val="single" w:sz="8" w:space="0" w:color="000000"/>
              <w:right w:val="single" w:sz="8" w:space="0" w:color="000000"/>
            </w:tcBorders>
            <w:tcMar>
              <w:top w:w="100" w:type="dxa"/>
              <w:left w:w="100" w:type="dxa"/>
              <w:bottom w:w="100" w:type="dxa"/>
              <w:right w:w="100" w:type="dxa"/>
            </w:tcMar>
          </w:tcPr>
          <w:p w14:paraId="113F1DA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0.945</w:t>
            </w:r>
          </w:p>
        </w:tc>
        <w:tc>
          <w:tcPr>
            <w:tcW w:w="747" w:type="dxa"/>
            <w:tcBorders>
              <w:top w:val="nil"/>
              <w:left w:val="nil"/>
              <w:bottom w:val="single" w:sz="8" w:space="0" w:color="000000"/>
              <w:right w:val="single" w:sz="8" w:space="0" w:color="000000"/>
            </w:tcBorders>
            <w:tcMar>
              <w:top w:w="100" w:type="dxa"/>
              <w:left w:w="100" w:type="dxa"/>
              <w:bottom w:w="100" w:type="dxa"/>
              <w:right w:w="100" w:type="dxa"/>
            </w:tcMar>
          </w:tcPr>
          <w:p w14:paraId="3D60CB42" w14:textId="77777777" w:rsidR="002A0259" w:rsidRDefault="002A0259">
            <w:pPr>
              <w:spacing w:line="240" w:lineRule="auto"/>
              <w:jc w:val="both"/>
              <w:rPr>
                <w:rFonts w:ascii="Times New Roman" w:eastAsia="Times New Roman" w:hAnsi="Times New Roman" w:cs="Times New Roman"/>
                <w:sz w:val="24"/>
                <w:szCs w:val="24"/>
              </w:rPr>
            </w:pPr>
          </w:p>
        </w:tc>
      </w:tr>
    </w:tbl>
    <w:p w14:paraId="6F49C4DC" w14:textId="03CA9581" w:rsidR="002A0259" w:rsidRDefault="002A0259">
      <w:pPr>
        <w:spacing w:before="240" w:line="240" w:lineRule="auto"/>
        <w:jc w:val="both"/>
        <w:rPr>
          <w:rFonts w:ascii="Times New Roman" w:eastAsia="Times New Roman" w:hAnsi="Times New Roman" w:cs="Times New Roman"/>
          <w:sz w:val="24"/>
          <w:szCs w:val="24"/>
        </w:rPr>
      </w:pPr>
    </w:p>
    <w:p w14:paraId="0DD63974" w14:textId="6E66C478" w:rsidR="00B42DD8" w:rsidRDefault="00B42DD8">
      <w:pPr>
        <w:spacing w:before="240" w:line="240" w:lineRule="auto"/>
        <w:jc w:val="both"/>
        <w:rPr>
          <w:rFonts w:ascii="Times New Roman" w:eastAsia="Times New Roman" w:hAnsi="Times New Roman" w:cs="Times New Roman"/>
          <w:sz w:val="24"/>
          <w:szCs w:val="24"/>
        </w:rPr>
      </w:pPr>
    </w:p>
    <w:p w14:paraId="2642F023" w14:textId="3B39F54A" w:rsidR="00B42DD8" w:rsidRDefault="00B42DD8">
      <w:pPr>
        <w:spacing w:before="240" w:line="240" w:lineRule="auto"/>
        <w:jc w:val="both"/>
        <w:rPr>
          <w:rFonts w:ascii="Times New Roman" w:eastAsia="Times New Roman" w:hAnsi="Times New Roman" w:cs="Times New Roman"/>
          <w:sz w:val="24"/>
          <w:szCs w:val="24"/>
        </w:rPr>
      </w:pPr>
    </w:p>
    <w:p w14:paraId="205C92F4" w14:textId="77777777" w:rsidR="00B42DD8" w:rsidRDefault="00B42DD8">
      <w:pPr>
        <w:spacing w:line="240" w:lineRule="auto"/>
        <w:jc w:val="both"/>
        <w:rPr>
          <w:rFonts w:ascii="Times New Roman" w:eastAsia="Times New Roman" w:hAnsi="Times New Roman" w:cs="Times New Roman"/>
          <w:sz w:val="24"/>
          <w:szCs w:val="24"/>
        </w:rPr>
      </w:pPr>
    </w:p>
    <w:p w14:paraId="609DF483" w14:textId="623A0BA4"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Table 4: HTMT values</w:t>
      </w:r>
    </w:p>
    <w:p w14:paraId="67DD7542" w14:textId="77777777" w:rsidR="00514843" w:rsidRDefault="00514843">
      <w:pPr>
        <w:spacing w:line="240" w:lineRule="auto"/>
        <w:jc w:val="both"/>
        <w:rPr>
          <w:rFonts w:ascii="Times New Roman" w:eastAsia="Times New Roman" w:hAnsi="Times New Roman" w:cs="Times New Roman"/>
          <w:sz w:val="24"/>
          <w:szCs w:val="24"/>
        </w:rPr>
      </w:pPr>
    </w:p>
    <w:tbl>
      <w:tblPr>
        <w:tblStyle w:val="a2"/>
        <w:tblW w:w="8637" w:type="dxa"/>
        <w:tblBorders>
          <w:top w:val="nil"/>
          <w:left w:val="nil"/>
          <w:bottom w:val="nil"/>
          <w:right w:val="nil"/>
          <w:insideH w:val="nil"/>
          <w:insideV w:val="nil"/>
        </w:tblBorders>
        <w:tblLayout w:type="fixed"/>
        <w:tblLook w:val="0600" w:firstRow="0" w:lastRow="0" w:firstColumn="0" w:lastColumn="0" w:noHBand="1" w:noVBand="1"/>
      </w:tblPr>
      <w:tblGrid>
        <w:gridCol w:w="2117"/>
        <w:gridCol w:w="2024"/>
        <w:gridCol w:w="2265"/>
        <w:gridCol w:w="1097"/>
        <w:gridCol w:w="1134"/>
      </w:tblGrid>
      <w:tr w:rsidR="002A0259" w14:paraId="74B5ED17" w14:textId="77777777" w:rsidTr="004A6112">
        <w:trPr>
          <w:trHeight w:val="467"/>
        </w:trPr>
        <w:tc>
          <w:tcPr>
            <w:tcW w:w="21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BA2008" w14:textId="77777777" w:rsidR="002A0259" w:rsidRDefault="002A0259" w:rsidP="00D40403">
            <w:pPr>
              <w:widowControl w:val="0"/>
              <w:spacing w:line="240" w:lineRule="auto"/>
              <w:jc w:val="both"/>
              <w:rPr>
                <w:rFonts w:ascii="Times New Roman" w:eastAsia="Times New Roman" w:hAnsi="Times New Roman" w:cs="Times New Roman"/>
                <w:sz w:val="24"/>
                <w:szCs w:val="24"/>
              </w:rPr>
            </w:pPr>
          </w:p>
        </w:tc>
        <w:tc>
          <w:tcPr>
            <w:tcW w:w="202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D6B8F99"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Original Sample (O)</w:t>
            </w:r>
          </w:p>
        </w:tc>
        <w:tc>
          <w:tcPr>
            <w:tcW w:w="22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270BF5E"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Sample Mean (M)</w:t>
            </w:r>
          </w:p>
        </w:tc>
        <w:tc>
          <w:tcPr>
            <w:tcW w:w="109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A6A4A5F"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AB3F474"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95%</w:t>
            </w:r>
          </w:p>
        </w:tc>
      </w:tr>
      <w:tr w:rsidR="002A0259" w14:paraId="213A0698"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557B3A"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EC -&gt; ATT</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24651AE4"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0.951</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55C566DC"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0.954</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1107E216"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0.831</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76792980"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1.080</w:t>
            </w:r>
          </w:p>
        </w:tc>
      </w:tr>
      <w:tr w:rsidR="002A0259" w14:paraId="23D5D9CC" w14:textId="77777777" w:rsidTr="004A6112">
        <w:trPr>
          <w:trHeight w:val="146"/>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A1BA8B2"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FK -&gt; ATT</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22238657"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0.777</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47E56AA2"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0.775</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7389714"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0.648</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6108A604"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0.887</w:t>
            </w:r>
          </w:p>
        </w:tc>
      </w:tr>
      <w:tr w:rsidR="002A0259" w14:paraId="40384B14" w14:textId="77777777" w:rsidTr="004A6112">
        <w:trPr>
          <w:trHeight w:val="13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E1121A0"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FK -&gt; EC</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5243F202"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0.817</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13A80C5F"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0.823</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0EF6397"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0.716</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6ACC71D8"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0.931</w:t>
            </w:r>
          </w:p>
        </w:tc>
      </w:tr>
      <w:tr w:rsidR="002A0259" w14:paraId="24EAC8DB" w14:textId="77777777" w:rsidTr="004A6112">
        <w:trPr>
          <w:trHeight w:val="38"/>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AA50F6A"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PP -&gt; ATT</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394D247C"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0.803</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5F7D6DC1"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0.801</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9E8749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0.678</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15CE42F1"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0.916</w:t>
            </w:r>
          </w:p>
        </w:tc>
      </w:tr>
      <w:tr w:rsidR="002A0259" w14:paraId="28FFC774" w14:textId="77777777" w:rsidTr="004A6112">
        <w:trPr>
          <w:trHeight w:val="275"/>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E2840F7"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FP -&gt; EC</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4951218A"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0.883</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488094D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0.884</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07DB7AB7"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0.778</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09FF7A34"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0.984</w:t>
            </w:r>
          </w:p>
        </w:tc>
      </w:tr>
      <w:tr w:rsidR="002A0259" w14:paraId="6D2A797D" w14:textId="77777777" w:rsidTr="004A6112">
        <w:trPr>
          <w:trHeight w:val="235"/>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7936735"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FP -&gt; FK</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6CEB53B0"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0.706</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1AF67576"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0.712</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7C04E058"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0.572</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621F7DD0"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0.838</w:t>
            </w:r>
          </w:p>
        </w:tc>
      </w:tr>
      <w:tr w:rsidR="002A0259" w14:paraId="76E1BE32"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83A3F4"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ITS -&gt; ATT</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02357EB8"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0.703</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594AF95D"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0.701</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2C4D382F"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0.499</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297133EC"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0.869</w:t>
            </w:r>
          </w:p>
        </w:tc>
      </w:tr>
      <w:tr w:rsidR="002A0259" w14:paraId="78510B11" w14:textId="77777777" w:rsidTr="004A6112">
        <w:trPr>
          <w:trHeight w:val="445"/>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4A7FB8"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ITS-&gt; EC</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3E12A3EA"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0.903</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6C271B53"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0.905</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3503EC2"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0.792</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288458D7"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1.008</w:t>
            </w:r>
          </w:p>
        </w:tc>
      </w:tr>
      <w:tr w:rsidR="002A0259" w14:paraId="0363BA91" w14:textId="77777777" w:rsidTr="004A6112">
        <w:trPr>
          <w:trHeight w:val="276"/>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2278A5"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ITS -&gt; FK</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3D7B3A51"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0.760</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3B79103D"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0.763</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2E70D3B2"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0.660</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39761DD8"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0.854</w:t>
            </w:r>
          </w:p>
        </w:tc>
      </w:tr>
      <w:tr w:rsidR="002A0259" w14:paraId="2A608B10"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F91103"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ITS -&gt; PP</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250E6CBE"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0.714</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356E87E5"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0.716</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C6031F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0.582</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416A6990"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0.834</w:t>
            </w:r>
          </w:p>
        </w:tc>
      </w:tr>
      <w:tr w:rsidR="002A0259" w14:paraId="6153065F"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C39ECE"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MN -&gt; AT</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6FB0354D"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0.920</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55F9BD76"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0.926</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8E646AF"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0.812</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65329A36"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1.036</w:t>
            </w:r>
          </w:p>
        </w:tc>
      </w:tr>
      <w:tr w:rsidR="002A0259" w14:paraId="794BF684"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2854E9"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MN-&gt; EC</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2B4E45CA"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1.044</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74D8135F"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1.052</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206C1E2C"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0.949</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6ECE3EC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1.169</w:t>
            </w:r>
          </w:p>
        </w:tc>
      </w:tr>
      <w:tr w:rsidR="002A0259" w14:paraId="6DF109F8"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23D210F"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MN -&gt; FK</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2E2A2713"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0.867</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2229C9AA"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0.878</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82A365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0.759</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4674125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0.999</w:t>
            </w:r>
          </w:p>
        </w:tc>
      </w:tr>
      <w:tr w:rsidR="002A0259" w14:paraId="58693268"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1851EC"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MN -&gt; FP</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670BBB0D"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0.886</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4813C647"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0.897</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9AA627E"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0.766</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5891474D"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0.999</w:t>
            </w:r>
          </w:p>
        </w:tc>
      </w:tr>
      <w:tr w:rsidR="002A0259" w14:paraId="6A15A1F8" w14:textId="77777777" w:rsidTr="00514843">
        <w:trPr>
          <w:trHeight w:val="20"/>
        </w:trPr>
        <w:tc>
          <w:tcPr>
            <w:tcW w:w="2117"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56BFAD07"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MN -&gt; ITS</w:t>
            </w:r>
          </w:p>
        </w:tc>
        <w:tc>
          <w:tcPr>
            <w:tcW w:w="2024" w:type="dxa"/>
            <w:tcBorders>
              <w:top w:val="nil"/>
              <w:left w:val="nil"/>
              <w:bottom w:val="single" w:sz="4" w:space="0" w:color="auto"/>
              <w:right w:val="single" w:sz="8" w:space="0" w:color="000000"/>
            </w:tcBorders>
            <w:tcMar>
              <w:top w:w="100" w:type="dxa"/>
              <w:left w:w="100" w:type="dxa"/>
              <w:bottom w:w="100" w:type="dxa"/>
              <w:right w:w="100" w:type="dxa"/>
            </w:tcMar>
          </w:tcPr>
          <w:p w14:paraId="125DB8F1"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265" w:type="dxa"/>
            <w:tcBorders>
              <w:top w:val="nil"/>
              <w:left w:val="nil"/>
              <w:bottom w:val="single" w:sz="4" w:space="0" w:color="auto"/>
              <w:right w:val="single" w:sz="8" w:space="0" w:color="000000"/>
            </w:tcBorders>
            <w:tcMar>
              <w:top w:w="100" w:type="dxa"/>
              <w:left w:w="100" w:type="dxa"/>
              <w:bottom w:w="100" w:type="dxa"/>
              <w:right w:w="100" w:type="dxa"/>
            </w:tcMar>
          </w:tcPr>
          <w:p w14:paraId="308CAF66"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0.917</w:t>
            </w:r>
          </w:p>
        </w:tc>
        <w:tc>
          <w:tcPr>
            <w:tcW w:w="1097" w:type="dxa"/>
            <w:tcBorders>
              <w:top w:val="nil"/>
              <w:left w:val="nil"/>
              <w:bottom w:val="single" w:sz="4" w:space="0" w:color="auto"/>
              <w:right w:val="single" w:sz="8" w:space="0" w:color="000000"/>
            </w:tcBorders>
            <w:tcMar>
              <w:top w:w="100" w:type="dxa"/>
              <w:left w:w="100" w:type="dxa"/>
              <w:bottom w:w="100" w:type="dxa"/>
              <w:right w:w="100" w:type="dxa"/>
            </w:tcMar>
          </w:tcPr>
          <w:p w14:paraId="20319839"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0.791</w:t>
            </w:r>
          </w:p>
        </w:tc>
        <w:tc>
          <w:tcPr>
            <w:tcW w:w="1134" w:type="dxa"/>
            <w:tcBorders>
              <w:top w:val="nil"/>
              <w:left w:val="nil"/>
              <w:bottom w:val="single" w:sz="4" w:space="0" w:color="auto"/>
              <w:right w:val="single" w:sz="8" w:space="0" w:color="000000"/>
            </w:tcBorders>
            <w:tcMar>
              <w:top w:w="100" w:type="dxa"/>
              <w:left w:w="100" w:type="dxa"/>
              <w:bottom w:w="100" w:type="dxa"/>
              <w:right w:w="100" w:type="dxa"/>
            </w:tcMar>
          </w:tcPr>
          <w:p w14:paraId="29A99714"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1.030</w:t>
            </w:r>
          </w:p>
        </w:tc>
      </w:tr>
      <w:tr w:rsidR="002A0259" w14:paraId="66B3C95F" w14:textId="77777777" w:rsidTr="00514843">
        <w:trPr>
          <w:trHeight w:val="20"/>
        </w:trPr>
        <w:tc>
          <w:tcPr>
            <w:tcW w:w="2117"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5AF3A0C7"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PBC -&gt; ATT</w:t>
            </w:r>
          </w:p>
        </w:tc>
        <w:tc>
          <w:tcPr>
            <w:tcW w:w="2024"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4F6BCB88"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0.919</w:t>
            </w:r>
          </w:p>
        </w:tc>
        <w:tc>
          <w:tcPr>
            <w:tcW w:w="2265"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756C070E"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0.925</w:t>
            </w:r>
          </w:p>
        </w:tc>
        <w:tc>
          <w:tcPr>
            <w:tcW w:w="1097"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4C579E72"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0.832</w:t>
            </w:r>
          </w:p>
        </w:tc>
        <w:tc>
          <w:tcPr>
            <w:tcW w:w="1134"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586646B7"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1.023</w:t>
            </w:r>
          </w:p>
        </w:tc>
      </w:tr>
      <w:tr w:rsidR="002A0259" w14:paraId="56432FBB" w14:textId="77777777" w:rsidTr="00514843">
        <w:trPr>
          <w:trHeight w:val="20"/>
        </w:trPr>
        <w:tc>
          <w:tcPr>
            <w:tcW w:w="2117"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1A413B1F"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PBC -&gt; EC</w:t>
            </w:r>
          </w:p>
        </w:tc>
        <w:tc>
          <w:tcPr>
            <w:tcW w:w="2024"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385E688"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0.912</w:t>
            </w:r>
          </w:p>
        </w:tc>
        <w:tc>
          <w:tcPr>
            <w:tcW w:w="226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2E9DA2E"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0.913</w:t>
            </w:r>
          </w:p>
        </w:tc>
        <w:tc>
          <w:tcPr>
            <w:tcW w:w="1097"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7063EA54"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0.788</w:t>
            </w:r>
          </w:p>
        </w:tc>
        <w:tc>
          <w:tcPr>
            <w:tcW w:w="1134"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44218DA1"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1.027</w:t>
            </w:r>
          </w:p>
        </w:tc>
      </w:tr>
      <w:tr w:rsidR="002A0259" w14:paraId="38D74409" w14:textId="77777777" w:rsidTr="004A6112">
        <w:trPr>
          <w:trHeight w:val="104"/>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8AF565"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PBC -&gt; FK</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6FF50313"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0.850</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2583D283"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0.853</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D2FA090"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0.769</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372F9E43"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0.939</w:t>
            </w:r>
          </w:p>
        </w:tc>
      </w:tr>
      <w:tr w:rsidR="002A0259" w14:paraId="6A5F1A12"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59E2FD"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PBC -&gt; FP</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5465D5F5"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0.754</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61CDEDDF"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0.761</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42B63FF"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0.619</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7FA7FB42"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0.897</w:t>
            </w:r>
          </w:p>
        </w:tc>
      </w:tr>
      <w:tr w:rsidR="002A0259" w14:paraId="717298DA"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78118F"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PBC -&gt; ITS</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62467FCD"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0.744</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45A1C80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0.744</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A842F67"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0.580</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6C1B615A"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0.868</w:t>
            </w:r>
          </w:p>
        </w:tc>
      </w:tr>
      <w:tr w:rsidR="002A0259" w14:paraId="643E68C5"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5ED768"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PBC -&gt; MN</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557AA67E"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0.930</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5D521753"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0.934</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155A60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0.833</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3DCFB423"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1.033</w:t>
            </w:r>
          </w:p>
        </w:tc>
      </w:tr>
      <w:tr w:rsidR="002A0259" w14:paraId="2B80697D"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464766"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 -&gt; ATT</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282DFB3C"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0.921</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070BE4D9"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0.927</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E570736"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0.813</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1BBC8D2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1.042</w:t>
            </w:r>
          </w:p>
        </w:tc>
      </w:tr>
      <w:tr w:rsidR="002A0259" w14:paraId="0CB25A43"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5BA318"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 -&gt; EC</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6E8CC2E2"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0.864</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291D38FC"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0.866</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11FF024"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0.760</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214C71B1"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0.972</w:t>
            </w:r>
          </w:p>
        </w:tc>
      </w:tr>
      <w:tr w:rsidR="002A0259" w14:paraId="1D33C9D7"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3D7057"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 -&gt; FK</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1D0B95B2"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0.741</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607A8A34"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0.744</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5814E41A"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0.627</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347F92E9"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0.856</w:t>
            </w:r>
          </w:p>
        </w:tc>
      </w:tr>
      <w:tr w:rsidR="002A0259" w14:paraId="650C68C7" w14:textId="77777777" w:rsidTr="004A6112">
        <w:trPr>
          <w:trHeight w:val="159"/>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D304BC"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 -&gt; PP</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48699303"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0.809</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1539B774"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0.813</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23F9D0D"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0.685</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3D78F99A"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0.942</w:t>
            </w:r>
          </w:p>
        </w:tc>
      </w:tr>
      <w:tr w:rsidR="002A0259" w14:paraId="0F350A3C" w14:textId="77777777" w:rsidTr="004A6112">
        <w:trPr>
          <w:trHeight w:val="526"/>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1C8059"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 -&gt; ITS</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687498F1"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0.751</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5C1C41BF"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0.751</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3132151"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0.561</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4FF1ED9A"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0.895</w:t>
            </w:r>
          </w:p>
        </w:tc>
      </w:tr>
      <w:tr w:rsidR="002A0259" w14:paraId="75C0D23F" w14:textId="77777777" w:rsidTr="004A6112">
        <w:trPr>
          <w:trHeight w:val="195"/>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D658BF"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 -&gt; MN</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3A174CA9"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0.912</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2AE4CEDB"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0.915</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26E0763C"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0.799</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0C24AB00"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1.017</w:t>
            </w:r>
          </w:p>
        </w:tc>
      </w:tr>
      <w:tr w:rsidR="002A0259" w14:paraId="658A5613" w14:textId="77777777" w:rsidTr="004A6112">
        <w:trPr>
          <w:trHeight w:val="20"/>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14EC462" w14:textId="77777777" w:rsidR="002A0259" w:rsidRDefault="00343186" w:rsidP="00D40403">
            <w:pPr>
              <w:spacing w:before="240" w:line="240" w:lineRule="auto"/>
              <w:ind w:left="140" w:right="1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 -&gt; PBC</w:t>
            </w:r>
          </w:p>
        </w:tc>
        <w:tc>
          <w:tcPr>
            <w:tcW w:w="2024" w:type="dxa"/>
            <w:tcBorders>
              <w:top w:val="nil"/>
              <w:left w:val="nil"/>
              <w:bottom w:val="single" w:sz="8" w:space="0" w:color="000000"/>
              <w:right w:val="single" w:sz="8" w:space="0" w:color="000000"/>
            </w:tcBorders>
            <w:tcMar>
              <w:top w:w="100" w:type="dxa"/>
              <w:left w:w="100" w:type="dxa"/>
              <w:bottom w:w="100" w:type="dxa"/>
              <w:right w:w="100" w:type="dxa"/>
            </w:tcMar>
          </w:tcPr>
          <w:p w14:paraId="45D0A311"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0.945</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14:paraId="700C973E"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0.945</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2E13298C"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0.853</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302DBBCC" w14:textId="77777777" w:rsidR="002A0259" w:rsidRDefault="00343186" w:rsidP="00D40403">
            <w:pPr>
              <w:spacing w:before="240" w:line="240" w:lineRule="auto"/>
              <w:ind w:left="1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0.025</w:t>
            </w:r>
          </w:p>
        </w:tc>
      </w:tr>
    </w:tbl>
    <w:p w14:paraId="0715165C" w14:textId="77777777" w:rsidR="002A0259" w:rsidRDefault="002A0259">
      <w:pPr>
        <w:spacing w:line="240" w:lineRule="auto"/>
        <w:jc w:val="both"/>
        <w:rPr>
          <w:rFonts w:ascii="Times New Roman" w:eastAsia="Times New Roman" w:hAnsi="Times New Roman" w:cs="Times New Roman"/>
          <w:sz w:val="24"/>
          <w:szCs w:val="24"/>
        </w:rPr>
      </w:pPr>
    </w:p>
    <w:p w14:paraId="4F0779C6" w14:textId="139CE84B" w:rsidR="002A0259" w:rsidRDefault="002A0259">
      <w:pPr>
        <w:spacing w:line="240" w:lineRule="auto"/>
        <w:jc w:val="both"/>
        <w:rPr>
          <w:rFonts w:ascii="Times New Roman" w:eastAsia="Times New Roman" w:hAnsi="Times New Roman" w:cs="Times New Roman"/>
          <w:sz w:val="24"/>
          <w:szCs w:val="24"/>
        </w:rPr>
      </w:pPr>
    </w:p>
    <w:p w14:paraId="058843AA" w14:textId="57988FFF" w:rsidR="004A6112" w:rsidRDefault="004A6112">
      <w:pPr>
        <w:spacing w:line="240" w:lineRule="auto"/>
        <w:jc w:val="both"/>
        <w:rPr>
          <w:rFonts w:ascii="Times New Roman" w:eastAsia="Times New Roman" w:hAnsi="Times New Roman" w:cs="Times New Roman"/>
          <w:sz w:val="24"/>
          <w:szCs w:val="24"/>
        </w:rPr>
      </w:pPr>
    </w:p>
    <w:p w14:paraId="12D90F2B" w14:textId="2C279CD2" w:rsidR="004A6112" w:rsidRDefault="004A6112">
      <w:pPr>
        <w:spacing w:line="240" w:lineRule="auto"/>
        <w:jc w:val="both"/>
        <w:rPr>
          <w:rFonts w:ascii="Times New Roman" w:eastAsia="Times New Roman" w:hAnsi="Times New Roman" w:cs="Times New Roman"/>
          <w:sz w:val="24"/>
          <w:szCs w:val="24"/>
        </w:rPr>
      </w:pPr>
    </w:p>
    <w:p w14:paraId="06B7E09C" w14:textId="57307C9D" w:rsidR="004A6112" w:rsidRDefault="004A6112">
      <w:pPr>
        <w:spacing w:line="240" w:lineRule="auto"/>
        <w:jc w:val="both"/>
        <w:rPr>
          <w:rFonts w:ascii="Times New Roman" w:eastAsia="Times New Roman" w:hAnsi="Times New Roman" w:cs="Times New Roman"/>
          <w:sz w:val="24"/>
          <w:szCs w:val="24"/>
        </w:rPr>
      </w:pPr>
    </w:p>
    <w:p w14:paraId="7A2978DC" w14:textId="240E8A5B" w:rsidR="004A6112" w:rsidRDefault="004A6112">
      <w:pPr>
        <w:spacing w:line="240" w:lineRule="auto"/>
        <w:jc w:val="both"/>
        <w:rPr>
          <w:rFonts w:ascii="Times New Roman" w:eastAsia="Times New Roman" w:hAnsi="Times New Roman" w:cs="Times New Roman"/>
          <w:sz w:val="24"/>
          <w:szCs w:val="24"/>
        </w:rPr>
      </w:pPr>
    </w:p>
    <w:p w14:paraId="5CDE9767" w14:textId="62633C28" w:rsidR="004A6112" w:rsidRDefault="004A6112">
      <w:pPr>
        <w:spacing w:line="240" w:lineRule="auto"/>
        <w:jc w:val="both"/>
        <w:rPr>
          <w:rFonts w:ascii="Times New Roman" w:eastAsia="Times New Roman" w:hAnsi="Times New Roman" w:cs="Times New Roman"/>
          <w:sz w:val="24"/>
          <w:szCs w:val="24"/>
        </w:rPr>
      </w:pPr>
    </w:p>
    <w:p w14:paraId="1407C065" w14:textId="086CB1D2" w:rsidR="004A6112" w:rsidRDefault="004A6112">
      <w:pPr>
        <w:spacing w:line="240" w:lineRule="auto"/>
        <w:jc w:val="both"/>
        <w:rPr>
          <w:rFonts w:ascii="Times New Roman" w:eastAsia="Times New Roman" w:hAnsi="Times New Roman" w:cs="Times New Roman"/>
          <w:sz w:val="24"/>
          <w:szCs w:val="24"/>
        </w:rPr>
      </w:pPr>
    </w:p>
    <w:p w14:paraId="4CEE7192" w14:textId="7287D54A" w:rsidR="004A6112" w:rsidRDefault="004A6112">
      <w:pPr>
        <w:spacing w:line="240" w:lineRule="auto"/>
        <w:jc w:val="both"/>
        <w:rPr>
          <w:rFonts w:ascii="Times New Roman" w:eastAsia="Times New Roman" w:hAnsi="Times New Roman" w:cs="Times New Roman"/>
          <w:sz w:val="24"/>
          <w:szCs w:val="24"/>
        </w:rPr>
      </w:pPr>
    </w:p>
    <w:p w14:paraId="600E5D42" w14:textId="221CA40A" w:rsidR="004A6112" w:rsidRDefault="004A6112">
      <w:pPr>
        <w:spacing w:line="240" w:lineRule="auto"/>
        <w:jc w:val="both"/>
        <w:rPr>
          <w:rFonts w:ascii="Times New Roman" w:eastAsia="Times New Roman" w:hAnsi="Times New Roman" w:cs="Times New Roman"/>
          <w:sz w:val="24"/>
          <w:szCs w:val="24"/>
        </w:rPr>
      </w:pPr>
    </w:p>
    <w:p w14:paraId="3FCDDF29" w14:textId="57F70554" w:rsidR="004A6112" w:rsidRDefault="004A6112">
      <w:pPr>
        <w:spacing w:line="240" w:lineRule="auto"/>
        <w:jc w:val="both"/>
        <w:rPr>
          <w:rFonts w:ascii="Times New Roman" w:eastAsia="Times New Roman" w:hAnsi="Times New Roman" w:cs="Times New Roman"/>
          <w:sz w:val="24"/>
          <w:szCs w:val="24"/>
        </w:rPr>
      </w:pPr>
    </w:p>
    <w:p w14:paraId="3A9454C3" w14:textId="6784903C" w:rsidR="004A6112" w:rsidRDefault="004A6112">
      <w:pPr>
        <w:spacing w:line="240" w:lineRule="auto"/>
        <w:jc w:val="both"/>
        <w:rPr>
          <w:rFonts w:ascii="Times New Roman" w:eastAsia="Times New Roman" w:hAnsi="Times New Roman" w:cs="Times New Roman"/>
          <w:sz w:val="24"/>
          <w:szCs w:val="24"/>
        </w:rPr>
      </w:pPr>
    </w:p>
    <w:p w14:paraId="639E2E01" w14:textId="4657BEE5" w:rsidR="004A6112" w:rsidRDefault="004A6112">
      <w:pPr>
        <w:spacing w:line="240" w:lineRule="auto"/>
        <w:jc w:val="both"/>
        <w:rPr>
          <w:rFonts w:ascii="Times New Roman" w:eastAsia="Times New Roman" w:hAnsi="Times New Roman" w:cs="Times New Roman"/>
          <w:sz w:val="24"/>
          <w:szCs w:val="24"/>
        </w:rPr>
      </w:pPr>
    </w:p>
    <w:p w14:paraId="2F432B90" w14:textId="77777777" w:rsidR="004A6112" w:rsidRDefault="004A6112">
      <w:pPr>
        <w:spacing w:line="240" w:lineRule="auto"/>
        <w:jc w:val="both"/>
        <w:rPr>
          <w:rFonts w:ascii="Times New Roman" w:eastAsia="Times New Roman" w:hAnsi="Times New Roman" w:cs="Times New Roman"/>
          <w:sz w:val="24"/>
          <w:szCs w:val="24"/>
        </w:rPr>
      </w:pPr>
    </w:p>
    <w:p w14:paraId="6CD77D2A" w14:textId="77777777" w:rsidR="002A0259" w:rsidRDefault="002A0259">
      <w:pPr>
        <w:spacing w:line="240" w:lineRule="auto"/>
        <w:jc w:val="both"/>
        <w:rPr>
          <w:rFonts w:ascii="Times New Roman" w:eastAsia="Times New Roman" w:hAnsi="Times New Roman" w:cs="Times New Roman"/>
          <w:sz w:val="24"/>
          <w:szCs w:val="24"/>
        </w:rPr>
      </w:pPr>
    </w:p>
    <w:p w14:paraId="21E9A51A" w14:textId="3C7C6E32" w:rsidR="002A0259" w:rsidRDefault="00343186" w:rsidP="004A6112">
      <w:pPr>
        <w:spacing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Table 5: Fornell - Lacker Criterion Analysis</w:t>
      </w:r>
    </w:p>
    <w:p w14:paraId="0C9C461A" w14:textId="77777777" w:rsidR="00514843" w:rsidRPr="004A6112" w:rsidRDefault="00514843" w:rsidP="004A6112">
      <w:pPr>
        <w:spacing w:line="240" w:lineRule="auto"/>
        <w:jc w:val="both"/>
        <w:rPr>
          <w:rFonts w:ascii="Times New Roman" w:eastAsia="Times New Roman" w:hAnsi="Times New Roman" w:cs="Times New Roman"/>
          <w:sz w:val="24"/>
          <w:szCs w:val="24"/>
        </w:rPr>
      </w:pPr>
    </w:p>
    <w:tbl>
      <w:tblPr>
        <w:tblStyle w:val="a3"/>
        <w:tblW w:w="9322" w:type="dxa"/>
        <w:tblBorders>
          <w:top w:val="nil"/>
          <w:left w:val="nil"/>
          <w:bottom w:val="nil"/>
          <w:right w:val="nil"/>
          <w:insideH w:val="nil"/>
          <w:insideV w:val="nil"/>
        </w:tblBorders>
        <w:tblLayout w:type="fixed"/>
        <w:tblLook w:val="0600" w:firstRow="0" w:lastRow="0" w:firstColumn="0" w:lastColumn="0" w:noHBand="1" w:noVBand="1"/>
      </w:tblPr>
      <w:tblGrid>
        <w:gridCol w:w="927"/>
        <w:gridCol w:w="1049"/>
        <w:gridCol w:w="1050"/>
        <w:gridCol w:w="1050"/>
        <w:gridCol w:w="1050"/>
        <w:gridCol w:w="1050"/>
        <w:gridCol w:w="1050"/>
        <w:gridCol w:w="1050"/>
        <w:gridCol w:w="1046"/>
      </w:tblGrid>
      <w:tr w:rsidR="00B42DD8" w:rsidRPr="004A6112" w14:paraId="7F73A3EC" w14:textId="77777777" w:rsidTr="00B42DD8">
        <w:trPr>
          <w:trHeight w:val="20"/>
        </w:trPr>
        <w:tc>
          <w:tcPr>
            <w:tcW w:w="9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6F9F34" w14:textId="77777777" w:rsidR="002A0259" w:rsidRPr="004A6112" w:rsidRDefault="002A0259" w:rsidP="004A6112">
            <w:pPr>
              <w:spacing w:before="240" w:after="240" w:line="240" w:lineRule="auto"/>
              <w:jc w:val="both"/>
              <w:rPr>
                <w:rFonts w:ascii="Times New Roman" w:eastAsia="Times New Roman" w:hAnsi="Times New Roman" w:cs="Times New Roman"/>
                <w:b/>
                <w:sz w:val="24"/>
                <w:szCs w:val="24"/>
              </w:rPr>
            </w:pPr>
          </w:p>
        </w:tc>
        <w:tc>
          <w:tcPr>
            <w:tcW w:w="104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43B4FAE"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ATT</w:t>
            </w:r>
          </w:p>
        </w:tc>
        <w:tc>
          <w:tcPr>
            <w:tcW w:w="10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26C8C1F"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EC</w:t>
            </w:r>
          </w:p>
        </w:tc>
        <w:tc>
          <w:tcPr>
            <w:tcW w:w="10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94846CB"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FK</w:t>
            </w:r>
          </w:p>
        </w:tc>
        <w:tc>
          <w:tcPr>
            <w:tcW w:w="10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4D0C92B"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PP</w:t>
            </w:r>
          </w:p>
        </w:tc>
        <w:tc>
          <w:tcPr>
            <w:tcW w:w="10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C22DEB"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ITS</w:t>
            </w:r>
          </w:p>
        </w:tc>
        <w:tc>
          <w:tcPr>
            <w:tcW w:w="10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C686C29"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MN</w:t>
            </w:r>
          </w:p>
        </w:tc>
        <w:tc>
          <w:tcPr>
            <w:tcW w:w="10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D0A27EE"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PBC</w:t>
            </w:r>
          </w:p>
        </w:tc>
        <w:tc>
          <w:tcPr>
            <w:tcW w:w="104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9AA906E"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SN</w:t>
            </w:r>
          </w:p>
        </w:tc>
      </w:tr>
      <w:tr w:rsidR="00B42DD8" w:rsidRPr="004A6112" w14:paraId="2DD167C4" w14:textId="77777777" w:rsidTr="00B42DD8">
        <w:trPr>
          <w:trHeight w:val="16"/>
        </w:trPr>
        <w:tc>
          <w:tcPr>
            <w:tcW w:w="9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649E61"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ATT</w:t>
            </w:r>
          </w:p>
        </w:tc>
        <w:tc>
          <w:tcPr>
            <w:tcW w:w="1049" w:type="dxa"/>
            <w:tcBorders>
              <w:top w:val="nil"/>
              <w:left w:val="nil"/>
              <w:bottom w:val="single" w:sz="8" w:space="0" w:color="000000"/>
              <w:right w:val="single" w:sz="8" w:space="0" w:color="000000"/>
            </w:tcBorders>
            <w:tcMar>
              <w:top w:w="100" w:type="dxa"/>
              <w:left w:w="100" w:type="dxa"/>
              <w:bottom w:w="100" w:type="dxa"/>
              <w:right w:w="100" w:type="dxa"/>
            </w:tcMar>
          </w:tcPr>
          <w:p w14:paraId="391CBCA4"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0.786</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1E7DAB68"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562587BA"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78D4C754"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15EFDCC7"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DF56A21"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3AF5316E"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46" w:type="dxa"/>
            <w:tcBorders>
              <w:top w:val="nil"/>
              <w:left w:val="nil"/>
              <w:bottom w:val="single" w:sz="8" w:space="0" w:color="000000"/>
              <w:right w:val="single" w:sz="8" w:space="0" w:color="000000"/>
            </w:tcBorders>
            <w:tcMar>
              <w:top w:w="100" w:type="dxa"/>
              <w:left w:w="100" w:type="dxa"/>
              <w:bottom w:w="100" w:type="dxa"/>
              <w:right w:w="100" w:type="dxa"/>
            </w:tcMar>
          </w:tcPr>
          <w:p w14:paraId="6B7620B3"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r>
      <w:tr w:rsidR="00B42DD8" w:rsidRPr="004A6112" w14:paraId="709CCD6A" w14:textId="77777777" w:rsidTr="00B42DD8">
        <w:trPr>
          <w:trHeight w:val="58"/>
        </w:trPr>
        <w:tc>
          <w:tcPr>
            <w:tcW w:w="9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586A40B"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EC</w:t>
            </w:r>
          </w:p>
        </w:tc>
        <w:tc>
          <w:tcPr>
            <w:tcW w:w="1049" w:type="dxa"/>
            <w:tcBorders>
              <w:top w:val="nil"/>
              <w:left w:val="nil"/>
              <w:bottom w:val="single" w:sz="8" w:space="0" w:color="000000"/>
              <w:right w:val="single" w:sz="8" w:space="0" w:color="000000"/>
            </w:tcBorders>
            <w:tcMar>
              <w:top w:w="100" w:type="dxa"/>
              <w:left w:w="100" w:type="dxa"/>
              <w:bottom w:w="100" w:type="dxa"/>
              <w:right w:w="100" w:type="dxa"/>
            </w:tcMar>
          </w:tcPr>
          <w:p w14:paraId="29500BAB"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0.660</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7EDC7882"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0.786</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6B0807D0"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E20A8AE"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35F3E744"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68FBDD30"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1617133"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46" w:type="dxa"/>
            <w:tcBorders>
              <w:top w:val="nil"/>
              <w:left w:val="nil"/>
              <w:bottom w:val="single" w:sz="8" w:space="0" w:color="000000"/>
              <w:right w:val="single" w:sz="8" w:space="0" w:color="000000"/>
            </w:tcBorders>
            <w:tcMar>
              <w:top w:w="100" w:type="dxa"/>
              <w:left w:w="100" w:type="dxa"/>
              <w:bottom w:w="100" w:type="dxa"/>
              <w:right w:w="100" w:type="dxa"/>
            </w:tcMar>
          </w:tcPr>
          <w:p w14:paraId="3240878C"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r>
      <w:tr w:rsidR="00B42DD8" w:rsidRPr="004A6112" w14:paraId="1062EA5B" w14:textId="77777777" w:rsidTr="00B42DD8">
        <w:trPr>
          <w:trHeight w:val="58"/>
        </w:trPr>
        <w:tc>
          <w:tcPr>
            <w:tcW w:w="9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A814741"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FK</w:t>
            </w:r>
          </w:p>
        </w:tc>
        <w:tc>
          <w:tcPr>
            <w:tcW w:w="1049" w:type="dxa"/>
            <w:tcBorders>
              <w:top w:val="nil"/>
              <w:left w:val="nil"/>
              <w:bottom w:val="single" w:sz="8" w:space="0" w:color="000000"/>
              <w:right w:val="single" w:sz="8" w:space="0" w:color="000000"/>
            </w:tcBorders>
            <w:tcMar>
              <w:top w:w="100" w:type="dxa"/>
              <w:left w:w="100" w:type="dxa"/>
              <w:bottom w:w="100" w:type="dxa"/>
              <w:right w:w="100" w:type="dxa"/>
            </w:tcMar>
          </w:tcPr>
          <w:p w14:paraId="5C976A3E"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0.571</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37D3C05D"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0.596</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51878295"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0.832</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56A95CF4"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3A5FD9C7"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0A3278AB"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4D4BF5A3"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46" w:type="dxa"/>
            <w:tcBorders>
              <w:top w:val="nil"/>
              <w:left w:val="nil"/>
              <w:bottom w:val="single" w:sz="8" w:space="0" w:color="000000"/>
              <w:right w:val="single" w:sz="8" w:space="0" w:color="000000"/>
            </w:tcBorders>
            <w:tcMar>
              <w:top w:w="100" w:type="dxa"/>
              <w:left w:w="100" w:type="dxa"/>
              <w:bottom w:w="100" w:type="dxa"/>
              <w:right w:w="100" w:type="dxa"/>
            </w:tcMar>
          </w:tcPr>
          <w:p w14:paraId="761B4CEC"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r>
      <w:tr w:rsidR="00B42DD8" w:rsidRPr="004A6112" w14:paraId="491E1979" w14:textId="77777777" w:rsidTr="00B42DD8">
        <w:trPr>
          <w:trHeight w:val="58"/>
        </w:trPr>
        <w:tc>
          <w:tcPr>
            <w:tcW w:w="9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C558D6"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PP</w:t>
            </w:r>
          </w:p>
        </w:tc>
        <w:tc>
          <w:tcPr>
            <w:tcW w:w="1049" w:type="dxa"/>
            <w:tcBorders>
              <w:top w:val="nil"/>
              <w:left w:val="nil"/>
              <w:bottom w:val="single" w:sz="8" w:space="0" w:color="000000"/>
              <w:right w:val="single" w:sz="8" w:space="0" w:color="000000"/>
            </w:tcBorders>
            <w:tcMar>
              <w:top w:w="100" w:type="dxa"/>
              <w:left w:w="100" w:type="dxa"/>
              <w:bottom w:w="100" w:type="dxa"/>
              <w:right w:w="100" w:type="dxa"/>
            </w:tcMar>
          </w:tcPr>
          <w:p w14:paraId="56EDD0EC"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0.550</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7C74DD00"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0.602</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A4F3F17"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0.529</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3D341306"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0.786</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11CA9377"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387FE3F"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33316B56"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46" w:type="dxa"/>
            <w:tcBorders>
              <w:top w:val="nil"/>
              <w:left w:val="nil"/>
              <w:bottom w:val="single" w:sz="8" w:space="0" w:color="000000"/>
              <w:right w:val="single" w:sz="8" w:space="0" w:color="000000"/>
            </w:tcBorders>
            <w:tcMar>
              <w:top w:w="100" w:type="dxa"/>
              <w:left w:w="100" w:type="dxa"/>
              <w:bottom w:w="100" w:type="dxa"/>
              <w:right w:w="100" w:type="dxa"/>
            </w:tcMar>
          </w:tcPr>
          <w:p w14:paraId="09EFA1C8"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r>
      <w:tr w:rsidR="00B42DD8" w:rsidRPr="004A6112" w14:paraId="3AF29CDE" w14:textId="77777777" w:rsidTr="00B42DD8">
        <w:trPr>
          <w:trHeight w:val="58"/>
        </w:trPr>
        <w:tc>
          <w:tcPr>
            <w:tcW w:w="9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C40A0E"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ITS</w:t>
            </w:r>
          </w:p>
        </w:tc>
        <w:tc>
          <w:tcPr>
            <w:tcW w:w="1049" w:type="dxa"/>
            <w:tcBorders>
              <w:top w:val="nil"/>
              <w:left w:val="nil"/>
              <w:bottom w:val="single" w:sz="8" w:space="0" w:color="000000"/>
              <w:right w:val="single" w:sz="8" w:space="0" w:color="000000"/>
            </w:tcBorders>
            <w:tcMar>
              <w:top w:w="100" w:type="dxa"/>
              <w:left w:w="100" w:type="dxa"/>
              <w:bottom w:w="100" w:type="dxa"/>
              <w:right w:w="100" w:type="dxa"/>
            </w:tcMar>
          </w:tcPr>
          <w:p w14:paraId="55C27F6B"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0.524</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19F1EE3"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0.665</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7070BD55"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0.603</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301C6209"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0.546</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4BE9CC5C"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0.836</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6351BE23"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51F820F3"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46" w:type="dxa"/>
            <w:tcBorders>
              <w:top w:val="nil"/>
              <w:left w:val="nil"/>
              <w:bottom w:val="single" w:sz="8" w:space="0" w:color="000000"/>
              <w:right w:val="single" w:sz="8" w:space="0" w:color="000000"/>
            </w:tcBorders>
            <w:tcMar>
              <w:top w:w="100" w:type="dxa"/>
              <w:left w:w="100" w:type="dxa"/>
              <w:bottom w:w="100" w:type="dxa"/>
              <w:right w:w="100" w:type="dxa"/>
            </w:tcMar>
          </w:tcPr>
          <w:p w14:paraId="3714FB1F"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r>
      <w:tr w:rsidR="00B42DD8" w:rsidRPr="004A6112" w14:paraId="22BD6A17" w14:textId="77777777" w:rsidTr="00B42DD8">
        <w:trPr>
          <w:trHeight w:val="58"/>
        </w:trPr>
        <w:tc>
          <w:tcPr>
            <w:tcW w:w="9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878CADE"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MN</w:t>
            </w:r>
          </w:p>
        </w:tc>
        <w:tc>
          <w:tcPr>
            <w:tcW w:w="1049" w:type="dxa"/>
            <w:tcBorders>
              <w:top w:val="nil"/>
              <w:left w:val="nil"/>
              <w:bottom w:val="single" w:sz="8" w:space="0" w:color="000000"/>
              <w:right w:val="single" w:sz="8" w:space="0" w:color="000000"/>
            </w:tcBorders>
            <w:tcMar>
              <w:top w:w="100" w:type="dxa"/>
              <w:left w:w="100" w:type="dxa"/>
              <w:bottom w:w="100" w:type="dxa"/>
              <w:right w:w="100" w:type="dxa"/>
            </w:tcMar>
          </w:tcPr>
          <w:p w14:paraId="1D0B4E70"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0.629</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55CCE378"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0.714</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303F690F"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0.630</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0BAE1E99"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0.622</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31D88543"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0.669</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5A7D1F39"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0.779</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0D23BD47"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c>
          <w:tcPr>
            <w:tcW w:w="1046" w:type="dxa"/>
            <w:tcBorders>
              <w:top w:val="nil"/>
              <w:left w:val="nil"/>
              <w:bottom w:val="single" w:sz="8" w:space="0" w:color="000000"/>
              <w:right w:val="single" w:sz="8" w:space="0" w:color="000000"/>
            </w:tcBorders>
            <w:tcMar>
              <w:top w:w="100" w:type="dxa"/>
              <w:left w:w="100" w:type="dxa"/>
              <w:bottom w:w="100" w:type="dxa"/>
              <w:right w:w="100" w:type="dxa"/>
            </w:tcMar>
          </w:tcPr>
          <w:p w14:paraId="2F211207"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r>
      <w:tr w:rsidR="00B42DD8" w:rsidRPr="004A6112" w14:paraId="669EC333" w14:textId="77777777" w:rsidTr="00B42DD8">
        <w:trPr>
          <w:trHeight w:val="58"/>
        </w:trPr>
        <w:tc>
          <w:tcPr>
            <w:tcW w:w="9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9BBC23"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PBC</w:t>
            </w:r>
          </w:p>
        </w:tc>
        <w:tc>
          <w:tcPr>
            <w:tcW w:w="1049" w:type="dxa"/>
            <w:tcBorders>
              <w:top w:val="nil"/>
              <w:left w:val="nil"/>
              <w:bottom w:val="single" w:sz="8" w:space="0" w:color="000000"/>
              <w:right w:val="single" w:sz="8" w:space="0" w:color="000000"/>
            </w:tcBorders>
            <w:tcMar>
              <w:top w:w="100" w:type="dxa"/>
              <w:left w:w="100" w:type="dxa"/>
              <w:bottom w:w="100" w:type="dxa"/>
              <w:right w:w="100" w:type="dxa"/>
            </w:tcMar>
          </w:tcPr>
          <w:p w14:paraId="0C8D6502"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0.565</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768AC7C"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0.652</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75ADD1B5"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0.641</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8530398"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0.544</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13BD94FF"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0.571</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6B09A5A5"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0.659</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6C248ED2"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0.812</w:t>
            </w:r>
          </w:p>
        </w:tc>
        <w:tc>
          <w:tcPr>
            <w:tcW w:w="1046" w:type="dxa"/>
            <w:tcBorders>
              <w:top w:val="nil"/>
              <w:left w:val="nil"/>
              <w:bottom w:val="single" w:sz="8" w:space="0" w:color="000000"/>
              <w:right w:val="single" w:sz="8" w:space="0" w:color="000000"/>
            </w:tcBorders>
            <w:tcMar>
              <w:top w:w="100" w:type="dxa"/>
              <w:left w:w="100" w:type="dxa"/>
              <w:bottom w:w="100" w:type="dxa"/>
              <w:right w:w="100" w:type="dxa"/>
            </w:tcMar>
          </w:tcPr>
          <w:p w14:paraId="5187ED13" w14:textId="77777777" w:rsidR="002A0259" w:rsidRPr="004A6112" w:rsidRDefault="002A0259" w:rsidP="004A6112">
            <w:pPr>
              <w:spacing w:before="240" w:after="240" w:line="240" w:lineRule="auto"/>
              <w:jc w:val="both"/>
              <w:rPr>
                <w:rFonts w:ascii="Times New Roman" w:eastAsia="Times New Roman" w:hAnsi="Times New Roman" w:cs="Times New Roman"/>
                <w:sz w:val="24"/>
                <w:szCs w:val="24"/>
              </w:rPr>
            </w:pPr>
          </w:p>
        </w:tc>
      </w:tr>
      <w:tr w:rsidR="00B42DD8" w:rsidRPr="004A6112" w14:paraId="56CD175B" w14:textId="77777777" w:rsidTr="00B42DD8">
        <w:trPr>
          <w:trHeight w:val="58"/>
        </w:trPr>
        <w:tc>
          <w:tcPr>
            <w:tcW w:w="9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3B35870" w14:textId="77777777" w:rsidR="002A0259" w:rsidRPr="004A6112" w:rsidRDefault="00343186" w:rsidP="004A6112">
            <w:pPr>
              <w:spacing w:before="240" w:line="240" w:lineRule="auto"/>
              <w:jc w:val="both"/>
              <w:rPr>
                <w:rFonts w:ascii="Times New Roman" w:eastAsia="Times New Roman" w:hAnsi="Times New Roman" w:cs="Times New Roman"/>
                <w:b/>
                <w:sz w:val="24"/>
                <w:szCs w:val="24"/>
              </w:rPr>
            </w:pPr>
            <w:r w:rsidRPr="004A6112">
              <w:rPr>
                <w:rFonts w:ascii="Times New Roman" w:eastAsia="Times New Roman" w:hAnsi="Times New Roman" w:cs="Times New Roman"/>
                <w:b/>
                <w:sz w:val="24"/>
                <w:szCs w:val="24"/>
              </w:rPr>
              <w:t>SN</w:t>
            </w:r>
          </w:p>
        </w:tc>
        <w:tc>
          <w:tcPr>
            <w:tcW w:w="1049" w:type="dxa"/>
            <w:tcBorders>
              <w:top w:val="nil"/>
              <w:left w:val="nil"/>
              <w:bottom w:val="single" w:sz="8" w:space="0" w:color="000000"/>
              <w:right w:val="single" w:sz="8" w:space="0" w:color="000000"/>
            </w:tcBorders>
            <w:tcMar>
              <w:top w:w="100" w:type="dxa"/>
              <w:left w:w="100" w:type="dxa"/>
              <w:bottom w:w="100" w:type="dxa"/>
              <w:right w:w="100" w:type="dxa"/>
            </w:tcMar>
          </w:tcPr>
          <w:p w14:paraId="4254A385"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0.658</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4411EF45"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0.621</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7F150E9E"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0.571</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65DEBA75"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0.593</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CA40C79"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0.583</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C7F3C00"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0.648</w:t>
            </w:r>
          </w:p>
        </w:tc>
        <w:tc>
          <w:tcPr>
            <w:tcW w:w="1050" w:type="dxa"/>
            <w:tcBorders>
              <w:top w:val="nil"/>
              <w:left w:val="nil"/>
              <w:bottom w:val="single" w:sz="8" w:space="0" w:color="000000"/>
              <w:right w:val="single" w:sz="8" w:space="0" w:color="000000"/>
            </w:tcBorders>
            <w:tcMar>
              <w:top w:w="100" w:type="dxa"/>
              <w:left w:w="100" w:type="dxa"/>
              <w:bottom w:w="100" w:type="dxa"/>
              <w:right w:w="100" w:type="dxa"/>
            </w:tcMar>
          </w:tcPr>
          <w:p w14:paraId="282D8EC3"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0.706</w:t>
            </w:r>
          </w:p>
        </w:tc>
        <w:tc>
          <w:tcPr>
            <w:tcW w:w="1046" w:type="dxa"/>
            <w:tcBorders>
              <w:top w:val="nil"/>
              <w:left w:val="nil"/>
              <w:bottom w:val="single" w:sz="8" w:space="0" w:color="000000"/>
              <w:right w:val="single" w:sz="8" w:space="0" w:color="000000"/>
            </w:tcBorders>
            <w:tcMar>
              <w:top w:w="100" w:type="dxa"/>
              <w:left w:w="100" w:type="dxa"/>
              <w:bottom w:w="100" w:type="dxa"/>
              <w:right w:w="100" w:type="dxa"/>
            </w:tcMar>
          </w:tcPr>
          <w:p w14:paraId="76CAA29B" w14:textId="77777777" w:rsidR="002A0259" w:rsidRPr="004A6112" w:rsidRDefault="00343186" w:rsidP="004A6112">
            <w:pPr>
              <w:spacing w:before="240" w:line="240" w:lineRule="auto"/>
              <w:jc w:val="both"/>
              <w:rPr>
                <w:rFonts w:ascii="Times New Roman" w:eastAsia="Times New Roman" w:hAnsi="Times New Roman" w:cs="Times New Roman"/>
                <w:sz w:val="24"/>
                <w:szCs w:val="24"/>
              </w:rPr>
            </w:pPr>
            <w:r w:rsidRPr="004A6112">
              <w:rPr>
                <w:rFonts w:ascii="Times New Roman" w:eastAsia="Times New Roman" w:hAnsi="Times New Roman" w:cs="Times New Roman"/>
                <w:sz w:val="24"/>
                <w:szCs w:val="24"/>
              </w:rPr>
              <w:t>0.816</w:t>
            </w:r>
          </w:p>
        </w:tc>
      </w:tr>
    </w:tbl>
    <w:p w14:paraId="1505F26D" w14:textId="77777777" w:rsidR="002A0259" w:rsidRDefault="002A0259">
      <w:pPr>
        <w:spacing w:line="240" w:lineRule="auto"/>
        <w:jc w:val="both"/>
        <w:rPr>
          <w:rFonts w:ascii="Times New Roman" w:eastAsia="Times New Roman" w:hAnsi="Times New Roman" w:cs="Times New Roman"/>
          <w:b/>
          <w:sz w:val="24"/>
          <w:szCs w:val="24"/>
        </w:rPr>
      </w:pPr>
    </w:p>
    <w:p w14:paraId="2031F673" w14:textId="77777777" w:rsidR="002A0259" w:rsidRDefault="002A0259">
      <w:pPr>
        <w:spacing w:line="240" w:lineRule="auto"/>
        <w:jc w:val="both"/>
        <w:rPr>
          <w:rFonts w:ascii="Times New Roman" w:eastAsia="Times New Roman" w:hAnsi="Times New Roman" w:cs="Times New Roman"/>
          <w:b/>
          <w:sz w:val="24"/>
          <w:szCs w:val="24"/>
        </w:rPr>
      </w:pPr>
    </w:p>
    <w:p w14:paraId="2A45DB2F" w14:textId="77777777" w:rsidR="004A6112" w:rsidRDefault="004A6112">
      <w:pPr>
        <w:spacing w:line="240" w:lineRule="auto"/>
        <w:jc w:val="both"/>
        <w:rPr>
          <w:rFonts w:ascii="Times New Roman" w:eastAsia="Times New Roman" w:hAnsi="Times New Roman" w:cs="Times New Roman"/>
          <w:sz w:val="24"/>
          <w:szCs w:val="24"/>
        </w:rPr>
      </w:pPr>
    </w:p>
    <w:p w14:paraId="09CA57B9" w14:textId="77777777" w:rsidR="004A6112" w:rsidRDefault="004A6112">
      <w:pPr>
        <w:spacing w:line="240" w:lineRule="auto"/>
        <w:jc w:val="both"/>
        <w:rPr>
          <w:rFonts w:ascii="Times New Roman" w:eastAsia="Times New Roman" w:hAnsi="Times New Roman" w:cs="Times New Roman"/>
          <w:sz w:val="24"/>
          <w:szCs w:val="24"/>
        </w:rPr>
      </w:pPr>
    </w:p>
    <w:p w14:paraId="754AC6FC" w14:textId="77777777" w:rsidR="004A6112" w:rsidRDefault="004A6112">
      <w:pPr>
        <w:spacing w:line="240" w:lineRule="auto"/>
        <w:jc w:val="both"/>
        <w:rPr>
          <w:rFonts w:ascii="Times New Roman" w:eastAsia="Times New Roman" w:hAnsi="Times New Roman" w:cs="Times New Roman"/>
          <w:sz w:val="24"/>
          <w:szCs w:val="24"/>
        </w:rPr>
      </w:pPr>
    </w:p>
    <w:p w14:paraId="077C1206" w14:textId="77777777" w:rsidR="004A6112" w:rsidRDefault="004A6112">
      <w:pPr>
        <w:spacing w:line="240" w:lineRule="auto"/>
        <w:jc w:val="both"/>
        <w:rPr>
          <w:rFonts w:ascii="Times New Roman" w:eastAsia="Times New Roman" w:hAnsi="Times New Roman" w:cs="Times New Roman"/>
          <w:sz w:val="24"/>
          <w:szCs w:val="24"/>
        </w:rPr>
      </w:pPr>
    </w:p>
    <w:p w14:paraId="5B66D6DE" w14:textId="77777777" w:rsidR="004A6112" w:rsidRDefault="004A6112">
      <w:pPr>
        <w:spacing w:line="240" w:lineRule="auto"/>
        <w:jc w:val="both"/>
        <w:rPr>
          <w:rFonts w:ascii="Times New Roman" w:eastAsia="Times New Roman" w:hAnsi="Times New Roman" w:cs="Times New Roman"/>
          <w:sz w:val="24"/>
          <w:szCs w:val="24"/>
        </w:rPr>
      </w:pPr>
    </w:p>
    <w:p w14:paraId="2CCE5C0F" w14:textId="3EEAFB05" w:rsidR="004A6112" w:rsidRDefault="004A6112">
      <w:pPr>
        <w:spacing w:line="240" w:lineRule="auto"/>
        <w:jc w:val="both"/>
        <w:rPr>
          <w:rFonts w:ascii="Times New Roman" w:eastAsia="Times New Roman" w:hAnsi="Times New Roman" w:cs="Times New Roman"/>
          <w:sz w:val="24"/>
          <w:szCs w:val="24"/>
        </w:rPr>
      </w:pPr>
    </w:p>
    <w:p w14:paraId="57ACC223" w14:textId="19A091F5" w:rsidR="004A6112" w:rsidRDefault="004A6112">
      <w:pPr>
        <w:spacing w:line="240" w:lineRule="auto"/>
        <w:jc w:val="both"/>
        <w:rPr>
          <w:rFonts w:ascii="Times New Roman" w:eastAsia="Times New Roman" w:hAnsi="Times New Roman" w:cs="Times New Roman"/>
          <w:sz w:val="24"/>
          <w:szCs w:val="24"/>
        </w:rPr>
      </w:pPr>
    </w:p>
    <w:p w14:paraId="400C244B" w14:textId="2AFD74C5" w:rsidR="004A6112" w:rsidRDefault="004A6112">
      <w:pPr>
        <w:spacing w:line="240" w:lineRule="auto"/>
        <w:jc w:val="both"/>
        <w:rPr>
          <w:rFonts w:ascii="Times New Roman" w:eastAsia="Times New Roman" w:hAnsi="Times New Roman" w:cs="Times New Roman"/>
          <w:sz w:val="24"/>
          <w:szCs w:val="24"/>
        </w:rPr>
      </w:pPr>
    </w:p>
    <w:p w14:paraId="5875655C" w14:textId="77777777" w:rsidR="00B42DD8" w:rsidRDefault="00B42DD8">
      <w:pPr>
        <w:spacing w:line="240" w:lineRule="auto"/>
        <w:jc w:val="both"/>
        <w:rPr>
          <w:rFonts w:ascii="Times New Roman" w:eastAsia="Times New Roman" w:hAnsi="Times New Roman" w:cs="Times New Roman"/>
          <w:sz w:val="24"/>
          <w:szCs w:val="24"/>
        </w:rPr>
      </w:pPr>
    </w:p>
    <w:p w14:paraId="561FFD60" w14:textId="77777777" w:rsidR="004A6112" w:rsidRDefault="004A6112">
      <w:pPr>
        <w:spacing w:line="240" w:lineRule="auto"/>
        <w:jc w:val="both"/>
        <w:rPr>
          <w:rFonts w:ascii="Times New Roman" w:eastAsia="Times New Roman" w:hAnsi="Times New Roman" w:cs="Times New Roman"/>
          <w:sz w:val="24"/>
          <w:szCs w:val="24"/>
        </w:rPr>
      </w:pPr>
    </w:p>
    <w:p w14:paraId="0322DDE2" w14:textId="77777777" w:rsidR="004A6112" w:rsidRDefault="004A6112">
      <w:pPr>
        <w:spacing w:line="240" w:lineRule="auto"/>
        <w:jc w:val="both"/>
        <w:rPr>
          <w:rFonts w:ascii="Times New Roman" w:eastAsia="Times New Roman" w:hAnsi="Times New Roman" w:cs="Times New Roman"/>
          <w:sz w:val="24"/>
          <w:szCs w:val="24"/>
        </w:rPr>
      </w:pPr>
    </w:p>
    <w:p w14:paraId="7B754D6D" w14:textId="77777777" w:rsidR="004A6112" w:rsidRDefault="004A6112">
      <w:pPr>
        <w:spacing w:line="240" w:lineRule="auto"/>
        <w:jc w:val="both"/>
        <w:rPr>
          <w:rFonts w:ascii="Times New Roman" w:eastAsia="Times New Roman" w:hAnsi="Times New Roman" w:cs="Times New Roman"/>
          <w:sz w:val="24"/>
          <w:szCs w:val="24"/>
        </w:rPr>
      </w:pPr>
    </w:p>
    <w:p w14:paraId="4CDF4F26" w14:textId="77777777" w:rsidR="004A6112" w:rsidRDefault="004A6112">
      <w:pPr>
        <w:spacing w:line="240" w:lineRule="auto"/>
        <w:jc w:val="both"/>
        <w:rPr>
          <w:rFonts w:ascii="Times New Roman" w:eastAsia="Times New Roman" w:hAnsi="Times New Roman" w:cs="Times New Roman"/>
          <w:sz w:val="24"/>
          <w:szCs w:val="24"/>
        </w:rPr>
      </w:pPr>
    </w:p>
    <w:p w14:paraId="37C84BC1" w14:textId="00F39FBA"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Table 6: Cross Loadings Analysis</w:t>
      </w:r>
    </w:p>
    <w:p w14:paraId="1D435E11" w14:textId="77777777" w:rsidR="00514843" w:rsidRDefault="00514843">
      <w:pPr>
        <w:spacing w:line="240" w:lineRule="auto"/>
        <w:jc w:val="both"/>
        <w:rPr>
          <w:rFonts w:ascii="Times New Roman" w:eastAsia="Times New Roman" w:hAnsi="Times New Roman" w:cs="Times New Roman"/>
          <w:sz w:val="24"/>
          <w:szCs w:val="24"/>
        </w:rPr>
      </w:pPr>
    </w:p>
    <w:tbl>
      <w:tblPr>
        <w:tblStyle w:val="a4"/>
        <w:tblW w:w="6960" w:type="dxa"/>
        <w:tblBorders>
          <w:top w:val="nil"/>
          <w:left w:val="nil"/>
          <w:bottom w:val="nil"/>
          <w:right w:val="nil"/>
          <w:insideH w:val="nil"/>
          <w:insideV w:val="nil"/>
        </w:tblBorders>
        <w:tblLayout w:type="fixed"/>
        <w:tblLook w:val="0600" w:firstRow="0" w:lastRow="0" w:firstColumn="0" w:lastColumn="0" w:noHBand="1" w:noVBand="1"/>
      </w:tblPr>
      <w:tblGrid>
        <w:gridCol w:w="800"/>
        <w:gridCol w:w="770"/>
        <w:gridCol w:w="770"/>
        <w:gridCol w:w="770"/>
        <w:gridCol w:w="770"/>
        <w:gridCol w:w="770"/>
        <w:gridCol w:w="770"/>
        <w:gridCol w:w="770"/>
        <w:gridCol w:w="770"/>
      </w:tblGrid>
      <w:tr w:rsidR="002A0259" w14:paraId="28010994" w14:textId="77777777" w:rsidTr="004A6112">
        <w:trPr>
          <w:trHeight w:val="399"/>
        </w:trPr>
        <w:tc>
          <w:tcPr>
            <w:tcW w:w="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0F0AE0" w14:textId="77777777" w:rsidR="002A0259" w:rsidRDefault="002A0259">
            <w:pPr>
              <w:spacing w:line="240" w:lineRule="auto"/>
              <w:jc w:val="both"/>
              <w:rPr>
                <w:rFonts w:ascii="Times New Roman" w:eastAsia="Times New Roman" w:hAnsi="Times New Roman" w:cs="Times New Roman"/>
                <w:sz w:val="24"/>
                <w:szCs w:val="24"/>
              </w:rPr>
            </w:pPr>
          </w:p>
        </w:tc>
        <w:tc>
          <w:tcPr>
            <w:tcW w:w="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E20EC1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w:t>
            </w:r>
          </w:p>
        </w:tc>
        <w:tc>
          <w:tcPr>
            <w:tcW w:w="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00E41D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w:t>
            </w:r>
          </w:p>
        </w:tc>
        <w:tc>
          <w:tcPr>
            <w:tcW w:w="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DFFB46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FK</w:t>
            </w:r>
          </w:p>
        </w:tc>
        <w:tc>
          <w:tcPr>
            <w:tcW w:w="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5B7FC0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w:t>
            </w:r>
          </w:p>
        </w:tc>
        <w:tc>
          <w:tcPr>
            <w:tcW w:w="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E4D608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w:t>
            </w:r>
          </w:p>
        </w:tc>
        <w:tc>
          <w:tcPr>
            <w:tcW w:w="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97C105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w:t>
            </w:r>
          </w:p>
        </w:tc>
        <w:tc>
          <w:tcPr>
            <w:tcW w:w="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78C1E3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w:t>
            </w:r>
          </w:p>
        </w:tc>
        <w:tc>
          <w:tcPr>
            <w:tcW w:w="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57015C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w:t>
            </w:r>
          </w:p>
        </w:tc>
      </w:tr>
      <w:tr w:rsidR="002A0259" w14:paraId="60574B9C"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AD93DC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B238197"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0.795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C2F3B3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AFFCA7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207A35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0.451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A11B4D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0.438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453888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0.509</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3A9768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73466C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0.515</w:t>
            </w:r>
          </w:p>
        </w:tc>
      </w:tr>
      <w:tr w:rsidR="002A0259" w14:paraId="10821F2C"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FC9AC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8CAAED7"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0.823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2A2532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85E0D2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0.437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B2CBF7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0.434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EBAB1B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0.427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B419AC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EDB3BD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B92F9B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0.507</w:t>
            </w:r>
          </w:p>
        </w:tc>
      </w:tr>
      <w:tr w:rsidR="002A0259" w14:paraId="2D690000"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F297F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7BD261D"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0.738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E6C0DB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0.443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256DD9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0.407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98038A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0.410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70A6B7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0.367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5C963F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0.466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A0CA2E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1D1EC7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0.536</w:t>
            </w:r>
          </w:p>
        </w:tc>
      </w:tr>
      <w:tr w:rsidR="002A0259" w14:paraId="27A73599"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31BC0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F06D23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0.528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3BCB133"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0.792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8E6C42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0.440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800B33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DE8EA2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0.519</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B6C90F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F02650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0.460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9EA2C0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0.476</w:t>
            </w:r>
          </w:p>
        </w:tc>
      </w:tr>
      <w:tr w:rsidR="002A0259" w14:paraId="7BE6376B"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C0059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5A2ADD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0.528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CF32DD4"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0.778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831DE0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0.539</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C1EAAD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F8D228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47314E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DF6872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5AD140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0.515</w:t>
            </w:r>
          </w:p>
        </w:tc>
      </w:tr>
      <w:tr w:rsidR="002A0259" w14:paraId="08AE420C"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E8ECC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7D026C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76D22CB"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0.789</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0DCB8E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0.431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EAEA37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0.398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CC166B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28D6E2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0.595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6C72CC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0.523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20C9B4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0.475</w:t>
            </w:r>
          </w:p>
        </w:tc>
      </w:tr>
      <w:tr w:rsidR="002A0259" w14:paraId="26A7CFFC"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2889D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FK2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E3DFCB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0.470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B15B88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0.468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B53D82C"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0.837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A98E95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0.448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73DD61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A4B6F3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0.526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AF5C38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15A0CB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0.504</w:t>
            </w:r>
          </w:p>
        </w:tc>
      </w:tr>
      <w:tr w:rsidR="002A0259" w14:paraId="7167AD8F"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E2ACE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FK3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90EB4F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0.472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440316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0.521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DB5256D"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0.807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9697F9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0.405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F51B30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0.446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C4D08B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0.499</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253A50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0.587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DEFBE6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0.501</w:t>
            </w:r>
          </w:p>
        </w:tc>
      </w:tr>
      <w:tr w:rsidR="002A0259" w14:paraId="777988A9"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7A3FC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FK4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9EEC19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7858C1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95BCD61"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0.851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1E2F49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0.454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ACDB2C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0511E9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30E6E1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BA1C11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0.421</w:t>
            </w:r>
          </w:p>
        </w:tc>
      </w:tr>
      <w:tr w:rsidR="002A0259" w14:paraId="079E6552"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7CBE8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8A5C95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0.459</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B2AAE7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F74794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25D757B"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0.497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670BD9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E26DFE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468F08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0.607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8E0EAD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0.836</w:t>
            </w:r>
          </w:p>
        </w:tc>
      </w:tr>
      <w:tr w:rsidR="002A0259" w14:paraId="211823F2"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A1B02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FEF152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20AEB8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7FA982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0.457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3ABB82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0.825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DC5966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0.428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027B12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0.564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DC406C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0.479</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445B40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0.482</w:t>
            </w:r>
          </w:p>
        </w:tc>
      </w:tr>
      <w:tr w:rsidR="002A0259" w14:paraId="287F76E2"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27C59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ED51BE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0.372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09C877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0.414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006E26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0.432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328B6BA"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0.804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BF6DC9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878FFE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4FDBDC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0.421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56616A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0.509</w:t>
            </w:r>
          </w:p>
        </w:tc>
      </w:tr>
      <w:tr w:rsidR="002A0259" w14:paraId="1E151CAA"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0085C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8182C2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0.354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262DBB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593C58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0.424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10CF7B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0.430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9894D54"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0.808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3685B6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587F1C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0.444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B5384A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0.467</w:t>
            </w:r>
          </w:p>
        </w:tc>
      </w:tr>
      <w:tr w:rsidR="002A0259" w14:paraId="02D99A19"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F9745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EF1B5A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0.431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9D2A56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120432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DBDD84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0.436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71E3DB0"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0.825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E31427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2D055B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0.468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D74BF3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0.451</w:t>
            </w:r>
          </w:p>
        </w:tc>
      </w:tr>
      <w:tr w:rsidR="002A0259" w14:paraId="186DDB4F" w14:textId="77777777" w:rsidTr="00514843">
        <w:trPr>
          <w:trHeight w:val="399"/>
        </w:trPr>
        <w:tc>
          <w:tcPr>
            <w:tcW w:w="800"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70F96C3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ITS3</w:t>
            </w:r>
          </w:p>
        </w:tc>
        <w:tc>
          <w:tcPr>
            <w:tcW w:w="770" w:type="dxa"/>
            <w:tcBorders>
              <w:top w:val="nil"/>
              <w:left w:val="nil"/>
              <w:bottom w:val="single" w:sz="4" w:space="0" w:color="auto"/>
              <w:right w:val="single" w:sz="8" w:space="0" w:color="000000"/>
            </w:tcBorders>
            <w:tcMar>
              <w:top w:w="100" w:type="dxa"/>
              <w:left w:w="100" w:type="dxa"/>
              <w:bottom w:w="100" w:type="dxa"/>
              <w:right w:w="100" w:type="dxa"/>
            </w:tcMar>
          </w:tcPr>
          <w:p w14:paraId="2BB8C66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0.519</w:t>
            </w:r>
          </w:p>
        </w:tc>
        <w:tc>
          <w:tcPr>
            <w:tcW w:w="770" w:type="dxa"/>
            <w:tcBorders>
              <w:top w:val="nil"/>
              <w:left w:val="nil"/>
              <w:bottom w:val="single" w:sz="4" w:space="0" w:color="auto"/>
              <w:right w:val="single" w:sz="8" w:space="0" w:color="000000"/>
            </w:tcBorders>
            <w:tcMar>
              <w:top w:w="100" w:type="dxa"/>
              <w:left w:w="100" w:type="dxa"/>
              <w:bottom w:w="100" w:type="dxa"/>
              <w:right w:w="100" w:type="dxa"/>
            </w:tcMar>
          </w:tcPr>
          <w:p w14:paraId="6AA15C1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0.563</w:t>
            </w:r>
          </w:p>
        </w:tc>
        <w:tc>
          <w:tcPr>
            <w:tcW w:w="770" w:type="dxa"/>
            <w:tcBorders>
              <w:top w:val="nil"/>
              <w:left w:val="nil"/>
              <w:bottom w:val="single" w:sz="4" w:space="0" w:color="auto"/>
              <w:right w:val="single" w:sz="8" w:space="0" w:color="000000"/>
            </w:tcBorders>
            <w:tcMar>
              <w:top w:w="100" w:type="dxa"/>
              <w:left w:w="100" w:type="dxa"/>
              <w:bottom w:w="100" w:type="dxa"/>
              <w:right w:w="100" w:type="dxa"/>
            </w:tcMar>
          </w:tcPr>
          <w:p w14:paraId="4B56373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0.594</w:t>
            </w:r>
          </w:p>
        </w:tc>
        <w:tc>
          <w:tcPr>
            <w:tcW w:w="770" w:type="dxa"/>
            <w:tcBorders>
              <w:top w:val="nil"/>
              <w:left w:val="nil"/>
              <w:bottom w:val="single" w:sz="4" w:space="0" w:color="auto"/>
              <w:right w:val="single" w:sz="8" w:space="0" w:color="000000"/>
            </w:tcBorders>
            <w:tcMar>
              <w:top w:w="100" w:type="dxa"/>
              <w:left w:w="100" w:type="dxa"/>
              <w:bottom w:w="100" w:type="dxa"/>
              <w:right w:w="100" w:type="dxa"/>
            </w:tcMar>
          </w:tcPr>
          <w:p w14:paraId="4592266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0.499</w:t>
            </w:r>
          </w:p>
        </w:tc>
        <w:tc>
          <w:tcPr>
            <w:tcW w:w="770" w:type="dxa"/>
            <w:tcBorders>
              <w:top w:val="nil"/>
              <w:left w:val="nil"/>
              <w:bottom w:val="single" w:sz="4" w:space="0" w:color="auto"/>
              <w:right w:val="single" w:sz="8" w:space="0" w:color="000000"/>
            </w:tcBorders>
            <w:tcMar>
              <w:top w:w="100" w:type="dxa"/>
              <w:left w:w="100" w:type="dxa"/>
              <w:bottom w:w="100" w:type="dxa"/>
              <w:right w:w="100" w:type="dxa"/>
            </w:tcMar>
          </w:tcPr>
          <w:p w14:paraId="12D8384E"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0.875</w:t>
            </w:r>
          </w:p>
        </w:tc>
        <w:tc>
          <w:tcPr>
            <w:tcW w:w="770" w:type="dxa"/>
            <w:tcBorders>
              <w:top w:val="nil"/>
              <w:left w:val="nil"/>
              <w:bottom w:val="single" w:sz="4" w:space="0" w:color="auto"/>
              <w:right w:val="single" w:sz="8" w:space="0" w:color="000000"/>
            </w:tcBorders>
            <w:tcMar>
              <w:top w:w="100" w:type="dxa"/>
              <w:left w:w="100" w:type="dxa"/>
              <w:bottom w:w="100" w:type="dxa"/>
              <w:right w:w="100" w:type="dxa"/>
            </w:tcMar>
          </w:tcPr>
          <w:p w14:paraId="0BF4B79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0.653</w:t>
            </w:r>
          </w:p>
        </w:tc>
        <w:tc>
          <w:tcPr>
            <w:tcW w:w="770" w:type="dxa"/>
            <w:tcBorders>
              <w:top w:val="nil"/>
              <w:left w:val="nil"/>
              <w:bottom w:val="single" w:sz="4" w:space="0" w:color="auto"/>
              <w:right w:val="single" w:sz="8" w:space="0" w:color="000000"/>
            </w:tcBorders>
            <w:tcMar>
              <w:top w:w="100" w:type="dxa"/>
              <w:left w:w="100" w:type="dxa"/>
              <w:bottom w:w="100" w:type="dxa"/>
              <w:right w:w="100" w:type="dxa"/>
            </w:tcMar>
          </w:tcPr>
          <w:p w14:paraId="4634F37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0.518</w:t>
            </w:r>
          </w:p>
        </w:tc>
        <w:tc>
          <w:tcPr>
            <w:tcW w:w="770" w:type="dxa"/>
            <w:tcBorders>
              <w:top w:val="nil"/>
              <w:left w:val="nil"/>
              <w:bottom w:val="single" w:sz="4" w:space="0" w:color="auto"/>
              <w:right w:val="single" w:sz="8" w:space="0" w:color="000000"/>
            </w:tcBorders>
            <w:tcMar>
              <w:top w:w="100" w:type="dxa"/>
              <w:left w:w="100" w:type="dxa"/>
              <w:bottom w:w="100" w:type="dxa"/>
              <w:right w:w="100" w:type="dxa"/>
            </w:tcMar>
          </w:tcPr>
          <w:p w14:paraId="786D694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0.540</w:t>
            </w:r>
          </w:p>
        </w:tc>
      </w:tr>
      <w:tr w:rsidR="002A0259" w14:paraId="5DC3A3E9" w14:textId="77777777" w:rsidTr="00514843">
        <w:trPr>
          <w:trHeight w:val="399"/>
        </w:trPr>
        <w:tc>
          <w:tcPr>
            <w:tcW w:w="80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498336D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MN1</w:t>
            </w:r>
          </w:p>
        </w:tc>
        <w:tc>
          <w:tcPr>
            <w:tcW w:w="77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49DBF1C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0.509</w:t>
            </w:r>
          </w:p>
        </w:tc>
        <w:tc>
          <w:tcPr>
            <w:tcW w:w="77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15D856E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0.562</w:t>
            </w:r>
          </w:p>
        </w:tc>
        <w:tc>
          <w:tcPr>
            <w:tcW w:w="77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278AF1C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0.459</w:t>
            </w:r>
          </w:p>
        </w:tc>
        <w:tc>
          <w:tcPr>
            <w:tcW w:w="77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186A1D9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0.508</w:t>
            </w:r>
          </w:p>
        </w:tc>
        <w:tc>
          <w:tcPr>
            <w:tcW w:w="77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39FCCE9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0.524</w:t>
            </w:r>
          </w:p>
        </w:tc>
        <w:tc>
          <w:tcPr>
            <w:tcW w:w="77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328F4ACE"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0.721</w:t>
            </w:r>
          </w:p>
        </w:tc>
        <w:tc>
          <w:tcPr>
            <w:tcW w:w="77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3E359EA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0.495</w:t>
            </w:r>
          </w:p>
        </w:tc>
        <w:tc>
          <w:tcPr>
            <w:tcW w:w="77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2A1409A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0.482</w:t>
            </w:r>
          </w:p>
        </w:tc>
      </w:tr>
      <w:tr w:rsidR="002A0259" w14:paraId="1B7B53C3" w14:textId="77777777" w:rsidTr="00514843">
        <w:trPr>
          <w:trHeight w:val="399"/>
        </w:trPr>
        <w:tc>
          <w:tcPr>
            <w:tcW w:w="80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357403B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MN2</w:t>
            </w:r>
          </w:p>
        </w:tc>
        <w:tc>
          <w:tcPr>
            <w:tcW w:w="77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3EBFC77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0.449</w:t>
            </w:r>
          </w:p>
        </w:tc>
        <w:tc>
          <w:tcPr>
            <w:tcW w:w="77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E550D3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0.557</w:t>
            </w:r>
          </w:p>
        </w:tc>
        <w:tc>
          <w:tcPr>
            <w:tcW w:w="77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7FE87B5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0.510</w:t>
            </w:r>
          </w:p>
        </w:tc>
        <w:tc>
          <w:tcPr>
            <w:tcW w:w="77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14D00D8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0.459</w:t>
            </w:r>
          </w:p>
        </w:tc>
        <w:tc>
          <w:tcPr>
            <w:tcW w:w="77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0CA3969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0.539</w:t>
            </w:r>
          </w:p>
        </w:tc>
        <w:tc>
          <w:tcPr>
            <w:tcW w:w="77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7AD4C836"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0.794</w:t>
            </w:r>
          </w:p>
        </w:tc>
        <w:tc>
          <w:tcPr>
            <w:tcW w:w="77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011CA0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0.506</w:t>
            </w:r>
          </w:p>
        </w:tc>
        <w:tc>
          <w:tcPr>
            <w:tcW w:w="77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57F9B7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0.499</w:t>
            </w:r>
          </w:p>
        </w:tc>
      </w:tr>
      <w:tr w:rsidR="002A0259" w14:paraId="7E704F42"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49102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MN3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EFE218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659251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4EFBBA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BFF555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0.488</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D7958E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35534AB"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0.762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6D2634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0378ED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0.536</w:t>
            </w:r>
          </w:p>
        </w:tc>
      </w:tr>
      <w:tr w:rsidR="002A0259" w14:paraId="67F687C9"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9D7FC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63CB9C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0.561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2B107F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C8BCA4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9DBD21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116D2E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0.427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3A6DED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0.520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3C07510"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0.820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957CA3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0.550</w:t>
            </w:r>
          </w:p>
        </w:tc>
      </w:tr>
      <w:tr w:rsidR="002A0259" w14:paraId="2D524919"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7C40CF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73390D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047774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0B767A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70F9C5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CECFA4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0.479</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A49BB9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0.561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9ADCB13"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0.792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B54551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0.614</w:t>
            </w:r>
          </w:p>
        </w:tc>
      </w:tr>
      <w:tr w:rsidR="002A0259" w14:paraId="4781A69D"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CB1ED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PBC3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36A36D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0.494</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CC73DD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29CF3A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A3BC8C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0.366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2931B5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08DB62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0.521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79190D8"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0.823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66E7B6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0.552</w:t>
            </w:r>
          </w:p>
        </w:tc>
      </w:tr>
      <w:tr w:rsidR="002A0259" w14:paraId="0BBEBF93"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E1C0B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16AABA4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EB8ACB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DC7363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0.371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E786D6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4D098E3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0.406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2A0A0C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743D35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010B364"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0.769</w:t>
            </w:r>
          </w:p>
        </w:tc>
      </w:tr>
      <w:tr w:rsidR="002A0259" w14:paraId="72C21D73"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FC81F6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SN2</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B688FD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0.526</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562655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AD6DD0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0.470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FEB0DC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0.470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77C147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E28C67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5D52521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0.571</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A232EAB"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0.841</w:t>
            </w:r>
          </w:p>
        </w:tc>
      </w:tr>
      <w:tr w:rsidR="002A0259" w14:paraId="55274E9A" w14:textId="77777777" w:rsidTr="004A6112">
        <w:trPr>
          <w:trHeight w:val="399"/>
        </w:trPr>
        <w:tc>
          <w:tcPr>
            <w:tcW w:w="8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BF0C1F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SN3</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E4EA81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0.549</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2A93D93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0.507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5000E7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0.545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E3685C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3CB7DC4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0.480</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748A11F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0.535</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6FE014D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0.607</w:t>
            </w:r>
          </w:p>
        </w:tc>
        <w:tc>
          <w:tcPr>
            <w:tcW w:w="770" w:type="dxa"/>
            <w:tcBorders>
              <w:top w:val="nil"/>
              <w:left w:val="nil"/>
              <w:bottom w:val="single" w:sz="8" w:space="0" w:color="000000"/>
              <w:right w:val="single" w:sz="8" w:space="0" w:color="000000"/>
            </w:tcBorders>
            <w:tcMar>
              <w:top w:w="100" w:type="dxa"/>
              <w:left w:w="100" w:type="dxa"/>
              <w:bottom w:w="100" w:type="dxa"/>
              <w:right w:w="100" w:type="dxa"/>
            </w:tcMar>
          </w:tcPr>
          <w:p w14:paraId="028C22F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0.836</w:t>
            </w:r>
          </w:p>
        </w:tc>
      </w:tr>
    </w:tbl>
    <w:p w14:paraId="60177056" w14:textId="77777777" w:rsidR="002A0259" w:rsidRDefault="002A0259">
      <w:pPr>
        <w:spacing w:line="240" w:lineRule="auto"/>
        <w:jc w:val="both"/>
        <w:rPr>
          <w:rFonts w:ascii="Times New Roman" w:eastAsia="Times New Roman" w:hAnsi="Times New Roman" w:cs="Times New Roman"/>
          <w:sz w:val="24"/>
          <w:szCs w:val="24"/>
        </w:rPr>
      </w:pPr>
    </w:p>
    <w:p w14:paraId="1A515978" w14:textId="15FCBB93"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Table 7: VIF Test</w:t>
      </w:r>
    </w:p>
    <w:p w14:paraId="1BB4C4EE" w14:textId="77777777" w:rsidR="00514843" w:rsidRDefault="00514843">
      <w:pPr>
        <w:spacing w:line="240" w:lineRule="auto"/>
        <w:jc w:val="both"/>
        <w:rPr>
          <w:rFonts w:ascii="Times New Roman" w:eastAsia="Times New Roman" w:hAnsi="Times New Roman" w:cs="Times New Roman"/>
          <w:b/>
          <w:sz w:val="24"/>
          <w:szCs w:val="24"/>
        </w:rPr>
      </w:pPr>
    </w:p>
    <w:tbl>
      <w:tblPr>
        <w:tblStyle w:val="a5"/>
        <w:tblW w:w="1757" w:type="dxa"/>
        <w:tblBorders>
          <w:top w:val="nil"/>
          <w:left w:val="nil"/>
          <w:bottom w:val="nil"/>
          <w:right w:val="nil"/>
          <w:insideH w:val="nil"/>
          <w:insideV w:val="nil"/>
        </w:tblBorders>
        <w:tblLook w:val="0600" w:firstRow="0" w:lastRow="0" w:firstColumn="0" w:lastColumn="0" w:noHBand="1" w:noVBand="1"/>
      </w:tblPr>
      <w:tblGrid>
        <w:gridCol w:w="997"/>
        <w:gridCol w:w="760"/>
      </w:tblGrid>
      <w:tr w:rsidR="002A0259" w14:paraId="636F5813" w14:textId="77777777" w:rsidTr="002C5EAF">
        <w:trPr>
          <w:trHeight w:val="67"/>
        </w:trPr>
        <w:tc>
          <w:tcPr>
            <w:tcW w:w="9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E21527" w14:textId="77777777" w:rsidR="002A0259" w:rsidRDefault="002A0259">
            <w:pPr>
              <w:spacing w:line="240" w:lineRule="auto"/>
              <w:jc w:val="both"/>
              <w:rPr>
                <w:rFonts w:ascii="Times New Roman" w:eastAsia="Times New Roman" w:hAnsi="Times New Roman" w:cs="Times New Roman"/>
                <w:b/>
                <w:sz w:val="24"/>
                <w:szCs w:val="24"/>
              </w:rPr>
            </w:pP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5525ABA"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ITS</w:t>
            </w:r>
          </w:p>
        </w:tc>
      </w:tr>
      <w:tr w:rsidR="002A0259" w14:paraId="73E68856" w14:textId="77777777" w:rsidTr="002C5EAF">
        <w:trPr>
          <w:trHeight w:val="67"/>
        </w:trPr>
        <w:tc>
          <w:tcPr>
            <w:tcW w:w="9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92CE2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ATT</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7FCAF8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2.351</w:t>
            </w:r>
          </w:p>
        </w:tc>
      </w:tr>
      <w:tr w:rsidR="002A0259" w14:paraId="57A00D98" w14:textId="77777777" w:rsidTr="002C5EAF">
        <w:trPr>
          <w:trHeight w:val="67"/>
        </w:trPr>
        <w:tc>
          <w:tcPr>
            <w:tcW w:w="9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E093138"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EC</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1B2136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2.645</w:t>
            </w:r>
          </w:p>
        </w:tc>
      </w:tr>
      <w:tr w:rsidR="002A0259" w14:paraId="453E9DC0" w14:textId="77777777" w:rsidTr="002C5EAF">
        <w:trPr>
          <w:trHeight w:val="67"/>
        </w:trPr>
        <w:tc>
          <w:tcPr>
            <w:tcW w:w="9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23667B2"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FK</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C34EB9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2.053</w:t>
            </w:r>
          </w:p>
        </w:tc>
      </w:tr>
      <w:tr w:rsidR="002A0259" w14:paraId="2FFC53C1" w14:textId="77777777" w:rsidTr="002C5EAF">
        <w:trPr>
          <w:trHeight w:val="67"/>
        </w:trPr>
        <w:tc>
          <w:tcPr>
            <w:tcW w:w="9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36BAE0"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PP</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4ABDAF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1.935</w:t>
            </w:r>
          </w:p>
        </w:tc>
      </w:tr>
      <w:tr w:rsidR="002A0259" w14:paraId="18DEB20C" w14:textId="77777777" w:rsidTr="002C5EAF">
        <w:trPr>
          <w:trHeight w:val="67"/>
        </w:trPr>
        <w:tc>
          <w:tcPr>
            <w:tcW w:w="9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25F005"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ITS</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075F903" w14:textId="77777777" w:rsidR="002A0259" w:rsidRDefault="002A0259">
            <w:pPr>
              <w:spacing w:line="240" w:lineRule="auto"/>
              <w:jc w:val="both"/>
              <w:rPr>
                <w:rFonts w:ascii="Times New Roman" w:eastAsia="Times New Roman" w:hAnsi="Times New Roman" w:cs="Times New Roman"/>
                <w:sz w:val="24"/>
                <w:szCs w:val="24"/>
              </w:rPr>
            </w:pPr>
          </w:p>
        </w:tc>
      </w:tr>
      <w:tr w:rsidR="002A0259" w14:paraId="1E008A44" w14:textId="77777777" w:rsidTr="002C5EAF">
        <w:trPr>
          <w:trHeight w:val="1"/>
        </w:trPr>
        <w:tc>
          <w:tcPr>
            <w:tcW w:w="997"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3261348D"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MN</w:t>
            </w:r>
          </w:p>
        </w:tc>
        <w:tc>
          <w:tcPr>
            <w:tcW w:w="0" w:type="auto"/>
            <w:tcBorders>
              <w:top w:val="nil"/>
              <w:left w:val="nil"/>
              <w:bottom w:val="single" w:sz="4" w:space="0" w:color="auto"/>
              <w:right w:val="single" w:sz="8" w:space="0" w:color="000000"/>
            </w:tcBorders>
            <w:tcMar>
              <w:top w:w="100" w:type="dxa"/>
              <w:left w:w="100" w:type="dxa"/>
              <w:bottom w:w="100" w:type="dxa"/>
              <w:right w:w="100" w:type="dxa"/>
            </w:tcMar>
          </w:tcPr>
          <w:p w14:paraId="5629D5E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2.760</w:t>
            </w:r>
          </w:p>
        </w:tc>
      </w:tr>
      <w:tr w:rsidR="002A0259" w14:paraId="129C37BF" w14:textId="77777777" w:rsidTr="002C5EAF">
        <w:trPr>
          <w:trHeight w:val="67"/>
        </w:trPr>
        <w:tc>
          <w:tcPr>
            <w:tcW w:w="997"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15C509C7"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PBC</w:t>
            </w:r>
          </w:p>
        </w:tc>
        <w:tc>
          <w:tcPr>
            <w:tcW w:w="0" w:type="auto"/>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4314DE2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2.729</w:t>
            </w:r>
          </w:p>
        </w:tc>
      </w:tr>
      <w:tr w:rsidR="002A0259" w14:paraId="29BD011A" w14:textId="77777777" w:rsidTr="002C5EAF">
        <w:trPr>
          <w:trHeight w:val="1"/>
        </w:trPr>
        <w:tc>
          <w:tcPr>
            <w:tcW w:w="9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13543C"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6933DF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2.565</w:t>
            </w:r>
          </w:p>
        </w:tc>
      </w:tr>
    </w:tbl>
    <w:p w14:paraId="52E00A27" w14:textId="77777777" w:rsidR="002A0259" w:rsidRDefault="002A0259">
      <w:pPr>
        <w:spacing w:line="240" w:lineRule="auto"/>
        <w:jc w:val="both"/>
        <w:rPr>
          <w:rFonts w:ascii="Times New Roman" w:eastAsia="Times New Roman" w:hAnsi="Times New Roman" w:cs="Times New Roman"/>
          <w:sz w:val="24"/>
          <w:szCs w:val="24"/>
        </w:rPr>
      </w:pPr>
    </w:p>
    <w:p w14:paraId="77F24D7C" w14:textId="77777777" w:rsidR="002A0259" w:rsidRDefault="002A0259">
      <w:pPr>
        <w:spacing w:line="240" w:lineRule="auto"/>
        <w:jc w:val="both"/>
        <w:rPr>
          <w:rFonts w:ascii="Times New Roman" w:eastAsia="Times New Roman" w:hAnsi="Times New Roman" w:cs="Times New Roman"/>
          <w:sz w:val="24"/>
          <w:szCs w:val="24"/>
        </w:rPr>
      </w:pPr>
    </w:p>
    <w:p w14:paraId="25938DA7"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4.2 Structural Model Results</w:t>
      </w:r>
    </w:p>
    <w:p w14:paraId="28AE0008" w14:textId="77777777" w:rsidR="002A0259" w:rsidRDefault="002A0259">
      <w:pPr>
        <w:spacing w:line="240" w:lineRule="auto"/>
        <w:jc w:val="both"/>
        <w:rPr>
          <w:rFonts w:ascii="Times New Roman" w:eastAsia="Times New Roman" w:hAnsi="Times New Roman" w:cs="Times New Roman"/>
          <w:sz w:val="24"/>
          <w:szCs w:val="24"/>
        </w:rPr>
      </w:pPr>
    </w:p>
    <w:p w14:paraId="36440DDF"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PLS-SEM bootstrapping method from (Hair, 2017) and p-value proposed by Andrade (2019) are used to evaluate statistical significance. Hypotheses were validated using the t-value of path coefficients supported by (Rasoolimanesh et al., 2016) depicted in Table 8, where 3 out of 7 hypotheses were supported. Hypothesis H1, the negative relationship between AT and intention to invest in SRI (H1: = -0.056, p &gt; 0.05), is not supported. Hypothesis H2, a positive relationship between EC and intention to invest in SRI (H2: = 0.284, p 0001), is supported as well as H3 and H4, with a positive relationship between FK and MN with the intention to invest in SRI (H3: = 0.208, p 0.010; H4: = 0.246, p 0.001) are supported. Hypotheses H4, H5, and H6, strong negative relationship between PP (H4: = 0.071, p &gt; 0.05), PBC (H6: = 0.005, p &gt; 0.05), and SN (H6: = 0.121, p &gt; 0.005) are not supported.</w:t>
      </w:r>
    </w:p>
    <w:p w14:paraId="6BD4EB1E" w14:textId="77777777" w:rsidR="002A0259" w:rsidRDefault="002A0259">
      <w:pPr>
        <w:spacing w:line="240" w:lineRule="auto"/>
        <w:jc w:val="both"/>
        <w:rPr>
          <w:rFonts w:ascii="Times New Roman" w:eastAsia="Times New Roman" w:hAnsi="Times New Roman" w:cs="Times New Roman"/>
          <w:sz w:val="24"/>
          <w:szCs w:val="24"/>
        </w:rPr>
      </w:pPr>
    </w:p>
    <w:p w14:paraId="624CC632"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text explains using the R-square value (Hair et al., 2011, 2013) to measure the model's fit (Hair, 2019) and the independent variable's effect on the dependent variable. Hair et al. (2011, 2013) state that R-square values of 0.75, 0.50, or 0.25 can be classified as considerable, moderate, or weak, respectively. Table 9 shows an R-square value of 0.562 for ITS, considered moderate</w:t>
      </w:r>
      <w:r w:rsidR="00D13D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(Hair, 2017). However, it is notable that the models may not always contain all the important features to explain the results, which is why it might be that the value is relatively low even when dealing with a large amount of data (Kutner et al., 2013).</w:t>
      </w:r>
    </w:p>
    <w:p w14:paraId="365C665F"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F-Square test is used to measure the effect of exogenous variables on a structural model's dependent variable. The F-Square values are used to determine the magnitude of the effect, with values between 0.020 and 0.150 indicating a modest effect, values between 0.150 and 0.350 indicating a medium effect, and values above 0.350 indicating a strong effect. Results in Table 9 show that ATT, EC, FK &amp; MN, PP, PBC, and SN have no or negligible effect on the dependent variable ITS.</w:t>
      </w:r>
    </w:p>
    <w:p w14:paraId="11D02E2B" w14:textId="77777777" w:rsidR="002A0259" w:rsidRDefault="002A0259">
      <w:pPr>
        <w:spacing w:line="240" w:lineRule="auto"/>
        <w:jc w:val="both"/>
        <w:rPr>
          <w:rFonts w:ascii="Times New Roman" w:eastAsia="Times New Roman" w:hAnsi="Times New Roman" w:cs="Times New Roman"/>
          <w:sz w:val="24"/>
          <w:szCs w:val="24"/>
        </w:rPr>
      </w:pPr>
    </w:p>
    <w:p w14:paraId="7A87F16C"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Q-square values presented in Table 10 are utilized to evaluate the predictive usefulness of the structural model. According to Ghazali et al. (2018), a positive Q-square value implies the model's predictive validity. The results indicate that the structural models possess predictive usefulness, as the Q-square values for ITS are found to be greater than zero.</w:t>
      </w:r>
    </w:p>
    <w:p w14:paraId="4C45B937" w14:textId="77777777" w:rsidR="002A0259" w:rsidRDefault="002A0259">
      <w:pPr>
        <w:spacing w:line="240" w:lineRule="auto"/>
        <w:jc w:val="both"/>
        <w:rPr>
          <w:rFonts w:ascii="Times New Roman" w:eastAsia="Times New Roman" w:hAnsi="Times New Roman" w:cs="Times New Roman"/>
          <w:b/>
          <w:sz w:val="24"/>
          <w:szCs w:val="24"/>
        </w:rPr>
      </w:pPr>
    </w:p>
    <w:p w14:paraId="0F1573C1" w14:textId="2ABE5250" w:rsidR="00D40403" w:rsidRDefault="00D40403">
      <w:pPr>
        <w:spacing w:line="240" w:lineRule="auto"/>
        <w:jc w:val="both"/>
        <w:rPr>
          <w:rFonts w:ascii="Times New Roman" w:eastAsia="Times New Roman" w:hAnsi="Times New Roman" w:cs="Times New Roman"/>
          <w:b/>
          <w:sz w:val="24"/>
          <w:szCs w:val="24"/>
        </w:rPr>
      </w:pPr>
    </w:p>
    <w:p w14:paraId="6268A35F" w14:textId="63506B52" w:rsidR="00B42DD8" w:rsidRDefault="00B42DD8">
      <w:pPr>
        <w:spacing w:line="240" w:lineRule="auto"/>
        <w:jc w:val="both"/>
        <w:rPr>
          <w:rFonts w:ascii="Times New Roman" w:eastAsia="Times New Roman" w:hAnsi="Times New Roman" w:cs="Times New Roman"/>
          <w:b/>
          <w:sz w:val="24"/>
          <w:szCs w:val="24"/>
        </w:rPr>
      </w:pPr>
    </w:p>
    <w:p w14:paraId="1F3213A4" w14:textId="5F282ECD" w:rsidR="00B42DD8" w:rsidRDefault="00B42DD8">
      <w:pPr>
        <w:spacing w:line="240" w:lineRule="auto"/>
        <w:jc w:val="both"/>
        <w:rPr>
          <w:rFonts w:ascii="Times New Roman" w:eastAsia="Times New Roman" w:hAnsi="Times New Roman" w:cs="Times New Roman"/>
          <w:b/>
          <w:sz w:val="24"/>
          <w:szCs w:val="24"/>
        </w:rPr>
      </w:pPr>
    </w:p>
    <w:p w14:paraId="23985F77" w14:textId="27932EC6" w:rsidR="00B42DD8" w:rsidRDefault="00B42DD8">
      <w:pPr>
        <w:spacing w:line="240" w:lineRule="auto"/>
        <w:jc w:val="both"/>
        <w:rPr>
          <w:rFonts w:ascii="Times New Roman" w:eastAsia="Times New Roman" w:hAnsi="Times New Roman" w:cs="Times New Roman"/>
          <w:b/>
          <w:sz w:val="24"/>
          <w:szCs w:val="24"/>
        </w:rPr>
      </w:pPr>
    </w:p>
    <w:p w14:paraId="547633E6" w14:textId="55B1F3D1" w:rsidR="00B42DD8" w:rsidRDefault="00B42DD8">
      <w:pPr>
        <w:spacing w:line="240" w:lineRule="auto"/>
        <w:jc w:val="both"/>
        <w:rPr>
          <w:rFonts w:ascii="Times New Roman" w:eastAsia="Times New Roman" w:hAnsi="Times New Roman" w:cs="Times New Roman"/>
          <w:b/>
          <w:sz w:val="24"/>
          <w:szCs w:val="24"/>
        </w:rPr>
      </w:pPr>
    </w:p>
    <w:p w14:paraId="26E37D08" w14:textId="00406929" w:rsidR="00B42DD8" w:rsidRDefault="00B42DD8">
      <w:pPr>
        <w:spacing w:line="240" w:lineRule="auto"/>
        <w:jc w:val="both"/>
        <w:rPr>
          <w:rFonts w:ascii="Times New Roman" w:eastAsia="Times New Roman" w:hAnsi="Times New Roman" w:cs="Times New Roman"/>
          <w:b/>
          <w:sz w:val="24"/>
          <w:szCs w:val="24"/>
        </w:rPr>
      </w:pPr>
    </w:p>
    <w:p w14:paraId="1831EA0F" w14:textId="77777777" w:rsidR="002C5EAF" w:rsidRDefault="002C5EAF">
      <w:pPr>
        <w:spacing w:line="240" w:lineRule="auto"/>
        <w:jc w:val="both"/>
        <w:rPr>
          <w:rFonts w:ascii="Times New Roman" w:eastAsia="Times New Roman" w:hAnsi="Times New Roman" w:cs="Times New Roman"/>
          <w:b/>
          <w:sz w:val="24"/>
          <w:szCs w:val="24"/>
        </w:rPr>
      </w:pPr>
    </w:p>
    <w:p w14:paraId="513FF111" w14:textId="35304774"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Table 8: Path Coefficient</w:t>
      </w:r>
    </w:p>
    <w:p w14:paraId="1D100959" w14:textId="77777777" w:rsidR="002A0259" w:rsidRDefault="002A0259">
      <w:pPr>
        <w:spacing w:line="240" w:lineRule="auto"/>
        <w:jc w:val="both"/>
        <w:rPr>
          <w:rFonts w:ascii="Times New Roman" w:eastAsia="Times New Roman" w:hAnsi="Times New Roman" w:cs="Times New Roman"/>
          <w:b/>
          <w:sz w:val="24"/>
          <w:szCs w:val="24"/>
        </w:rPr>
      </w:pPr>
    </w:p>
    <w:tbl>
      <w:tblPr>
        <w:tblStyle w:val="a6"/>
        <w:tblW w:w="10130" w:type="dxa"/>
        <w:tblInd w:w="-165" w:type="dxa"/>
        <w:tblBorders>
          <w:top w:val="nil"/>
          <w:left w:val="nil"/>
          <w:bottom w:val="nil"/>
          <w:right w:val="nil"/>
          <w:insideH w:val="nil"/>
          <w:insideV w:val="nil"/>
        </w:tblBorders>
        <w:tblLayout w:type="fixed"/>
        <w:tblLook w:val="0600" w:firstRow="0" w:lastRow="0" w:firstColumn="0" w:lastColumn="0" w:noHBand="1" w:noVBand="1"/>
      </w:tblPr>
      <w:tblGrid>
        <w:gridCol w:w="1037"/>
        <w:gridCol w:w="1142"/>
        <w:gridCol w:w="992"/>
        <w:gridCol w:w="1202"/>
        <w:gridCol w:w="1383"/>
        <w:gridCol w:w="841"/>
        <w:gridCol w:w="1819"/>
        <w:gridCol w:w="1714"/>
      </w:tblGrid>
      <w:tr w:rsidR="002A0259" w14:paraId="374CAF96" w14:textId="77777777" w:rsidTr="00B42DD8">
        <w:trPr>
          <w:trHeight w:val="265"/>
        </w:trPr>
        <w:tc>
          <w:tcPr>
            <w:tcW w:w="10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434B97" w14:textId="77777777" w:rsidR="002A0259" w:rsidRDefault="002A0259">
            <w:pPr>
              <w:spacing w:line="240" w:lineRule="auto"/>
              <w:jc w:val="both"/>
              <w:rPr>
                <w:rFonts w:ascii="Times New Roman" w:eastAsia="Times New Roman" w:hAnsi="Times New Roman" w:cs="Times New Roman"/>
                <w:b/>
                <w:sz w:val="24"/>
                <w:szCs w:val="24"/>
              </w:rPr>
            </w:pPr>
          </w:p>
        </w:tc>
        <w:tc>
          <w:tcPr>
            <w:tcW w:w="11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FB7926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Original Sample</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079771B"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Sample Mean</w:t>
            </w:r>
          </w:p>
        </w:tc>
        <w:tc>
          <w:tcPr>
            <w:tcW w:w="120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EDB04ED"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w:t>
            </w:r>
            <w:r>
              <w:rPr>
                <w:rFonts w:ascii="Times New Roman" w:eastAsia="Times New Roman" w:hAnsi="Times New Roman" w:cs="Times New Roman"/>
                <w:b/>
                <w:sz w:val="24"/>
                <w:szCs w:val="24"/>
              </w:rPr>
              <w:br/>
              <w:t>Deviation</w:t>
            </w:r>
          </w:p>
        </w:tc>
        <w:tc>
          <w:tcPr>
            <w:tcW w:w="138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58C1D3"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 Statistics</w:t>
            </w:r>
          </w:p>
          <w:p w14:paraId="2F10B1AA"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(|O/STDEV|)</w:t>
            </w:r>
          </w:p>
        </w:tc>
        <w:tc>
          <w:tcPr>
            <w:tcW w:w="84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E7CA3E5"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w:t>
            </w:r>
            <w:r>
              <w:rPr>
                <w:rFonts w:ascii="Times New Roman" w:eastAsia="Times New Roman" w:hAnsi="Times New Roman" w:cs="Times New Roman"/>
                <w:b/>
                <w:sz w:val="24"/>
                <w:szCs w:val="24"/>
              </w:rPr>
              <w:br/>
              <w:t>Value</w:t>
            </w:r>
          </w:p>
        </w:tc>
        <w:tc>
          <w:tcPr>
            <w:tcW w:w="181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EA8598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Remarks</w:t>
            </w:r>
          </w:p>
        </w:tc>
        <w:tc>
          <w:tcPr>
            <w:tcW w:w="171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B80CD32"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Results</w:t>
            </w:r>
          </w:p>
        </w:tc>
      </w:tr>
      <w:tr w:rsidR="002A0259" w14:paraId="4D39755F" w14:textId="77777777" w:rsidTr="00B42DD8">
        <w:trPr>
          <w:trHeight w:val="223"/>
        </w:trPr>
        <w:tc>
          <w:tcPr>
            <w:tcW w:w="103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F8DEB8"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H1 (PP -&gt; ITS)</w:t>
            </w:r>
          </w:p>
        </w:tc>
        <w:tc>
          <w:tcPr>
            <w:tcW w:w="1142" w:type="dxa"/>
            <w:tcBorders>
              <w:top w:val="nil"/>
              <w:left w:val="nil"/>
              <w:bottom w:val="single" w:sz="8" w:space="0" w:color="000000"/>
              <w:right w:val="single" w:sz="8" w:space="0" w:color="000000"/>
            </w:tcBorders>
            <w:tcMar>
              <w:top w:w="100" w:type="dxa"/>
              <w:left w:w="100" w:type="dxa"/>
              <w:bottom w:w="100" w:type="dxa"/>
              <w:right w:w="100" w:type="dxa"/>
            </w:tcMar>
          </w:tcPr>
          <w:p w14:paraId="4D84E86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0.071</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7ED55E2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0.074</w:t>
            </w:r>
          </w:p>
        </w:tc>
        <w:tc>
          <w:tcPr>
            <w:tcW w:w="1202" w:type="dxa"/>
            <w:tcBorders>
              <w:top w:val="nil"/>
              <w:left w:val="nil"/>
              <w:bottom w:val="single" w:sz="8" w:space="0" w:color="000000"/>
              <w:right w:val="single" w:sz="8" w:space="0" w:color="000000"/>
            </w:tcBorders>
            <w:tcMar>
              <w:top w:w="100" w:type="dxa"/>
              <w:left w:w="100" w:type="dxa"/>
              <w:bottom w:w="100" w:type="dxa"/>
              <w:right w:w="100" w:type="dxa"/>
            </w:tcMar>
          </w:tcPr>
          <w:p w14:paraId="5A8B20F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0.081</w:t>
            </w:r>
          </w:p>
        </w:tc>
        <w:tc>
          <w:tcPr>
            <w:tcW w:w="1383" w:type="dxa"/>
            <w:tcBorders>
              <w:top w:val="nil"/>
              <w:left w:val="nil"/>
              <w:bottom w:val="single" w:sz="8" w:space="0" w:color="000000"/>
              <w:right w:val="single" w:sz="8" w:space="0" w:color="000000"/>
            </w:tcBorders>
            <w:tcMar>
              <w:top w:w="100" w:type="dxa"/>
              <w:left w:w="100" w:type="dxa"/>
              <w:bottom w:w="100" w:type="dxa"/>
              <w:right w:w="100" w:type="dxa"/>
            </w:tcMar>
          </w:tcPr>
          <w:p w14:paraId="267B9EB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0.878</w:t>
            </w:r>
          </w:p>
        </w:tc>
        <w:tc>
          <w:tcPr>
            <w:tcW w:w="841" w:type="dxa"/>
            <w:tcBorders>
              <w:top w:val="nil"/>
              <w:left w:val="nil"/>
              <w:bottom w:val="single" w:sz="8" w:space="0" w:color="000000"/>
              <w:right w:val="single" w:sz="8" w:space="0" w:color="000000"/>
            </w:tcBorders>
            <w:tcMar>
              <w:top w:w="100" w:type="dxa"/>
              <w:left w:w="100" w:type="dxa"/>
              <w:bottom w:w="100" w:type="dxa"/>
              <w:right w:w="100" w:type="dxa"/>
            </w:tcMar>
          </w:tcPr>
          <w:p w14:paraId="6F855C5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0.190</w:t>
            </w:r>
          </w:p>
        </w:tc>
        <w:tc>
          <w:tcPr>
            <w:tcW w:w="1819" w:type="dxa"/>
            <w:tcBorders>
              <w:top w:val="nil"/>
              <w:left w:val="nil"/>
              <w:bottom w:val="single" w:sz="8" w:space="0" w:color="000000"/>
              <w:right w:val="single" w:sz="8" w:space="0" w:color="000000"/>
            </w:tcBorders>
            <w:tcMar>
              <w:top w:w="100" w:type="dxa"/>
              <w:left w:w="100" w:type="dxa"/>
              <w:bottom w:w="100" w:type="dxa"/>
              <w:right w:w="100" w:type="dxa"/>
            </w:tcMar>
          </w:tcPr>
          <w:p w14:paraId="6A33C7AC"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 SIGNIFICANT</w:t>
            </w:r>
          </w:p>
        </w:tc>
        <w:tc>
          <w:tcPr>
            <w:tcW w:w="1714" w:type="dxa"/>
            <w:tcBorders>
              <w:top w:val="nil"/>
              <w:left w:val="nil"/>
              <w:bottom w:val="single" w:sz="8" w:space="0" w:color="000000"/>
              <w:right w:val="single" w:sz="8" w:space="0" w:color="000000"/>
            </w:tcBorders>
            <w:tcMar>
              <w:top w:w="100" w:type="dxa"/>
              <w:left w:w="100" w:type="dxa"/>
              <w:bottom w:w="100" w:type="dxa"/>
              <w:right w:w="100" w:type="dxa"/>
            </w:tcMar>
          </w:tcPr>
          <w:p w14:paraId="5F80047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 SUPPORTED</w:t>
            </w:r>
          </w:p>
        </w:tc>
      </w:tr>
      <w:tr w:rsidR="002A0259" w14:paraId="76276AF1" w14:textId="77777777" w:rsidTr="00B42DD8">
        <w:trPr>
          <w:trHeight w:val="223"/>
        </w:trPr>
        <w:tc>
          <w:tcPr>
            <w:tcW w:w="103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58934E"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H2 (ATT -&gt; ITS)</w:t>
            </w:r>
          </w:p>
        </w:tc>
        <w:tc>
          <w:tcPr>
            <w:tcW w:w="1142" w:type="dxa"/>
            <w:tcBorders>
              <w:top w:val="nil"/>
              <w:left w:val="nil"/>
              <w:bottom w:val="single" w:sz="8" w:space="0" w:color="000000"/>
              <w:right w:val="single" w:sz="8" w:space="0" w:color="000000"/>
            </w:tcBorders>
            <w:tcMar>
              <w:top w:w="100" w:type="dxa"/>
              <w:left w:w="100" w:type="dxa"/>
              <w:bottom w:w="100" w:type="dxa"/>
              <w:right w:w="100" w:type="dxa"/>
            </w:tcMar>
          </w:tcPr>
          <w:p w14:paraId="5117F05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-0.056</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1E6C7E7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-0.055</w:t>
            </w:r>
          </w:p>
        </w:tc>
        <w:tc>
          <w:tcPr>
            <w:tcW w:w="1202" w:type="dxa"/>
            <w:tcBorders>
              <w:top w:val="nil"/>
              <w:left w:val="nil"/>
              <w:bottom w:val="single" w:sz="8" w:space="0" w:color="000000"/>
              <w:right w:val="single" w:sz="8" w:space="0" w:color="000000"/>
            </w:tcBorders>
            <w:tcMar>
              <w:top w:w="100" w:type="dxa"/>
              <w:left w:w="100" w:type="dxa"/>
              <w:bottom w:w="100" w:type="dxa"/>
              <w:right w:w="100" w:type="dxa"/>
            </w:tcMar>
          </w:tcPr>
          <w:p w14:paraId="433B956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0.088</w:t>
            </w:r>
          </w:p>
        </w:tc>
        <w:tc>
          <w:tcPr>
            <w:tcW w:w="1383" w:type="dxa"/>
            <w:tcBorders>
              <w:top w:val="nil"/>
              <w:left w:val="nil"/>
              <w:bottom w:val="single" w:sz="8" w:space="0" w:color="000000"/>
              <w:right w:val="single" w:sz="8" w:space="0" w:color="000000"/>
            </w:tcBorders>
            <w:tcMar>
              <w:top w:w="100" w:type="dxa"/>
              <w:left w:w="100" w:type="dxa"/>
              <w:bottom w:w="100" w:type="dxa"/>
              <w:right w:w="100" w:type="dxa"/>
            </w:tcMar>
          </w:tcPr>
          <w:p w14:paraId="5FDFA73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0.639</w:t>
            </w:r>
          </w:p>
        </w:tc>
        <w:tc>
          <w:tcPr>
            <w:tcW w:w="841" w:type="dxa"/>
            <w:tcBorders>
              <w:top w:val="nil"/>
              <w:left w:val="nil"/>
              <w:bottom w:val="single" w:sz="8" w:space="0" w:color="000000"/>
              <w:right w:val="single" w:sz="8" w:space="0" w:color="000000"/>
            </w:tcBorders>
            <w:tcMar>
              <w:top w:w="100" w:type="dxa"/>
              <w:left w:w="100" w:type="dxa"/>
              <w:bottom w:w="100" w:type="dxa"/>
              <w:right w:w="100" w:type="dxa"/>
            </w:tcMar>
          </w:tcPr>
          <w:p w14:paraId="22200E6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0.262</w:t>
            </w:r>
          </w:p>
        </w:tc>
        <w:tc>
          <w:tcPr>
            <w:tcW w:w="1819" w:type="dxa"/>
            <w:tcBorders>
              <w:top w:val="nil"/>
              <w:left w:val="nil"/>
              <w:bottom w:val="single" w:sz="8" w:space="0" w:color="000000"/>
              <w:right w:val="single" w:sz="8" w:space="0" w:color="000000"/>
            </w:tcBorders>
            <w:tcMar>
              <w:top w:w="100" w:type="dxa"/>
              <w:left w:w="100" w:type="dxa"/>
              <w:bottom w:w="100" w:type="dxa"/>
              <w:right w:w="100" w:type="dxa"/>
            </w:tcMar>
          </w:tcPr>
          <w:p w14:paraId="42D467B2"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 SIGNIFICANT</w:t>
            </w:r>
          </w:p>
        </w:tc>
        <w:tc>
          <w:tcPr>
            <w:tcW w:w="1714" w:type="dxa"/>
            <w:tcBorders>
              <w:top w:val="nil"/>
              <w:left w:val="nil"/>
              <w:bottom w:val="single" w:sz="8" w:space="0" w:color="000000"/>
              <w:right w:val="single" w:sz="8" w:space="0" w:color="000000"/>
            </w:tcBorders>
            <w:tcMar>
              <w:top w:w="100" w:type="dxa"/>
              <w:left w:w="100" w:type="dxa"/>
              <w:bottom w:w="100" w:type="dxa"/>
              <w:right w:w="100" w:type="dxa"/>
            </w:tcMar>
          </w:tcPr>
          <w:p w14:paraId="699AE3F0"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 SUPPORTED</w:t>
            </w:r>
          </w:p>
        </w:tc>
      </w:tr>
      <w:tr w:rsidR="002A0259" w14:paraId="24B7DDB6" w14:textId="77777777" w:rsidTr="00B42DD8">
        <w:trPr>
          <w:trHeight w:val="223"/>
        </w:trPr>
        <w:tc>
          <w:tcPr>
            <w:tcW w:w="103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3E89F2"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H3</w:t>
            </w:r>
            <w:r>
              <w:rPr>
                <w:rFonts w:ascii="Times New Roman" w:eastAsia="Times New Roman" w:hAnsi="Times New Roman" w:cs="Times New Roman"/>
                <w:b/>
                <w:sz w:val="24"/>
                <w:szCs w:val="24"/>
              </w:rPr>
              <w:br/>
              <w:t>(SN -&gt; ITS)</w:t>
            </w:r>
          </w:p>
        </w:tc>
        <w:tc>
          <w:tcPr>
            <w:tcW w:w="1142" w:type="dxa"/>
            <w:tcBorders>
              <w:top w:val="nil"/>
              <w:left w:val="nil"/>
              <w:bottom w:val="single" w:sz="8" w:space="0" w:color="000000"/>
              <w:right w:val="single" w:sz="8" w:space="0" w:color="000000"/>
            </w:tcBorders>
            <w:tcMar>
              <w:top w:w="100" w:type="dxa"/>
              <w:left w:w="100" w:type="dxa"/>
              <w:bottom w:w="100" w:type="dxa"/>
              <w:right w:w="100" w:type="dxa"/>
            </w:tcMar>
          </w:tcPr>
          <w:p w14:paraId="373F066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0.121</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07E61A3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0.112</w:t>
            </w:r>
          </w:p>
        </w:tc>
        <w:tc>
          <w:tcPr>
            <w:tcW w:w="1202" w:type="dxa"/>
            <w:tcBorders>
              <w:top w:val="nil"/>
              <w:left w:val="nil"/>
              <w:bottom w:val="single" w:sz="8" w:space="0" w:color="000000"/>
              <w:right w:val="single" w:sz="8" w:space="0" w:color="000000"/>
            </w:tcBorders>
            <w:tcMar>
              <w:top w:w="100" w:type="dxa"/>
              <w:left w:w="100" w:type="dxa"/>
              <w:bottom w:w="100" w:type="dxa"/>
              <w:right w:w="100" w:type="dxa"/>
            </w:tcMar>
          </w:tcPr>
          <w:p w14:paraId="2188F75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0.099</w:t>
            </w:r>
          </w:p>
        </w:tc>
        <w:tc>
          <w:tcPr>
            <w:tcW w:w="1383" w:type="dxa"/>
            <w:tcBorders>
              <w:top w:val="nil"/>
              <w:left w:val="nil"/>
              <w:bottom w:val="single" w:sz="8" w:space="0" w:color="000000"/>
              <w:right w:val="single" w:sz="8" w:space="0" w:color="000000"/>
            </w:tcBorders>
            <w:tcMar>
              <w:top w:w="100" w:type="dxa"/>
              <w:left w:w="100" w:type="dxa"/>
              <w:bottom w:w="100" w:type="dxa"/>
              <w:right w:w="100" w:type="dxa"/>
            </w:tcMar>
          </w:tcPr>
          <w:p w14:paraId="1E8691E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1.215</w:t>
            </w:r>
          </w:p>
        </w:tc>
        <w:tc>
          <w:tcPr>
            <w:tcW w:w="841" w:type="dxa"/>
            <w:tcBorders>
              <w:top w:val="nil"/>
              <w:left w:val="nil"/>
              <w:bottom w:val="single" w:sz="8" w:space="0" w:color="000000"/>
              <w:right w:val="single" w:sz="8" w:space="0" w:color="000000"/>
            </w:tcBorders>
            <w:tcMar>
              <w:top w:w="100" w:type="dxa"/>
              <w:left w:w="100" w:type="dxa"/>
              <w:bottom w:w="100" w:type="dxa"/>
              <w:right w:w="100" w:type="dxa"/>
            </w:tcMar>
          </w:tcPr>
          <w:p w14:paraId="2B9788E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0.112</w:t>
            </w:r>
          </w:p>
        </w:tc>
        <w:tc>
          <w:tcPr>
            <w:tcW w:w="1819" w:type="dxa"/>
            <w:tcBorders>
              <w:top w:val="nil"/>
              <w:left w:val="nil"/>
              <w:bottom w:val="single" w:sz="8" w:space="0" w:color="000000"/>
              <w:right w:val="single" w:sz="8" w:space="0" w:color="000000"/>
            </w:tcBorders>
            <w:tcMar>
              <w:top w:w="100" w:type="dxa"/>
              <w:left w:w="100" w:type="dxa"/>
              <w:bottom w:w="100" w:type="dxa"/>
              <w:right w:w="100" w:type="dxa"/>
            </w:tcMar>
          </w:tcPr>
          <w:p w14:paraId="6F6C0525"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 SIGNIFICANT</w:t>
            </w:r>
          </w:p>
        </w:tc>
        <w:tc>
          <w:tcPr>
            <w:tcW w:w="1714" w:type="dxa"/>
            <w:tcBorders>
              <w:top w:val="nil"/>
              <w:left w:val="nil"/>
              <w:bottom w:val="single" w:sz="8" w:space="0" w:color="000000"/>
              <w:right w:val="single" w:sz="8" w:space="0" w:color="000000"/>
            </w:tcBorders>
            <w:tcMar>
              <w:top w:w="100" w:type="dxa"/>
              <w:left w:w="100" w:type="dxa"/>
              <w:bottom w:w="100" w:type="dxa"/>
              <w:right w:w="100" w:type="dxa"/>
            </w:tcMar>
          </w:tcPr>
          <w:p w14:paraId="1E0E469E"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 SUPPORTED</w:t>
            </w:r>
          </w:p>
        </w:tc>
      </w:tr>
      <w:tr w:rsidR="002A0259" w14:paraId="66537E41" w14:textId="77777777" w:rsidTr="00B42DD8">
        <w:trPr>
          <w:trHeight w:val="223"/>
        </w:trPr>
        <w:tc>
          <w:tcPr>
            <w:tcW w:w="103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C15F71"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H4 (PBC -&gt; ITS)</w:t>
            </w:r>
          </w:p>
        </w:tc>
        <w:tc>
          <w:tcPr>
            <w:tcW w:w="1142" w:type="dxa"/>
            <w:tcBorders>
              <w:top w:val="nil"/>
              <w:left w:val="nil"/>
              <w:bottom w:val="single" w:sz="8" w:space="0" w:color="000000"/>
              <w:right w:val="single" w:sz="8" w:space="0" w:color="000000"/>
            </w:tcBorders>
            <w:tcMar>
              <w:top w:w="100" w:type="dxa"/>
              <w:left w:w="100" w:type="dxa"/>
              <w:bottom w:w="100" w:type="dxa"/>
              <w:right w:w="100" w:type="dxa"/>
            </w:tcMar>
          </w:tcPr>
          <w:p w14:paraId="6177411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0.005</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37094E2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0.013</w:t>
            </w:r>
          </w:p>
        </w:tc>
        <w:tc>
          <w:tcPr>
            <w:tcW w:w="1202" w:type="dxa"/>
            <w:tcBorders>
              <w:top w:val="nil"/>
              <w:left w:val="nil"/>
              <w:bottom w:val="single" w:sz="8" w:space="0" w:color="000000"/>
              <w:right w:val="single" w:sz="8" w:space="0" w:color="000000"/>
            </w:tcBorders>
            <w:tcMar>
              <w:top w:w="100" w:type="dxa"/>
              <w:left w:w="100" w:type="dxa"/>
              <w:bottom w:w="100" w:type="dxa"/>
              <w:right w:w="100" w:type="dxa"/>
            </w:tcMar>
          </w:tcPr>
          <w:p w14:paraId="7B06E6A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0.091</w:t>
            </w:r>
          </w:p>
        </w:tc>
        <w:tc>
          <w:tcPr>
            <w:tcW w:w="1383" w:type="dxa"/>
            <w:tcBorders>
              <w:top w:val="nil"/>
              <w:left w:val="nil"/>
              <w:bottom w:val="single" w:sz="8" w:space="0" w:color="000000"/>
              <w:right w:val="single" w:sz="8" w:space="0" w:color="000000"/>
            </w:tcBorders>
            <w:tcMar>
              <w:top w:w="100" w:type="dxa"/>
              <w:left w:w="100" w:type="dxa"/>
              <w:bottom w:w="100" w:type="dxa"/>
              <w:right w:w="100" w:type="dxa"/>
            </w:tcMar>
          </w:tcPr>
          <w:p w14:paraId="52CAB9D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0.051</w:t>
            </w:r>
          </w:p>
        </w:tc>
        <w:tc>
          <w:tcPr>
            <w:tcW w:w="841" w:type="dxa"/>
            <w:tcBorders>
              <w:top w:val="nil"/>
              <w:left w:val="nil"/>
              <w:bottom w:val="single" w:sz="8" w:space="0" w:color="000000"/>
              <w:right w:val="single" w:sz="8" w:space="0" w:color="000000"/>
            </w:tcBorders>
            <w:tcMar>
              <w:top w:w="100" w:type="dxa"/>
              <w:left w:w="100" w:type="dxa"/>
              <w:bottom w:w="100" w:type="dxa"/>
              <w:right w:w="100" w:type="dxa"/>
            </w:tcMar>
          </w:tcPr>
          <w:p w14:paraId="4648DAB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0.480</w:t>
            </w:r>
          </w:p>
        </w:tc>
        <w:tc>
          <w:tcPr>
            <w:tcW w:w="1819" w:type="dxa"/>
            <w:tcBorders>
              <w:top w:val="nil"/>
              <w:left w:val="nil"/>
              <w:bottom w:val="single" w:sz="8" w:space="0" w:color="000000"/>
              <w:right w:val="single" w:sz="8" w:space="0" w:color="000000"/>
            </w:tcBorders>
            <w:tcMar>
              <w:top w:w="100" w:type="dxa"/>
              <w:left w:w="100" w:type="dxa"/>
              <w:bottom w:w="100" w:type="dxa"/>
              <w:right w:w="100" w:type="dxa"/>
            </w:tcMar>
          </w:tcPr>
          <w:p w14:paraId="73FB048D"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 SIGNIFICANT</w:t>
            </w:r>
          </w:p>
        </w:tc>
        <w:tc>
          <w:tcPr>
            <w:tcW w:w="1714" w:type="dxa"/>
            <w:tcBorders>
              <w:top w:val="nil"/>
              <w:left w:val="nil"/>
              <w:bottom w:val="single" w:sz="8" w:space="0" w:color="000000"/>
              <w:right w:val="single" w:sz="8" w:space="0" w:color="000000"/>
            </w:tcBorders>
            <w:tcMar>
              <w:top w:w="100" w:type="dxa"/>
              <w:left w:w="100" w:type="dxa"/>
              <w:bottom w:w="100" w:type="dxa"/>
              <w:right w:w="100" w:type="dxa"/>
            </w:tcMar>
          </w:tcPr>
          <w:p w14:paraId="7FEA9B44"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 SUPPORTED</w:t>
            </w:r>
          </w:p>
        </w:tc>
      </w:tr>
      <w:tr w:rsidR="002A0259" w14:paraId="5146DC4C" w14:textId="77777777" w:rsidTr="00B42DD8">
        <w:trPr>
          <w:trHeight w:val="223"/>
        </w:trPr>
        <w:tc>
          <w:tcPr>
            <w:tcW w:w="103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1F7BE0"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H5 (MN -&gt; ITS)</w:t>
            </w:r>
          </w:p>
        </w:tc>
        <w:tc>
          <w:tcPr>
            <w:tcW w:w="1142" w:type="dxa"/>
            <w:tcBorders>
              <w:top w:val="nil"/>
              <w:left w:val="nil"/>
              <w:bottom w:val="single" w:sz="8" w:space="0" w:color="000000"/>
              <w:right w:val="single" w:sz="8" w:space="0" w:color="000000"/>
            </w:tcBorders>
            <w:tcMar>
              <w:top w:w="100" w:type="dxa"/>
              <w:left w:w="100" w:type="dxa"/>
              <w:bottom w:w="100" w:type="dxa"/>
              <w:right w:w="100" w:type="dxa"/>
            </w:tcMar>
          </w:tcPr>
          <w:p w14:paraId="4EE0084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0.246</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03AB809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0.235</w:t>
            </w:r>
          </w:p>
        </w:tc>
        <w:tc>
          <w:tcPr>
            <w:tcW w:w="1202" w:type="dxa"/>
            <w:tcBorders>
              <w:top w:val="nil"/>
              <w:left w:val="nil"/>
              <w:bottom w:val="single" w:sz="8" w:space="0" w:color="000000"/>
              <w:right w:val="single" w:sz="8" w:space="0" w:color="000000"/>
            </w:tcBorders>
            <w:tcMar>
              <w:top w:w="100" w:type="dxa"/>
              <w:left w:w="100" w:type="dxa"/>
              <w:bottom w:w="100" w:type="dxa"/>
              <w:right w:w="100" w:type="dxa"/>
            </w:tcMar>
          </w:tcPr>
          <w:p w14:paraId="656FE13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0.095</w:t>
            </w:r>
          </w:p>
        </w:tc>
        <w:tc>
          <w:tcPr>
            <w:tcW w:w="1383" w:type="dxa"/>
            <w:tcBorders>
              <w:top w:val="nil"/>
              <w:left w:val="nil"/>
              <w:bottom w:val="single" w:sz="8" w:space="0" w:color="000000"/>
              <w:right w:val="single" w:sz="8" w:space="0" w:color="000000"/>
            </w:tcBorders>
            <w:tcMar>
              <w:top w:w="100" w:type="dxa"/>
              <w:left w:w="100" w:type="dxa"/>
              <w:bottom w:w="100" w:type="dxa"/>
              <w:right w:w="100" w:type="dxa"/>
            </w:tcMar>
          </w:tcPr>
          <w:p w14:paraId="101ED63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2.590</w:t>
            </w:r>
          </w:p>
        </w:tc>
        <w:tc>
          <w:tcPr>
            <w:tcW w:w="841" w:type="dxa"/>
            <w:tcBorders>
              <w:top w:val="nil"/>
              <w:left w:val="nil"/>
              <w:bottom w:val="single" w:sz="8" w:space="0" w:color="000000"/>
              <w:right w:val="single" w:sz="8" w:space="0" w:color="000000"/>
            </w:tcBorders>
            <w:tcMar>
              <w:top w:w="100" w:type="dxa"/>
              <w:left w:w="100" w:type="dxa"/>
              <w:bottom w:w="100" w:type="dxa"/>
              <w:right w:w="100" w:type="dxa"/>
            </w:tcMar>
          </w:tcPr>
          <w:p w14:paraId="0A0CC56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0.005</w:t>
            </w:r>
          </w:p>
        </w:tc>
        <w:tc>
          <w:tcPr>
            <w:tcW w:w="1819" w:type="dxa"/>
            <w:tcBorders>
              <w:top w:val="nil"/>
              <w:left w:val="nil"/>
              <w:bottom w:val="single" w:sz="8" w:space="0" w:color="000000"/>
              <w:right w:val="single" w:sz="8" w:space="0" w:color="000000"/>
            </w:tcBorders>
            <w:tcMar>
              <w:top w:w="100" w:type="dxa"/>
              <w:left w:w="100" w:type="dxa"/>
              <w:bottom w:w="100" w:type="dxa"/>
              <w:right w:w="100" w:type="dxa"/>
            </w:tcMar>
          </w:tcPr>
          <w:p w14:paraId="26FE2749"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SIGNIFICANT</w:t>
            </w:r>
          </w:p>
        </w:tc>
        <w:tc>
          <w:tcPr>
            <w:tcW w:w="1714" w:type="dxa"/>
            <w:tcBorders>
              <w:top w:val="nil"/>
              <w:left w:val="nil"/>
              <w:bottom w:val="single" w:sz="8" w:space="0" w:color="000000"/>
              <w:right w:val="single" w:sz="8" w:space="0" w:color="000000"/>
            </w:tcBorders>
            <w:tcMar>
              <w:top w:w="100" w:type="dxa"/>
              <w:left w:w="100" w:type="dxa"/>
              <w:bottom w:w="100" w:type="dxa"/>
              <w:right w:w="100" w:type="dxa"/>
            </w:tcMar>
          </w:tcPr>
          <w:p w14:paraId="7F35E2B3"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SUPPORTED</w:t>
            </w:r>
          </w:p>
        </w:tc>
      </w:tr>
      <w:tr w:rsidR="002A0259" w14:paraId="2F02E50B" w14:textId="77777777" w:rsidTr="00B42DD8">
        <w:trPr>
          <w:trHeight w:val="223"/>
        </w:trPr>
        <w:tc>
          <w:tcPr>
            <w:tcW w:w="103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67E1F69"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H6 </w:t>
            </w:r>
            <w:r>
              <w:rPr>
                <w:rFonts w:ascii="Times New Roman" w:eastAsia="Times New Roman" w:hAnsi="Times New Roman" w:cs="Times New Roman"/>
                <w:b/>
                <w:sz w:val="24"/>
                <w:szCs w:val="24"/>
              </w:rPr>
              <w:br/>
              <w:t>(EC -&gt; ITS)</w:t>
            </w:r>
          </w:p>
        </w:tc>
        <w:tc>
          <w:tcPr>
            <w:tcW w:w="1142" w:type="dxa"/>
            <w:tcBorders>
              <w:top w:val="nil"/>
              <w:left w:val="nil"/>
              <w:bottom w:val="single" w:sz="8" w:space="0" w:color="000000"/>
              <w:right w:val="single" w:sz="8" w:space="0" w:color="000000"/>
            </w:tcBorders>
            <w:tcMar>
              <w:top w:w="100" w:type="dxa"/>
              <w:left w:w="100" w:type="dxa"/>
              <w:bottom w:w="100" w:type="dxa"/>
              <w:right w:w="100" w:type="dxa"/>
            </w:tcMar>
          </w:tcPr>
          <w:p w14:paraId="4F87C3C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0.284</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266E91D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0.290</w:t>
            </w:r>
          </w:p>
        </w:tc>
        <w:tc>
          <w:tcPr>
            <w:tcW w:w="1202" w:type="dxa"/>
            <w:tcBorders>
              <w:top w:val="nil"/>
              <w:left w:val="nil"/>
              <w:bottom w:val="single" w:sz="8" w:space="0" w:color="000000"/>
              <w:right w:val="single" w:sz="8" w:space="0" w:color="000000"/>
            </w:tcBorders>
            <w:tcMar>
              <w:top w:w="100" w:type="dxa"/>
              <w:left w:w="100" w:type="dxa"/>
              <w:bottom w:w="100" w:type="dxa"/>
              <w:right w:w="100" w:type="dxa"/>
            </w:tcMar>
          </w:tcPr>
          <w:p w14:paraId="7ADCE7A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0.083</w:t>
            </w:r>
          </w:p>
        </w:tc>
        <w:tc>
          <w:tcPr>
            <w:tcW w:w="1383" w:type="dxa"/>
            <w:tcBorders>
              <w:top w:val="nil"/>
              <w:left w:val="nil"/>
              <w:bottom w:val="single" w:sz="8" w:space="0" w:color="000000"/>
              <w:right w:val="single" w:sz="8" w:space="0" w:color="000000"/>
            </w:tcBorders>
            <w:tcMar>
              <w:top w:w="100" w:type="dxa"/>
              <w:left w:w="100" w:type="dxa"/>
              <w:bottom w:w="100" w:type="dxa"/>
              <w:right w:w="100" w:type="dxa"/>
            </w:tcMar>
          </w:tcPr>
          <w:p w14:paraId="07B0AF2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3.401</w:t>
            </w:r>
          </w:p>
        </w:tc>
        <w:tc>
          <w:tcPr>
            <w:tcW w:w="841" w:type="dxa"/>
            <w:tcBorders>
              <w:top w:val="nil"/>
              <w:left w:val="nil"/>
              <w:bottom w:val="single" w:sz="8" w:space="0" w:color="000000"/>
              <w:right w:val="single" w:sz="8" w:space="0" w:color="000000"/>
            </w:tcBorders>
            <w:tcMar>
              <w:top w:w="100" w:type="dxa"/>
              <w:left w:w="100" w:type="dxa"/>
              <w:bottom w:w="100" w:type="dxa"/>
              <w:right w:w="100" w:type="dxa"/>
            </w:tcMar>
          </w:tcPr>
          <w:p w14:paraId="203BC31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0.000</w:t>
            </w:r>
          </w:p>
        </w:tc>
        <w:tc>
          <w:tcPr>
            <w:tcW w:w="1819" w:type="dxa"/>
            <w:tcBorders>
              <w:top w:val="nil"/>
              <w:left w:val="nil"/>
              <w:bottom w:val="single" w:sz="8" w:space="0" w:color="000000"/>
              <w:right w:val="single" w:sz="8" w:space="0" w:color="000000"/>
            </w:tcBorders>
            <w:tcMar>
              <w:top w:w="100" w:type="dxa"/>
              <w:left w:w="100" w:type="dxa"/>
              <w:bottom w:w="100" w:type="dxa"/>
              <w:right w:w="100" w:type="dxa"/>
            </w:tcMar>
          </w:tcPr>
          <w:p w14:paraId="2FB7CFA7"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SIGNIFICANT</w:t>
            </w:r>
          </w:p>
        </w:tc>
        <w:tc>
          <w:tcPr>
            <w:tcW w:w="1714" w:type="dxa"/>
            <w:tcBorders>
              <w:top w:val="nil"/>
              <w:left w:val="nil"/>
              <w:bottom w:val="single" w:sz="8" w:space="0" w:color="000000"/>
              <w:right w:val="single" w:sz="8" w:space="0" w:color="000000"/>
            </w:tcBorders>
            <w:tcMar>
              <w:top w:w="100" w:type="dxa"/>
              <w:left w:w="100" w:type="dxa"/>
              <w:bottom w:w="100" w:type="dxa"/>
              <w:right w:w="100" w:type="dxa"/>
            </w:tcMar>
          </w:tcPr>
          <w:p w14:paraId="39A5F709"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SUPPORTED</w:t>
            </w:r>
          </w:p>
        </w:tc>
      </w:tr>
      <w:tr w:rsidR="002A0259" w14:paraId="483C7623" w14:textId="77777777" w:rsidTr="00B42DD8">
        <w:trPr>
          <w:trHeight w:val="223"/>
        </w:trPr>
        <w:tc>
          <w:tcPr>
            <w:tcW w:w="103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D19A97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H7 </w:t>
            </w:r>
            <w:r>
              <w:rPr>
                <w:rFonts w:ascii="Times New Roman" w:eastAsia="Times New Roman" w:hAnsi="Times New Roman" w:cs="Times New Roman"/>
                <w:b/>
                <w:sz w:val="24"/>
                <w:szCs w:val="24"/>
              </w:rPr>
              <w:br/>
              <w:t>(FK -&gt; ITS)</w:t>
            </w:r>
          </w:p>
        </w:tc>
        <w:tc>
          <w:tcPr>
            <w:tcW w:w="1142" w:type="dxa"/>
            <w:tcBorders>
              <w:top w:val="nil"/>
              <w:left w:val="nil"/>
              <w:bottom w:val="single" w:sz="8" w:space="0" w:color="000000"/>
              <w:right w:val="single" w:sz="8" w:space="0" w:color="000000"/>
            </w:tcBorders>
            <w:tcMar>
              <w:top w:w="100" w:type="dxa"/>
              <w:left w:w="100" w:type="dxa"/>
              <w:bottom w:w="100" w:type="dxa"/>
              <w:right w:w="100" w:type="dxa"/>
            </w:tcMar>
          </w:tcPr>
          <w:p w14:paraId="7C88201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0.208</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0D43D99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0.212</w:t>
            </w:r>
          </w:p>
        </w:tc>
        <w:tc>
          <w:tcPr>
            <w:tcW w:w="1202" w:type="dxa"/>
            <w:tcBorders>
              <w:top w:val="nil"/>
              <w:left w:val="nil"/>
              <w:bottom w:val="single" w:sz="8" w:space="0" w:color="000000"/>
              <w:right w:val="single" w:sz="8" w:space="0" w:color="000000"/>
            </w:tcBorders>
            <w:tcMar>
              <w:top w:w="100" w:type="dxa"/>
              <w:left w:w="100" w:type="dxa"/>
              <w:bottom w:w="100" w:type="dxa"/>
              <w:right w:w="100" w:type="dxa"/>
            </w:tcMar>
          </w:tcPr>
          <w:p w14:paraId="7F002BF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0.085</w:t>
            </w:r>
          </w:p>
        </w:tc>
        <w:tc>
          <w:tcPr>
            <w:tcW w:w="1383" w:type="dxa"/>
            <w:tcBorders>
              <w:top w:val="nil"/>
              <w:left w:val="nil"/>
              <w:bottom w:val="single" w:sz="8" w:space="0" w:color="000000"/>
              <w:right w:val="single" w:sz="8" w:space="0" w:color="000000"/>
            </w:tcBorders>
            <w:tcMar>
              <w:top w:w="100" w:type="dxa"/>
              <w:left w:w="100" w:type="dxa"/>
              <w:bottom w:w="100" w:type="dxa"/>
              <w:right w:w="100" w:type="dxa"/>
            </w:tcMar>
          </w:tcPr>
          <w:p w14:paraId="44A4351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2.442</w:t>
            </w:r>
          </w:p>
        </w:tc>
        <w:tc>
          <w:tcPr>
            <w:tcW w:w="841" w:type="dxa"/>
            <w:tcBorders>
              <w:top w:val="nil"/>
              <w:left w:val="nil"/>
              <w:bottom w:val="single" w:sz="8" w:space="0" w:color="000000"/>
              <w:right w:val="single" w:sz="8" w:space="0" w:color="000000"/>
            </w:tcBorders>
            <w:tcMar>
              <w:top w:w="100" w:type="dxa"/>
              <w:left w:w="100" w:type="dxa"/>
              <w:bottom w:w="100" w:type="dxa"/>
              <w:right w:w="100" w:type="dxa"/>
            </w:tcMar>
          </w:tcPr>
          <w:p w14:paraId="6A96A05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0.007</w:t>
            </w:r>
          </w:p>
        </w:tc>
        <w:tc>
          <w:tcPr>
            <w:tcW w:w="1819" w:type="dxa"/>
            <w:tcBorders>
              <w:top w:val="nil"/>
              <w:left w:val="nil"/>
              <w:bottom w:val="single" w:sz="8" w:space="0" w:color="000000"/>
              <w:right w:val="single" w:sz="8" w:space="0" w:color="000000"/>
            </w:tcBorders>
            <w:tcMar>
              <w:top w:w="100" w:type="dxa"/>
              <w:left w:w="100" w:type="dxa"/>
              <w:bottom w:w="100" w:type="dxa"/>
              <w:right w:w="100" w:type="dxa"/>
            </w:tcMar>
          </w:tcPr>
          <w:p w14:paraId="2F91ADF4"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SIGNIFICANT</w:t>
            </w:r>
          </w:p>
        </w:tc>
        <w:tc>
          <w:tcPr>
            <w:tcW w:w="1714" w:type="dxa"/>
            <w:tcBorders>
              <w:top w:val="nil"/>
              <w:left w:val="nil"/>
              <w:bottom w:val="single" w:sz="8" w:space="0" w:color="000000"/>
              <w:right w:val="single" w:sz="8" w:space="0" w:color="000000"/>
            </w:tcBorders>
            <w:tcMar>
              <w:top w:w="100" w:type="dxa"/>
              <w:left w:w="100" w:type="dxa"/>
              <w:bottom w:w="100" w:type="dxa"/>
              <w:right w:w="100" w:type="dxa"/>
            </w:tcMar>
          </w:tcPr>
          <w:p w14:paraId="02CB31A7"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SUPPORTED</w:t>
            </w:r>
          </w:p>
        </w:tc>
      </w:tr>
    </w:tbl>
    <w:p w14:paraId="528CE579" w14:textId="77777777" w:rsidR="002A0259" w:rsidRDefault="002A0259">
      <w:pPr>
        <w:spacing w:line="240" w:lineRule="auto"/>
        <w:jc w:val="both"/>
        <w:rPr>
          <w:rFonts w:ascii="Times New Roman" w:eastAsia="Times New Roman" w:hAnsi="Times New Roman" w:cs="Times New Roman"/>
          <w:b/>
          <w:sz w:val="24"/>
          <w:szCs w:val="24"/>
        </w:rPr>
      </w:pPr>
    </w:p>
    <w:p w14:paraId="024C2BC0" w14:textId="77777777" w:rsidR="002A0259" w:rsidRDefault="002A0259">
      <w:pPr>
        <w:spacing w:line="240" w:lineRule="auto"/>
        <w:jc w:val="both"/>
        <w:rPr>
          <w:rFonts w:ascii="Times New Roman" w:eastAsia="Times New Roman" w:hAnsi="Times New Roman" w:cs="Times New Roman"/>
          <w:b/>
          <w:sz w:val="24"/>
          <w:szCs w:val="24"/>
        </w:rPr>
      </w:pPr>
    </w:p>
    <w:p w14:paraId="3F372198" w14:textId="77777777" w:rsidR="002A0259" w:rsidRDefault="002A0259">
      <w:pPr>
        <w:spacing w:line="240" w:lineRule="auto"/>
        <w:jc w:val="both"/>
        <w:rPr>
          <w:rFonts w:ascii="Times New Roman" w:eastAsia="Times New Roman" w:hAnsi="Times New Roman" w:cs="Times New Roman"/>
          <w:b/>
          <w:sz w:val="24"/>
          <w:szCs w:val="24"/>
        </w:rPr>
      </w:pPr>
    </w:p>
    <w:p w14:paraId="41108A94" w14:textId="11CA3B69" w:rsidR="002A0259" w:rsidRDefault="002A0259">
      <w:pPr>
        <w:spacing w:line="240" w:lineRule="auto"/>
        <w:jc w:val="both"/>
        <w:rPr>
          <w:rFonts w:ascii="Times New Roman" w:eastAsia="Times New Roman" w:hAnsi="Times New Roman" w:cs="Times New Roman"/>
          <w:b/>
          <w:sz w:val="24"/>
          <w:szCs w:val="24"/>
        </w:rPr>
      </w:pPr>
    </w:p>
    <w:p w14:paraId="1655F21B" w14:textId="7A35A9CE" w:rsidR="00B42DD8" w:rsidRDefault="00B42DD8">
      <w:pPr>
        <w:spacing w:line="240" w:lineRule="auto"/>
        <w:jc w:val="both"/>
        <w:rPr>
          <w:rFonts w:ascii="Times New Roman" w:eastAsia="Times New Roman" w:hAnsi="Times New Roman" w:cs="Times New Roman"/>
          <w:b/>
          <w:sz w:val="24"/>
          <w:szCs w:val="24"/>
        </w:rPr>
      </w:pPr>
    </w:p>
    <w:p w14:paraId="77C04648" w14:textId="26554180" w:rsidR="00B42DD8" w:rsidRDefault="00B42DD8">
      <w:pPr>
        <w:spacing w:line="240" w:lineRule="auto"/>
        <w:jc w:val="both"/>
        <w:rPr>
          <w:rFonts w:ascii="Times New Roman" w:eastAsia="Times New Roman" w:hAnsi="Times New Roman" w:cs="Times New Roman"/>
          <w:b/>
          <w:sz w:val="24"/>
          <w:szCs w:val="24"/>
        </w:rPr>
      </w:pPr>
    </w:p>
    <w:p w14:paraId="2FBEA364" w14:textId="3F8F0FA4" w:rsidR="00B42DD8" w:rsidRDefault="00B42DD8">
      <w:pPr>
        <w:spacing w:line="240" w:lineRule="auto"/>
        <w:jc w:val="both"/>
        <w:rPr>
          <w:rFonts w:ascii="Times New Roman" w:eastAsia="Times New Roman" w:hAnsi="Times New Roman" w:cs="Times New Roman"/>
          <w:b/>
          <w:sz w:val="24"/>
          <w:szCs w:val="24"/>
        </w:rPr>
      </w:pPr>
    </w:p>
    <w:p w14:paraId="6E57D806" w14:textId="77777777" w:rsidR="00B42DD8" w:rsidRDefault="00B42DD8">
      <w:pPr>
        <w:spacing w:line="240" w:lineRule="auto"/>
        <w:jc w:val="both"/>
        <w:rPr>
          <w:rFonts w:ascii="Times New Roman" w:eastAsia="Times New Roman" w:hAnsi="Times New Roman" w:cs="Times New Roman"/>
          <w:b/>
          <w:sz w:val="24"/>
          <w:szCs w:val="24"/>
        </w:rPr>
      </w:pPr>
    </w:p>
    <w:p w14:paraId="32A12FC0" w14:textId="77777777" w:rsidR="002A0259" w:rsidRDefault="002A0259">
      <w:pPr>
        <w:spacing w:line="240" w:lineRule="auto"/>
        <w:jc w:val="both"/>
        <w:rPr>
          <w:rFonts w:ascii="Times New Roman" w:eastAsia="Times New Roman" w:hAnsi="Times New Roman" w:cs="Times New Roman"/>
          <w:b/>
          <w:sz w:val="24"/>
          <w:szCs w:val="24"/>
        </w:rPr>
      </w:pPr>
    </w:p>
    <w:p w14:paraId="6CB1A660"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Table 9: r Square, f Square</w:t>
      </w:r>
    </w:p>
    <w:p w14:paraId="7648919B" w14:textId="77777777" w:rsidR="002A0259" w:rsidRDefault="002A0259">
      <w:pPr>
        <w:spacing w:line="240" w:lineRule="auto"/>
        <w:jc w:val="both"/>
        <w:rPr>
          <w:rFonts w:ascii="Times New Roman" w:eastAsia="Times New Roman" w:hAnsi="Times New Roman" w:cs="Times New Roman"/>
          <w:b/>
          <w:sz w:val="24"/>
          <w:szCs w:val="24"/>
        </w:rPr>
      </w:pPr>
    </w:p>
    <w:tbl>
      <w:tblPr>
        <w:tblStyle w:val="a7"/>
        <w:tblW w:w="9440" w:type="dxa"/>
        <w:tblBorders>
          <w:top w:val="nil"/>
          <w:left w:val="nil"/>
          <w:bottom w:val="nil"/>
          <w:right w:val="nil"/>
          <w:insideH w:val="nil"/>
          <w:insideV w:val="nil"/>
        </w:tblBorders>
        <w:tblLayout w:type="fixed"/>
        <w:tblLook w:val="0600" w:firstRow="0" w:lastRow="0" w:firstColumn="0" w:lastColumn="0" w:noHBand="1" w:noVBand="1"/>
      </w:tblPr>
      <w:tblGrid>
        <w:gridCol w:w="1142"/>
        <w:gridCol w:w="1112"/>
        <w:gridCol w:w="1503"/>
        <w:gridCol w:w="1233"/>
        <w:gridCol w:w="1037"/>
        <w:gridCol w:w="1609"/>
        <w:gridCol w:w="1804"/>
      </w:tblGrid>
      <w:tr w:rsidR="002A0259" w14:paraId="7E1EFAAC" w14:textId="77777777" w:rsidTr="00B42DD8">
        <w:trPr>
          <w:trHeight w:val="325"/>
        </w:trPr>
        <w:tc>
          <w:tcPr>
            <w:tcW w:w="11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6D454" w14:textId="77777777" w:rsidR="002A0259" w:rsidRDefault="002A0259">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rPr>
            </w:pPr>
          </w:p>
        </w:tc>
        <w:tc>
          <w:tcPr>
            <w:tcW w:w="11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0C7F71" w14:textId="77777777" w:rsidR="002A0259" w:rsidRDefault="00343186">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Relation</w:t>
            </w:r>
          </w:p>
        </w:tc>
        <w:tc>
          <w:tcPr>
            <w:tcW w:w="150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8820597"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ORIGINAL SAMPLE</w:t>
            </w:r>
          </w:p>
        </w:tc>
        <w:tc>
          <w:tcPr>
            <w:tcW w:w="123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F1D4F4B"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SAMPLE MEAN</w:t>
            </w:r>
          </w:p>
        </w:tc>
        <w:tc>
          <w:tcPr>
            <w:tcW w:w="103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277B720"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STD</w:t>
            </w:r>
          </w:p>
        </w:tc>
        <w:tc>
          <w:tcPr>
            <w:tcW w:w="160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5B94061"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 STATISTICS</w:t>
            </w:r>
          </w:p>
        </w:tc>
        <w:tc>
          <w:tcPr>
            <w:tcW w:w="180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EE7CFE2"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 VALUE</w:t>
            </w:r>
          </w:p>
        </w:tc>
      </w:tr>
      <w:tr w:rsidR="002A0259" w14:paraId="2EB55F89" w14:textId="77777777" w:rsidTr="00B42DD8">
        <w:trPr>
          <w:trHeight w:val="150"/>
        </w:trPr>
        <w:tc>
          <w:tcPr>
            <w:tcW w:w="114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839611"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 Square</w:t>
            </w:r>
          </w:p>
        </w:tc>
        <w:tc>
          <w:tcPr>
            <w:tcW w:w="11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20CE23"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ITS</w:t>
            </w:r>
          </w:p>
        </w:tc>
        <w:tc>
          <w:tcPr>
            <w:tcW w:w="1503" w:type="dxa"/>
            <w:tcBorders>
              <w:top w:val="nil"/>
              <w:left w:val="nil"/>
              <w:bottom w:val="single" w:sz="8" w:space="0" w:color="000000"/>
              <w:right w:val="single" w:sz="8" w:space="0" w:color="000000"/>
            </w:tcBorders>
            <w:tcMar>
              <w:top w:w="100" w:type="dxa"/>
              <w:left w:w="100" w:type="dxa"/>
              <w:bottom w:w="100" w:type="dxa"/>
              <w:right w:w="100" w:type="dxa"/>
            </w:tcMar>
          </w:tcPr>
          <w:p w14:paraId="1990E4E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0.562</w:t>
            </w:r>
          </w:p>
        </w:tc>
        <w:tc>
          <w:tcPr>
            <w:tcW w:w="1233" w:type="dxa"/>
            <w:tcBorders>
              <w:top w:val="nil"/>
              <w:left w:val="nil"/>
              <w:bottom w:val="single" w:sz="8" w:space="0" w:color="000000"/>
              <w:right w:val="single" w:sz="8" w:space="0" w:color="000000"/>
            </w:tcBorders>
            <w:tcMar>
              <w:top w:w="100" w:type="dxa"/>
              <w:left w:w="100" w:type="dxa"/>
              <w:bottom w:w="100" w:type="dxa"/>
              <w:right w:w="100" w:type="dxa"/>
            </w:tcMar>
          </w:tcPr>
          <w:p w14:paraId="66A9BFF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0.587</w:t>
            </w:r>
          </w:p>
        </w:tc>
        <w:tc>
          <w:tcPr>
            <w:tcW w:w="1037" w:type="dxa"/>
            <w:tcBorders>
              <w:top w:val="nil"/>
              <w:left w:val="nil"/>
              <w:bottom w:val="single" w:sz="8" w:space="0" w:color="000000"/>
              <w:right w:val="single" w:sz="8" w:space="0" w:color="000000"/>
            </w:tcBorders>
            <w:tcMar>
              <w:top w:w="100" w:type="dxa"/>
              <w:left w:w="100" w:type="dxa"/>
              <w:bottom w:w="100" w:type="dxa"/>
              <w:right w:w="100" w:type="dxa"/>
            </w:tcMar>
          </w:tcPr>
          <w:p w14:paraId="1935547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0.059</w:t>
            </w:r>
          </w:p>
        </w:tc>
        <w:tc>
          <w:tcPr>
            <w:tcW w:w="1609" w:type="dxa"/>
            <w:tcBorders>
              <w:top w:val="nil"/>
              <w:left w:val="nil"/>
              <w:bottom w:val="single" w:sz="8" w:space="0" w:color="000000"/>
              <w:right w:val="single" w:sz="8" w:space="0" w:color="000000"/>
            </w:tcBorders>
            <w:tcMar>
              <w:top w:w="100" w:type="dxa"/>
              <w:left w:w="100" w:type="dxa"/>
              <w:bottom w:w="100" w:type="dxa"/>
              <w:right w:w="100" w:type="dxa"/>
            </w:tcMar>
          </w:tcPr>
          <w:p w14:paraId="2DF66A3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9.584</w:t>
            </w:r>
          </w:p>
        </w:tc>
        <w:tc>
          <w:tcPr>
            <w:tcW w:w="1804" w:type="dxa"/>
            <w:tcBorders>
              <w:top w:val="nil"/>
              <w:left w:val="nil"/>
              <w:bottom w:val="single" w:sz="8" w:space="0" w:color="000000"/>
              <w:right w:val="single" w:sz="8" w:space="0" w:color="000000"/>
            </w:tcBorders>
            <w:tcMar>
              <w:top w:w="100" w:type="dxa"/>
              <w:left w:w="100" w:type="dxa"/>
              <w:bottom w:w="100" w:type="dxa"/>
              <w:right w:w="100" w:type="dxa"/>
            </w:tcMar>
          </w:tcPr>
          <w:p w14:paraId="6155AC0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0.000</w:t>
            </w:r>
          </w:p>
        </w:tc>
      </w:tr>
      <w:tr w:rsidR="002A0259" w14:paraId="0414E48A" w14:textId="77777777" w:rsidTr="00B42DD8">
        <w:trPr>
          <w:trHeight w:val="150"/>
        </w:trPr>
        <w:tc>
          <w:tcPr>
            <w:tcW w:w="1142"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F1EE02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 Square</w:t>
            </w:r>
          </w:p>
        </w:tc>
        <w:tc>
          <w:tcPr>
            <w:tcW w:w="11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E8B6DF9"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ATT -&gt; ITS</w:t>
            </w:r>
          </w:p>
        </w:tc>
        <w:tc>
          <w:tcPr>
            <w:tcW w:w="1503" w:type="dxa"/>
            <w:tcBorders>
              <w:top w:val="nil"/>
              <w:left w:val="nil"/>
              <w:bottom w:val="single" w:sz="8" w:space="0" w:color="000000"/>
              <w:right w:val="single" w:sz="8" w:space="0" w:color="000000"/>
            </w:tcBorders>
            <w:tcMar>
              <w:top w:w="100" w:type="dxa"/>
              <w:left w:w="100" w:type="dxa"/>
              <w:bottom w:w="100" w:type="dxa"/>
              <w:right w:w="100" w:type="dxa"/>
            </w:tcMar>
          </w:tcPr>
          <w:p w14:paraId="2606CFE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0.003</w:t>
            </w:r>
          </w:p>
        </w:tc>
        <w:tc>
          <w:tcPr>
            <w:tcW w:w="1233" w:type="dxa"/>
            <w:tcBorders>
              <w:top w:val="nil"/>
              <w:left w:val="nil"/>
              <w:bottom w:val="single" w:sz="8" w:space="0" w:color="000000"/>
              <w:right w:val="single" w:sz="8" w:space="0" w:color="000000"/>
            </w:tcBorders>
            <w:tcMar>
              <w:top w:w="100" w:type="dxa"/>
              <w:left w:w="100" w:type="dxa"/>
              <w:bottom w:w="100" w:type="dxa"/>
              <w:right w:w="100" w:type="dxa"/>
            </w:tcMar>
          </w:tcPr>
          <w:p w14:paraId="6E61F68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0.010</w:t>
            </w:r>
          </w:p>
        </w:tc>
        <w:tc>
          <w:tcPr>
            <w:tcW w:w="1037" w:type="dxa"/>
            <w:tcBorders>
              <w:top w:val="nil"/>
              <w:left w:val="nil"/>
              <w:bottom w:val="single" w:sz="8" w:space="0" w:color="000000"/>
              <w:right w:val="single" w:sz="8" w:space="0" w:color="000000"/>
            </w:tcBorders>
            <w:tcMar>
              <w:top w:w="100" w:type="dxa"/>
              <w:left w:w="100" w:type="dxa"/>
              <w:bottom w:w="100" w:type="dxa"/>
              <w:right w:w="100" w:type="dxa"/>
            </w:tcMar>
          </w:tcPr>
          <w:p w14:paraId="3F3C7D2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0.013</w:t>
            </w:r>
          </w:p>
        </w:tc>
        <w:tc>
          <w:tcPr>
            <w:tcW w:w="1609" w:type="dxa"/>
            <w:tcBorders>
              <w:top w:val="nil"/>
              <w:left w:val="nil"/>
              <w:bottom w:val="single" w:sz="8" w:space="0" w:color="000000"/>
              <w:right w:val="single" w:sz="8" w:space="0" w:color="000000"/>
            </w:tcBorders>
            <w:tcMar>
              <w:top w:w="100" w:type="dxa"/>
              <w:left w:w="100" w:type="dxa"/>
              <w:bottom w:w="100" w:type="dxa"/>
              <w:right w:w="100" w:type="dxa"/>
            </w:tcMar>
          </w:tcPr>
          <w:p w14:paraId="0E9B0E3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0.230</w:t>
            </w:r>
          </w:p>
        </w:tc>
        <w:tc>
          <w:tcPr>
            <w:tcW w:w="1804" w:type="dxa"/>
            <w:tcBorders>
              <w:top w:val="nil"/>
              <w:left w:val="nil"/>
              <w:bottom w:val="single" w:sz="8" w:space="0" w:color="000000"/>
              <w:right w:val="single" w:sz="8" w:space="0" w:color="000000"/>
            </w:tcBorders>
            <w:tcMar>
              <w:top w:w="100" w:type="dxa"/>
              <w:left w:w="100" w:type="dxa"/>
              <w:bottom w:w="100" w:type="dxa"/>
              <w:right w:w="100" w:type="dxa"/>
            </w:tcMar>
          </w:tcPr>
          <w:p w14:paraId="6D7D899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0.409</w:t>
            </w:r>
          </w:p>
        </w:tc>
      </w:tr>
      <w:tr w:rsidR="002A0259" w14:paraId="70CD8397" w14:textId="77777777" w:rsidTr="00B42DD8">
        <w:trPr>
          <w:trHeight w:val="150"/>
        </w:trPr>
        <w:tc>
          <w:tcPr>
            <w:tcW w:w="1142"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9044E5" w14:textId="77777777" w:rsidR="002A0259" w:rsidRDefault="002A0259">
            <w:pPr>
              <w:spacing w:line="240" w:lineRule="auto"/>
              <w:jc w:val="both"/>
              <w:rPr>
                <w:rFonts w:ascii="Times New Roman" w:eastAsia="Times New Roman" w:hAnsi="Times New Roman" w:cs="Times New Roman"/>
                <w:b/>
                <w:sz w:val="24"/>
                <w:szCs w:val="24"/>
              </w:rPr>
            </w:pPr>
          </w:p>
        </w:tc>
        <w:tc>
          <w:tcPr>
            <w:tcW w:w="11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AFD8F7"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EC -&gt; ITS</w:t>
            </w:r>
          </w:p>
        </w:tc>
        <w:tc>
          <w:tcPr>
            <w:tcW w:w="1503" w:type="dxa"/>
            <w:tcBorders>
              <w:top w:val="nil"/>
              <w:left w:val="nil"/>
              <w:bottom w:val="single" w:sz="8" w:space="0" w:color="000000"/>
              <w:right w:val="single" w:sz="8" w:space="0" w:color="000000"/>
            </w:tcBorders>
            <w:tcMar>
              <w:top w:w="100" w:type="dxa"/>
              <w:left w:w="100" w:type="dxa"/>
              <w:bottom w:w="100" w:type="dxa"/>
              <w:right w:w="100" w:type="dxa"/>
            </w:tcMar>
          </w:tcPr>
          <w:p w14:paraId="5A23320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0.069</w:t>
            </w:r>
          </w:p>
        </w:tc>
        <w:tc>
          <w:tcPr>
            <w:tcW w:w="1233" w:type="dxa"/>
            <w:tcBorders>
              <w:top w:val="nil"/>
              <w:left w:val="nil"/>
              <w:bottom w:val="single" w:sz="8" w:space="0" w:color="000000"/>
              <w:right w:val="single" w:sz="8" w:space="0" w:color="000000"/>
            </w:tcBorders>
            <w:tcMar>
              <w:top w:w="100" w:type="dxa"/>
              <w:left w:w="100" w:type="dxa"/>
              <w:bottom w:w="100" w:type="dxa"/>
              <w:right w:w="100" w:type="dxa"/>
            </w:tcMar>
          </w:tcPr>
          <w:p w14:paraId="1344110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0.079</w:t>
            </w:r>
          </w:p>
        </w:tc>
        <w:tc>
          <w:tcPr>
            <w:tcW w:w="1037" w:type="dxa"/>
            <w:tcBorders>
              <w:top w:val="nil"/>
              <w:left w:val="nil"/>
              <w:bottom w:val="single" w:sz="8" w:space="0" w:color="000000"/>
              <w:right w:val="single" w:sz="8" w:space="0" w:color="000000"/>
            </w:tcBorders>
            <w:tcMar>
              <w:top w:w="100" w:type="dxa"/>
              <w:left w:w="100" w:type="dxa"/>
              <w:bottom w:w="100" w:type="dxa"/>
              <w:right w:w="100" w:type="dxa"/>
            </w:tcMar>
          </w:tcPr>
          <w:p w14:paraId="354D765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0.042</w:t>
            </w:r>
          </w:p>
        </w:tc>
        <w:tc>
          <w:tcPr>
            <w:tcW w:w="1609" w:type="dxa"/>
            <w:tcBorders>
              <w:top w:val="nil"/>
              <w:left w:val="nil"/>
              <w:bottom w:val="single" w:sz="8" w:space="0" w:color="000000"/>
              <w:right w:val="single" w:sz="8" w:space="0" w:color="000000"/>
            </w:tcBorders>
            <w:tcMar>
              <w:top w:w="100" w:type="dxa"/>
              <w:left w:w="100" w:type="dxa"/>
              <w:bottom w:w="100" w:type="dxa"/>
              <w:right w:w="100" w:type="dxa"/>
            </w:tcMar>
          </w:tcPr>
          <w:p w14:paraId="77C1775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1.654</w:t>
            </w:r>
          </w:p>
        </w:tc>
        <w:tc>
          <w:tcPr>
            <w:tcW w:w="1804" w:type="dxa"/>
            <w:tcBorders>
              <w:top w:val="nil"/>
              <w:left w:val="nil"/>
              <w:bottom w:val="single" w:sz="8" w:space="0" w:color="000000"/>
              <w:right w:val="single" w:sz="8" w:space="0" w:color="000000"/>
            </w:tcBorders>
            <w:tcMar>
              <w:top w:w="100" w:type="dxa"/>
              <w:left w:w="100" w:type="dxa"/>
              <w:bottom w:w="100" w:type="dxa"/>
              <w:right w:w="100" w:type="dxa"/>
            </w:tcMar>
          </w:tcPr>
          <w:p w14:paraId="540C23F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0.049</w:t>
            </w:r>
          </w:p>
        </w:tc>
      </w:tr>
      <w:tr w:rsidR="002A0259" w14:paraId="6668E351" w14:textId="77777777" w:rsidTr="00B42DD8">
        <w:trPr>
          <w:trHeight w:val="150"/>
        </w:trPr>
        <w:tc>
          <w:tcPr>
            <w:tcW w:w="1142"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3E1A2A" w14:textId="77777777" w:rsidR="002A0259" w:rsidRDefault="002A0259">
            <w:pPr>
              <w:spacing w:line="240" w:lineRule="auto"/>
              <w:jc w:val="both"/>
              <w:rPr>
                <w:rFonts w:ascii="Times New Roman" w:eastAsia="Times New Roman" w:hAnsi="Times New Roman" w:cs="Times New Roman"/>
                <w:b/>
                <w:sz w:val="24"/>
                <w:szCs w:val="24"/>
              </w:rPr>
            </w:pPr>
          </w:p>
        </w:tc>
        <w:tc>
          <w:tcPr>
            <w:tcW w:w="11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7E7CB9"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FK -&gt; ITS</w:t>
            </w:r>
          </w:p>
        </w:tc>
        <w:tc>
          <w:tcPr>
            <w:tcW w:w="1503" w:type="dxa"/>
            <w:tcBorders>
              <w:top w:val="nil"/>
              <w:left w:val="nil"/>
              <w:bottom w:val="single" w:sz="8" w:space="0" w:color="000000"/>
              <w:right w:val="single" w:sz="8" w:space="0" w:color="000000"/>
            </w:tcBorders>
            <w:tcMar>
              <w:top w:w="100" w:type="dxa"/>
              <w:left w:w="100" w:type="dxa"/>
              <w:bottom w:w="100" w:type="dxa"/>
              <w:right w:w="100" w:type="dxa"/>
            </w:tcMar>
          </w:tcPr>
          <w:p w14:paraId="4383994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0.049</w:t>
            </w:r>
          </w:p>
        </w:tc>
        <w:tc>
          <w:tcPr>
            <w:tcW w:w="1233" w:type="dxa"/>
            <w:tcBorders>
              <w:top w:val="nil"/>
              <w:left w:val="nil"/>
              <w:bottom w:val="single" w:sz="8" w:space="0" w:color="000000"/>
              <w:right w:val="single" w:sz="8" w:space="0" w:color="000000"/>
            </w:tcBorders>
            <w:tcMar>
              <w:top w:w="100" w:type="dxa"/>
              <w:left w:w="100" w:type="dxa"/>
              <w:bottom w:w="100" w:type="dxa"/>
              <w:right w:w="100" w:type="dxa"/>
            </w:tcMar>
          </w:tcPr>
          <w:p w14:paraId="2A9C0AF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0.061</w:t>
            </w:r>
          </w:p>
        </w:tc>
        <w:tc>
          <w:tcPr>
            <w:tcW w:w="1037" w:type="dxa"/>
            <w:tcBorders>
              <w:top w:val="nil"/>
              <w:left w:val="nil"/>
              <w:bottom w:val="single" w:sz="8" w:space="0" w:color="000000"/>
              <w:right w:val="single" w:sz="8" w:space="0" w:color="000000"/>
            </w:tcBorders>
            <w:tcMar>
              <w:top w:w="100" w:type="dxa"/>
              <w:left w:w="100" w:type="dxa"/>
              <w:bottom w:w="100" w:type="dxa"/>
              <w:right w:w="100" w:type="dxa"/>
            </w:tcMar>
          </w:tcPr>
          <w:p w14:paraId="3F5E6FB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0.043</w:t>
            </w:r>
          </w:p>
        </w:tc>
        <w:tc>
          <w:tcPr>
            <w:tcW w:w="1609" w:type="dxa"/>
            <w:tcBorders>
              <w:top w:val="nil"/>
              <w:left w:val="nil"/>
              <w:bottom w:val="single" w:sz="8" w:space="0" w:color="000000"/>
              <w:right w:val="single" w:sz="8" w:space="0" w:color="000000"/>
            </w:tcBorders>
            <w:tcMar>
              <w:top w:w="100" w:type="dxa"/>
              <w:left w:w="100" w:type="dxa"/>
              <w:bottom w:w="100" w:type="dxa"/>
              <w:right w:w="100" w:type="dxa"/>
            </w:tcMar>
          </w:tcPr>
          <w:p w14:paraId="24F0973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1.131</w:t>
            </w:r>
          </w:p>
        </w:tc>
        <w:tc>
          <w:tcPr>
            <w:tcW w:w="1804" w:type="dxa"/>
            <w:tcBorders>
              <w:top w:val="nil"/>
              <w:left w:val="nil"/>
              <w:bottom w:val="single" w:sz="8" w:space="0" w:color="000000"/>
              <w:right w:val="single" w:sz="8" w:space="0" w:color="000000"/>
            </w:tcBorders>
            <w:tcMar>
              <w:top w:w="100" w:type="dxa"/>
              <w:left w:w="100" w:type="dxa"/>
              <w:bottom w:w="100" w:type="dxa"/>
              <w:right w:w="100" w:type="dxa"/>
            </w:tcMar>
          </w:tcPr>
          <w:p w14:paraId="3CE63415"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0.129</w:t>
            </w:r>
          </w:p>
        </w:tc>
      </w:tr>
      <w:tr w:rsidR="002A0259" w14:paraId="41ED474C" w14:textId="77777777" w:rsidTr="00B42DD8">
        <w:trPr>
          <w:trHeight w:val="150"/>
        </w:trPr>
        <w:tc>
          <w:tcPr>
            <w:tcW w:w="1142"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E58486" w14:textId="77777777" w:rsidR="002A0259" w:rsidRDefault="002A0259">
            <w:pPr>
              <w:spacing w:line="240" w:lineRule="auto"/>
              <w:jc w:val="both"/>
              <w:rPr>
                <w:rFonts w:ascii="Times New Roman" w:eastAsia="Times New Roman" w:hAnsi="Times New Roman" w:cs="Times New Roman"/>
                <w:b/>
                <w:sz w:val="24"/>
                <w:szCs w:val="24"/>
              </w:rPr>
            </w:pPr>
          </w:p>
        </w:tc>
        <w:tc>
          <w:tcPr>
            <w:tcW w:w="11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19EA4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PP -&gt; ITS</w:t>
            </w:r>
          </w:p>
        </w:tc>
        <w:tc>
          <w:tcPr>
            <w:tcW w:w="1503" w:type="dxa"/>
            <w:tcBorders>
              <w:top w:val="nil"/>
              <w:left w:val="nil"/>
              <w:bottom w:val="single" w:sz="8" w:space="0" w:color="000000"/>
              <w:right w:val="single" w:sz="8" w:space="0" w:color="000000"/>
            </w:tcBorders>
            <w:tcMar>
              <w:top w:w="100" w:type="dxa"/>
              <w:left w:w="100" w:type="dxa"/>
              <w:bottom w:w="100" w:type="dxa"/>
              <w:right w:w="100" w:type="dxa"/>
            </w:tcMar>
          </w:tcPr>
          <w:p w14:paraId="5D3ECC8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0.006</w:t>
            </w:r>
          </w:p>
        </w:tc>
        <w:tc>
          <w:tcPr>
            <w:tcW w:w="1233" w:type="dxa"/>
            <w:tcBorders>
              <w:top w:val="nil"/>
              <w:left w:val="nil"/>
              <w:bottom w:val="single" w:sz="8" w:space="0" w:color="000000"/>
              <w:right w:val="single" w:sz="8" w:space="0" w:color="000000"/>
            </w:tcBorders>
            <w:tcMar>
              <w:top w:w="100" w:type="dxa"/>
              <w:left w:w="100" w:type="dxa"/>
              <w:bottom w:w="100" w:type="dxa"/>
              <w:right w:w="100" w:type="dxa"/>
            </w:tcMar>
          </w:tcPr>
          <w:p w14:paraId="4D399CE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0.014</w:t>
            </w:r>
          </w:p>
        </w:tc>
        <w:tc>
          <w:tcPr>
            <w:tcW w:w="1037" w:type="dxa"/>
            <w:tcBorders>
              <w:top w:val="nil"/>
              <w:left w:val="nil"/>
              <w:bottom w:val="single" w:sz="8" w:space="0" w:color="000000"/>
              <w:right w:val="single" w:sz="8" w:space="0" w:color="000000"/>
            </w:tcBorders>
            <w:tcMar>
              <w:top w:w="100" w:type="dxa"/>
              <w:left w:w="100" w:type="dxa"/>
              <w:bottom w:w="100" w:type="dxa"/>
              <w:right w:w="100" w:type="dxa"/>
            </w:tcMar>
          </w:tcPr>
          <w:p w14:paraId="36462549"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0.017</w:t>
            </w:r>
          </w:p>
        </w:tc>
        <w:tc>
          <w:tcPr>
            <w:tcW w:w="1609" w:type="dxa"/>
            <w:tcBorders>
              <w:top w:val="nil"/>
              <w:left w:val="nil"/>
              <w:bottom w:val="single" w:sz="8" w:space="0" w:color="000000"/>
              <w:right w:val="single" w:sz="8" w:space="0" w:color="000000"/>
            </w:tcBorders>
            <w:tcMar>
              <w:top w:w="100" w:type="dxa"/>
              <w:left w:w="100" w:type="dxa"/>
              <w:bottom w:w="100" w:type="dxa"/>
              <w:right w:w="100" w:type="dxa"/>
            </w:tcMar>
          </w:tcPr>
          <w:p w14:paraId="3C113EA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0.350</w:t>
            </w:r>
          </w:p>
        </w:tc>
        <w:tc>
          <w:tcPr>
            <w:tcW w:w="1804" w:type="dxa"/>
            <w:tcBorders>
              <w:top w:val="nil"/>
              <w:left w:val="nil"/>
              <w:bottom w:val="single" w:sz="8" w:space="0" w:color="000000"/>
              <w:right w:val="single" w:sz="8" w:space="0" w:color="000000"/>
            </w:tcBorders>
            <w:tcMar>
              <w:top w:w="100" w:type="dxa"/>
              <w:left w:w="100" w:type="dxa"/>
              <w:bottom w:w="100" w:type="dxa"/>
              <w:right w:w="100" w:type="dxa"/>
            </w:tcMar>
          </w:tcPr>
          <w:p w14:paraId="7C9D846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0.363</w:t>
            </w:r>
          </w:p>
        </w:tc>
      </w:tr>
      <w:tr w:rsidR="002A0259" w14:paraId="6C33A814" w14:textId="77777777" w:rsidTr="00B42DD8">
        <w:trPr>
          <w:trHeight w:val="150"/>
        </w:trPr>
        <w:tc>
          <w:tcPr>
            <w:tcW w:w="1142"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D50D65" w14:textId="77777777" w:rsidR="002A0259" w:rsidRDefault="002A0259">
            <w:pPr>
              <w:spacing w:line="240" w:lineRule="auto"/>
              <w:jc w:val="both"/>
              <w:rPr>
                <w:rFonts w:ascii="Times New Roman" w:eastAsia="Times New Roman" w:hAnsi="Times New Roman" w:cs="Times New Roman"/>
                <w:b/>
                <w:sz w:val="24"/>
                <w:szCs w:val="24"/>
              </w:rPr>
            </w:pPr>
          </w:p>
        </w:tc>
        <w:tc>
          <w:tcPr>
            <w:tcW w:w="11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6FACE9"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MN -&gt; ITS</w:t>
            </w:r>
          </w:p>
        </w:tc>
        <w:tc>
          <w:tcPr>
            <w:tcW w:w="1503" w:type="dxa"/>
            <w:tcBorders>
              <w:top w:val="nil"/>
              <w:left w:val="nil"/>
              <w:bottom w:val="single" w:sz="8" w:space="0" w:color="000000"/>
              <w:right w:val="single" w:sz="8" w:space="0" w:color="000000"/>
            </w:tcBorders>
            <w:tcMar>
              <w:top w:w="100" w:type="dxa"/>
              <w:left w:w="100" w:type="dxa"/>
              <w:bottom w:w="100" w:type="dxa"/>
              <w:right w:w="100" w:type="dxa"/>
            </w:tcMar>
          </w:tcPr>
          <w:p w14:paraId="354962F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0.050</w:t>
            </w:r>
          </w:p>
        </w:tc>
        <w:tc>
          <w:tcPr>
            <w:tcW w:w="1233" w:type="dxa"/>
            <w:tcBorders>
              <w:top w:val="nil"/>
              <w:left w:val="nil"/>
              <w:bottom w:val="single" w:sz="8" w:space="0" w:color="000000"/>
              <w:right w:val="single" w:sz="8" w:space="0" w:color="000000"/>
            </w:tcBorders>
            <w:tcMar>
              <w:top w:w="100" w:type="dxa"/>
              <w:left w:w="100" w:type="dxa"/>
              <w:bottom w:w="100" w:type="dxa"/>
              <w:right w:w="100" w:type="dxa"/>
            </w:tcMar>
          </w:tcPr>
          <w:p w14:paraId="5B65EB4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0.056</w:t>
            </w:r>
          </w:p>
        </w:tc>
        <w:tc>
          <w:tcPr>
            <w:tcW w:w="1037" w:type="dxa"/>
            <w:tcBorders>
              <w:top w:val="nil"/>
              <w:left w:val="nil"/>
              <w:bottom w:val="single" w:sz="8" w:space="0" w:color="000000"/>
              <w:right w:val="single" w:sz="8" w:space="0" w:color="000000"/>
            </w:tcBorders>
            <w:tcMar>
              <w:top w:w="100" w:type="dxa"/>
              <w:left w:w="100" w:type="dxa"/>
              <w:bottom w:w="100" w:type="dxa"/>
              <w:right w:w="100" w:type="dxa"/>
            </w:tcMar>
          </w:tcPr>
          <w:p w14:paraId="7000DFC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0.043</w:t>
            </w:r>
          </w:p>
        </w:tc>
        <w:tc>
          <w:tcPr>
            <w:tcW w:w="1609" w:type="dxa"/>
            <w:tcBorders>
              <w:top w:val="nil"/>
              <w:left w:val="nil"/>
              <w:bottom w:val="single" w:sz="8" w:space="0" w:color="000000"/>
              <w:right w:val="single" w:sz="8" w:space="0" w:color="000000"/>
            </w:tcBorders>
            <w:tcMar>
              <w:top w:w="100" w:type="dxa"/>
              <w:left w:w="100" w:type="dxa"/>
              <w:bottom w:w="100" w:type="dxa"/>
              <w:right w:w="100" w:type="dxa"/>
            </w:tcMar>
          </w:tcPr>
          <w:p w14:paraId="6C96E52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1.155</w:t>
            </w:r>
          </w:p>
        </w:tc>
        <w:tc>
          <w:tcPr>
            <w:tcW w:w="1804" w:type="dxa"/>
            <w:tcBorders>
              <w:top w:val="nil"/>
              <w:left w:val="nil"/>
              <w:bottom w:val="single" w:sz="8" w:space="0" w:color="000000"/>
              <w:right w:val="single" w:sz="8" w:space="0" w:color="000000"/>
            </w:tcBorders>
            <w:tcMar>
              <w:top w:w="100" w:type="dxa"/>
              <w:left w:w="100" w:type="dxa"/>
              <w:bottom w:w="100" w:type="dxa"/>
              <w:right w:w="100" w:type="dxa"/>
            </w:tcMar>
          </w:tcPr>
          <w:p w14:paraId="73E325F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0.124</w:t>
            </w:r>
          </w:p>
        </w:tc>
      </w:tr>
      <w:tr w:rsidR="002A0259" w14:paraId="6BCF388B" w14:textId="77777777" w:rsidTr="00B42DD8">
        <w:trPr>
          <w:trHeight w:val="150"/>
        </w:trPr>
        <w:tc>
          <w:tcPr>
            <w:tcW w:w="1142"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C3E827" w14:textId="77777777" w:rsidR="002A0259" w:rsidRDefault="002A0259">
            <w:pPr>
              <w:spacing w:line="240" w:lineRule="auto"/>
              <w:jc w:val="both"/>
              <w:rPr>
                <w:rFonts w:ascii="Times New Roman" w:eastAsia="Times New Roman" w:hAnsi="Times New Roman" w:cs="Times New Roman"/>
                <w:b/>
                <w:sz w:val="24"/>
                <w:szCs w:val="24"/>
              </w:rPr>
            </w:pPr>
          </w:p>
        </w:tc>
        <w:tc>
          <w:tcPr>
            <w:tcW w:w="11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ADCE66"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PBC -&gt; ITS</w:t>
            </w:r>
          </w:p>
        </w:tc>
        <w:tc>
          <w:tcPr>
            <w:tcW w:w="1503" w:type="dxa"/>
            <w:tcBorders>
              <w:top w:val="nil"/>
              <w:left w:val="nil"/>
              <w:bottom w:val="single" w:sz="8" w:space="0" w:color="000000"/>
              <w:right w:val="single" w:sz="8" w:space="0" w:color="000000"/>
            </w:tcBorders>
            <w:tcMar>
              <w:top w:w="100" w:type="dxa"/>
              <w:left w:w="100" w:type="dxa"/>
              <w:bottom w:w="100" w:type="dxa"/>
              <w:right w:w="100" w:type="dxa"/>
            </w:tcMar>
          </w:tcPr>
          <w:p w14:paraId="38D3FBA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0.000</w:t>
            </w:r>
          </w:p>
        </w:tc>
        <w:tc>
          <w:tcPr>
            <w:tcW w:w="1233" w:type="dxa"/>
            <w:tcBorders>
              <w:top w:val="nil"/>
              <w:left w:val="nil"/>
              <w:bottom w:val="single" w:sz="8" w:space="0" w:color="000000"/>
              <w:right w:val="single" w:sz="8" w:space="0" w:color="000000"/>
            </w:tcBorders>
            <w:tcMar>
              <w:top w:w="100" w:type="dxa"/>
              <w:left w:w="100" w:type="dxa"/>
              <w:bottom w:w="100" w:type="dxa"/>
              <w:right w:w="100" w:type="dxa"/>
            </w:tcMar>
          </w:tcPr>
          <w:p w14:paraId="376A961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0.008</w:t>
            </w:r>
          </w:p>
        </w:tc>
        <w:tc>
          <w:tcPr>
            <w:tcW w:w="1037" w:type="dxa"/>
            <w:tcBorders>
              <w:top w:val="nil"/>
              <w:left w:val="nil"/>
              <w:bottom w:val="single" w:sz="8" w:space="0" w:color="000000"/>
              <w:right w:val="single" w:sz="8" w:space="0" w:color="000000"/>
            </w:tcBorders>
            <w:tcMar>
              <w:top w:w="100" w:type="dxa"/>
              <w:left w:w="100" w:type="dxa"/>
              <w:bottom w:w="100" w:type="dxa"/>
              <w:right w:w="100" w:type="dxa"/>
            </w:tcMar>
          </w:tcPr>
          <w:p w14:paraId="0F0C57A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0.012</w:t>
            </w:r>
          </w:p>
        </w:tc>
        <w:tc>
          <w:tcPr>
            <w:tcW w:w="1609" w:type="dxa"/>
            <w:tcBorders>
              <w:top w:val="nil"/>
              <w:left w:val="nil"/>
              <w:bottom w:val="single" w:sz="8" w:space="0" w:color="000000"/>
              <w:right w:val="single" w:sz="8" w:space="0" w:color="000000"/>
            </w:tcBorders>
            <w:tcMar>
              <w:top w:w="100" w:type="dxa"/>
              <w:left w:w="100" w:type="dxa"/>
              <w:bottom w:w="100" w:type="dxa"/>
              <w:right w:w="100" w:type="dxa"/>
            </w:tcMar>
          </w:tcPr>
          <w:p w14:paraId="678A9793"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0.002</w:t>
            </w:r>
          </w:p>
        </w:tc>
        <w:tc>
          <w:tcPr>
            <w:tcW w:w="1804" w:type="dxa"/>
            <w:tcBorders>
              <w:top w:val="nil"/>
              <w:left w:val="nil"/>
              <w:bottom w:val="single" w:sz="8" w:space="0" w:color="000000"/>
              <w:right w:val="single" w:sz="8" w:space="0" w:color="000000"/>
            </w:tcBorders>
            <w:tcMar>
              <w:top w:w="100" w:type="dxa"/>
              <w:left w:w="100" w:type="dxa"/>
              <w:bottom w:w="100" w:type="dxa"/>
              <w:right w:w="100" w:type="dxa"/>
            </w:tcMar>
          </w:tcPr>
          <w:p w14:paraId="4AE5C54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0.499</w:t>
            </w:r>
          </w:p>
        </w:tc>
      </w:tr>
      <w:tr w:rsidR="002A0259" w14:paraId="244734EF" w14:textId="77777777" w:rsidTr="00B42DD8">
        <w:trPr>
          <w:trHeight w:val="150"/>
        </w:trPr>
        <w:tc>
          <w:tcPr>
            <w:tcW w:w="1142"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B92C54" w14:textId="77777777" w:rsidR="002A0259" w:rsidRDefault="002A0259">
            <w:pPr>
              <w:spacing w:line="240" w:lineRule="auto"/>
              <w:jc w:val="both"/>
              <w:rPr>
                <w:rFonts w:ascii="Times New Roman" w:eastAsia="Times New Roman" w:hAnsi="Times New Roman" w:cs="Times New Roman"/>
                <w:b/>
                <w:sz w:val="24"/>
                <w:szCs w:val="24"/>
              </w:rPr>
            </w:pPr>
          </w:p>
        </w:tc>
        <w:tc>
          <w:tcPr>
            <w:tcW w:w="11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E6417E"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 -&gt; ITS</w:t>
            </w:r>
          </w:p>
        </w:tc>
        <w:tc>
          <w:tcPr>
            <w:tcW w:w="1503" w:type="dxa"/>
            <w:tcBorders>
              <w:top w:val="nil"/>
              <w:left w:val="nil"/>
              <w:bottom w:val="single" w:sz="8" w:space="0" w:color="000000"/>
              <w:right w:val="single" w:sz="8" w:space="0" w:color="000000"/>
            </w:tcBorders>
            <w:tcMar>
              <w:top w:w="100" w:type="dxa"/>
              <w:left w:w="100" w:type="dxa"/>
              <w:bottom w:w="100" w:type="dxa"/>
              <w:right w:w="100" w:type="dxa"/>
            </w:tcMar>
          </w:tcPr>
          <w:p w14:paraId="4D6B7AB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0.013</w:t>
            </w:r>
          </w:p>
        </w:tc>
        <w:tc>
          <w:tcPr>
            <w:tcW w:w="1233" w:type="dxa"/>
            <w:tcBorders>
              <w:top w:val="nil"/>
              <w:left w:val="nil"/>
              <w:bottom w:val="single" w:sz="8" w:space="0" w:color="000000"/>
              <w:right w:val="single" w:sz="8" w:space="0" w:color="000000"/>
            </w:tcBorders>
            <w:tcMar>
              <w:top w:w="100" w:type="dxa"/>
              <w:left w:w="100" w:type="dxa"/>
              <w:bottom w:w="100" w:type="dxa"/>
              <w:right w:w="100" w:type="dxa"/>
            </w:tcMar>
          </w:tcPr>
          <w:p w14:paraId="2F4F35D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0.021</w:t>
            </w:r>
          </w:p>
        </w:tc>
        <w:tc>
          <w:tcPr>
            <w:tcW w:w="1037" w:type="dxa"/>
            <w:tcBorders>
              <w:top w:val="nil"/>
              <w:left w:val="nil"/>
              <w:bottom w:val="single" w:sz="8" w:space="0" w:color="000000"/>
              <w:right w:val="single" w:sz="8" w:space="0" w:color="000000"/>
            </w:tcBorders>
            <w:tcMar>
              <w:top w:w="100" w:type="dxa"/>
              <w:left w:w="100" w:type="dxa"/>
              <w:bottom w:w="100" w:type="dxa"/>
              <w:right w:w="100" w:type="dxa"/>
            </w:tcMar>
          </w:tcPr>
          <w:p w14:paraId="0CD23D66"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0.027</w:t>
            </w:r>
          </w:p>
        </w:tc>
        <w:tc>
          <w:tcPr>
            <w:tcW w:w="1609" w:type="dxa"/>
            <w:tcBorders>
              <w:top w:val="nil"/>
              <w:left w:val="nil"/>
              <w:bottom w:val="single" w:sz="8" w:space="0" w:color="000000"/>
              <w:right w:val="single" w:sz="8" w:space="0" w:color="000000"/>
            </w:tcBorders>
            <w:tcMar>
              <w:top w:w="100" w:type="dxa"/>
              <w:left w:w="100" w:type="dxa"/>
              <w:bottom w:w="100" w:type="dxa"/>
              <w:right w:w="100" w:type="dxa"/>
            </w:tcMar>
          </w:tcPr>
          <w:p w14:paraId="788A2AEC"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0.473</w:t>
            </w:r>
          </w:p>
        </w:tc>
        <w:tc>
          <w:tcPr>
            <w:tcW w:w="1804" w:type="dxa"/>
            <w:tcBorders>
              <w:top w:val="nil"/>
              <w:left w:val="nil"/>
              <w:bottom w:val="single" w:sz="8" w:space="0" w:color="000000"/>
              <w:right w:val="single" w:sz="8" w:space="0" w:color="000000"/>
            </w:tcBorders>
            <w:tcMar>
              <w:top w:w="100" w:type="dxa"/>
              <w:left w:w="100" w:type="dxa"/>
              <w:bottom w:w="100" w:type="dxa"/>
              <w:right w:w="100" w:type="dxa"/>
            </w:tcMar>
          </w:tcPr>
          <w:p w14:paraId="679D9AC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0.318</w:t>
            </w:r>
          </w:p>
        </w:tc>
      </w:tr>
    </w:tbl>
    <w:p w14:paraId="5AC68598" w14:textId="77777777" w:rsidR="002A0259" w:rsidRDefault="002A0259">
      <w:pPr>
        <w:spacing w:line="240" w:lineRule="auto"/>
        <w:jc w:val="both"/>
        <w:rPr>
          <w:rFonts w:ascii="Times New Roman" w:eastAsia="Times New Roman" w:hAnsi="Times New Roman" w:cs="Times New Roman"/>
          <w:b/>
          <w:sz w:val="24"/>
          <w:szCs w:val="24"/>
        </w:rPr>
      </w:pPr>
    </w:p>
    <w:p w14:paraId="0D001115" w14:textId="77777777" w:rsidR="002A0259" w:rsidRDefault="002A0259">
      <w:pPr>
        <w:spacing w:line="240" w:lineRule="auto"/>
        <w:jc w:val="both"/>
        <w:rPr>
          <w:rFonts w:ascii="Times New Roman" w:eastAsia="Times New Roman" w:hAnsi="Times New Roman" w:cs="Times New Roman"/>
          <w:b/>
          <w:sz w:val="24"/>
          <w:szCs w:val="24"/>
        </w:rPr>
      </w:pPr>
    </w:p>
    <w:p w14:paraId="569C0594" w14:textId="77777777" w:rsidR="002A0259" w:rsidRDefault="002A0259">
      <w:pPr>
        <w:spacing w:line="240" w:lineRule="auto"/>
        <w:jc w:val="both"/>
        <w:rPr>
          <w:rFonts w:ascii="Times New Roman" w:eastAsia="Times New Roman" w:hAnsi="Times New Roman" w:cs="Times New Roman"/>
          <w:b/>
          <w:sz w:val="24"/>
          <w:szCs w:val="24"/>
        </w:rPr>
      </w:pPr>
    </w:p>
    <w:p w14:paraId="3A8EEC63" w14:textId="77777777" w:rsidR="002A0259" w:rsidRDefault="002A0259">
      <w:pPr>
        <w:spacing w:line="240" w:lineRule="auto"/>
        <w:jc w:val="both"/>
        <w:rPr>
          <w:rFonts w:ascii="Times New Roman" w:eastAsia="Times New Roman" w:hAnsi="Times New Roman" w:cs="Times New Roman"/>
          <w:b/>
          <w:sz w:val="24"/>
          <w:szCs w:val="24"/>
        </w:rPr>
      </w:pPr>
    </w:p>
    <w:p w14:paraId="51A815B4" w14:textId="1B1AA6F3" w:rsidR="00D40403" w:rsidRDefault="00D40403">
      <w:pPr>
        <w:spacing w:line="240" w:lineRule="auto"/>
        <w:jc w:val="both"/>
        <w:rPr>
          <w:rFonts w:ascii="Times New Roman" w:eastAsia="Times New Roman" w:hAnsi="Times New Roman" w:cs="Times New Roman"/>
          <w:b/>
          <w:sz w:val="24"/>
          <w:szCs w:val="24"/>
        </w:rPr>
      </w:pPr>
    </w:p>
    <w:p w14:paraId="68838022" w14:textId="17D7799C" w:rsidR="00B42DD8" w:rsidRDefault="00B42DD8">
      <w:pPr>
        <w:spacing w:line="240" w:lineRule="auto"/>
        <w:jc w:val="both"/>
        <w:rPr>
          <w:rFonts w:ascii="Times New Roman" w:eastAsia="Times New Roman" w:hAnsi="Times New Roman" w:cs="Times New Roman"/>
          <w:b/>
          <w:sz w:val="24"/>
          <w:szCs w:val="24"/>
        </w:rPr>
      </w:pPr>
    </w:p>
    <w:p w14:paraId="406126AB" w14:textId="6A155585" w:rsidR="00B42DD8" w:rsidRDefault="00B42DD8">
      <w:pPr>
        <w:spacing w:line="240" w:lineRule="auto"/>
        <w:jc w:val="both"/>
        <w:rPr>
          <w:rFonts w:ascii="Times New Roman" w:eastAsia="Times New Roman" w:hAnsi="Times New Roman" w:cs="Times New Roman"/>
          <w:b/>
          <w:sz w:val="24"/>
          <w:szCs w:val="24"/>
        </w:rPr>
      </w:pPr>
    </w:p>
    <w:p w14:paraId="4F7EC2A1" w14:textId="4CFD893B" w:rsidR="00B42DD8" w:rsidRDefault="00B42DD8">
      <w:pPr>
        <w:spacing w:line="240" w:lineRule="auto"/>
        <w:jc w:val="both"/>
        <w:rPr>
          <w:rFonts w:ascii="Times New Roman" w:eastAsia="Times New Roman" w:hAnsi="Times New Roman" w:cs="Times New Roman"/>
          <w:b/>
          <w:sz w:val="24"/>
          <w:szCs w:val="24"/>
        </w:rPr>
      </w:pPr>
    </w:p>
    <w:p w14:paraId="3586881B" w14:textId="05204E53" w:rsidR="00B42DD8" w:rsidRDefault="00B42DD8">
      <w:pPr>
        <w:spacing w:line="240" w:lineRule="auto"/>
        <w:jc w:val="both"/>
        <w:rPr>
          <w:rFonts w:ascii="Times New Roman" w:eastAsia="Times New Roman" w:hAnsi="Times New Roman" w:cs="Times New Roman"/>
          <w:b/>
          <w:sz w:val="24"/>
          <w:szCs w:val="24"/>
        </w:rPr>
      </w:pPr>
    </w:p>
    <w:p w14:paraId="436989D0" w14:textId="42D8CB3A" w:rsidR="00B42DD8" w:rsidRDefault="00B42DD8">
      <w:pPr>
        <w:spacing w:line="240" w:lineRule="auto"/>
        <w:jc w:val="both"/>
        <w:rPr>
          <w:rFonts w:ascii="Times New Roman" w:eastAsia="Times New Roman" w:hAnsi="Times New Roman" w:cs="Times New Roman"/>
          <w:b/>
          <w:sz w:val="24"/>
          <w:szCs w:val="24"/>
        </w:rPr>
      </w:pPr>
    </w:p>
    <w:p w14:paraId="11F941AC" w14:textId="22590F8B" w:rsidR="00B42DD8" w:rsidRDefault="00B42DD8">
      <w:pPr>
        <w:spacing w:line="240" w:lineRule="auto"/>
        <w:jc w:val="both"/>
        <w:rPr>
          <w:rFonts w:ascii="Times New Roman" w:eastAsia="Times New Roman" w:hAnsi="Times New Roman" w:cs="Times New Roman"/>
          <w:b/>
          <w:sz w:val="24"/>
          <w:szCs w:val="24"/>
        </w:rPr>
      </w:pPr>
    </w:p>
    <w:p w14:paraId="4DB619D7" w14:textId="77777777" w:rsidR="00B42DD8" w:rsidRDefault="00B42DD8">
      <w:pPr>
        <w:spacing w:line="240" w:lineRule="auto"/>
        <w:jc w:val="both"/>
        <w:rPr>
          <w:rFonts w:ascii="Times New Roman" w:eastAsia="Times New Roman" w:hAnsi="Times New Roman" w:cs="Times New Roman"/>
          <w:b/>
          <w:sz w:val="24"/>
          <w:szCs w:val="24"/>
        </w:rPr>
      </w:pPr>
    </w:p>
    <w:p w14:paraId="7B53C087" w14:textId="5AD5A858"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Table 10: </w:t>
      </w:r>
      <w:r>
        <w:rPr>
          <w:rFonts w:ascii="Times New Roman" w:eastAsia="Times New Roman" w:hAnsi="Times New Roman" w:cs="Times New Roman"/>
          <w:b/>
          <w:sz w:val="24"/>
          <w:szCs w:val="24"/>
        </w:rPr>
        <w:t>q Square</w:t>
      </w:r>
    </w:p>
    <w:p w14:paraId="570DFDDE" w14:textId="77777777" w:rsidR="002A0259" w:rsidRDefault="002A0259">
      <w:pPr>
        <w:spacing w:line="240" w:lineRule="auto"/>
        <w:jc w:val="both"/>
        <w:rPr>
          <w:rFonts w:ascii="Times New Roman" w:eastAsia="Times New Roman" w:hAnsi="Times New Roman" w:cs="Times New Roman"/>
          <w:b/>
          <w:sz w:val="24"/>
          <w:szCs w:val="24"/>
        </w:rPr>
      </w:pPr>
    </w:p>
    <w:tbl>
      <w:tblPr>
        <w:tblStyle w:val="a8"/>
        <w:tblW w:w="9427" w:type="dxa"/>
        <w:tblBorders>
          <w:top w:val="nil"/>
          <w:left w:val="nil"/>
          <w:bottom w:val="nil"/>
          <w:right w:val="nil"/>
          <w:insideH w:val="nil"/>
          <w:insideV w:val="nil"/>
        </w:tblBorders>
        <w:tblLayout w:type="fixed"/>
        <w:tblLook w:val="0600" w:firstRow="0" w:lastRow="0" w:firstColumn="0" w:lastColumn="0" w:noHBand="1" w:noVBand="1"/>
      </w:tblPr>
      <w:tblGrid>
        <w:gridCol w:w="1452"/>
        <w:gridCol w:w="2164"/>
        <w:gridCol w:w="2164"/>
        <w:gridCol w:w="3647"/>
      </w:tblGrid>
      <w:tr w:rsidR="002A0259" w14:paraId="70DEA6CA" w14:textId="77777777" w:rsidTr="00B42DD8">
        <w:trPr>
          <w:trHeight w:val="199"/>
        </w:trPr>
        <w:tc>
          <w:tcPr>
            <w:tcW w:w="14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D10D2E" w14:textId="77777777" w:rsidR="002A0259" w:rsidRDefault="002A0259">
            <w:pPr>
              <w:spacing w:line="240" w:lineRule="auto"/>
              <w:jc w:val="both"/>
              <w:rPr>
                <w:rFonts w:ascii="Times New Roman" w:eastAsia="Times New Roman" w:hAnsi="Times New Roman" w:cs="Times New Roman"/>
                <w:b/>
                <w:sz w:val="24"/>
                <w:szCs w:val="24"/>
              </w:rPr>
            </w:pPr>
          </w:p>
        </w:tc>
        <w:tc>
          <w:tcPr>
            <w:tcW w:w="216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4F38E41"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SSO</w:t>
            </w:r>
          </w:p>
        </w:tc>
        <w:tc>
          <w:tcPr>
            <w:tcW w:w="216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EA526B5"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SSE</w:t>
            </w:r>
          </w:p>
        </w:tc>
        <w:tc>
          <w:tcPr>
            <w:tcW w:w="364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0CAD874"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vertAlign w:val="superscript"/>
              </w:rPr>
              <w:t>2</w:t>
            </w:r>
            <w:r>
              <w:rPr>
                <w:rFonts w:ascii="Times New Roman" w:eastAsia="Times New Roman" w:hAnsi="Times New Roman" w:cs="Times New Roman"/>
                <w:b/>
                <w:sz w:val="24"/>
                <w:szCs w:val="24"/>
              </w:rPr>
              <w:t xml:space="preserve"> (=1-sse/sso)</w:t>
            </w:r>
          </w:p>
        </w:tc>
      </w:tr>
      <w:tr w:rsidR="002A0259" w14:paraId="37998940" w14:textId="77777777" w:rsidTr="00B42DD8">
        <w:trPr>
          <w:trHeight w:val="199"/>
        </w:trPr>
        <w:tc>
          <w:tcPr>
            <w:tcW w:w="145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B18C9E"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ATT</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3E6C5F5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5E92738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3647" w:type="dxa"/>
            <w:tcBorders>
              <w:top w:val="nil"/>
              <w:left w:val="nil"/>
              <w:bottom w:val="single" w:sz="8" w:space="0" w:color="000000"/>
              <w:right w:val="single" w:sz="8" w:space="0" w:color="000000"/>
            </w:tcBorders>
            <w:tcMar>
              <w:top w:w="100" w:type="dxa"/>
              <w:left w:w="100" w:type="dxa"/>
              <w:bottom w:w="100" w:type="dxa"/>
              <w:right w:w="100" w:type="dxa"/>
            </w:tcMar>
          </w:tcPr>
          <w:p w14:paraId="3367FE74" w14:textId="77777777" w:rsidR="002A0259" w:rsidRDefault="002A0259">
            <w:pPr>
              <w:spacing w:line="240" w:lineRule="auto"/>
              <w:jc w:val="both"/>
              <w:rPr>
                <w:rFonts w:ascii="Times New Roman" w:eastAsia="Times New Roman" w:hAnsi="Times New Roman" w:cs="Times New Roman"/>
                <w:b/>
                <w:sz w:val="24"/>
                <w:szCs w:val="24"/>
              </w:rPr>
            </w:pPr>
          </w:p>
        </w:tc>
      </w:tr>
      <w:tr w:rsidR="002A0259" w14:paraId="1449D840" w14:textId="77777777" w:rsidTr="00B42DD8">
        <w:trPr>
          <w:trHeight w:val="199"/>
        </w:trPr>
        <w:tc>
          <w:tcPr>
            <w:tcW w:w="145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8331F50"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EC</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7C450957"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7F84412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3647" w:type="dxa"/>
            <w:tcBorders>
              <w:top w:val="nil"/>
              <w:left w:val="nil"/>
              <w:bottom w:val="single" w:sz="8" w:space="0" w:color="000000"/>
              <w:right w:val="single" w:sz="8" w:space="0" w:color="000000"/>
            </w:tcBorders>
            <w:tcMar>
              <w:top w:w="100" w:type="dxa"/>
              <w:left w:w="100" w:type="dxa"/>
              <w:bottom w:w="100" w:type="dxa"/>
              <w:right w:w="100" w:type="dxa"/>
            </w:tcMar>
          </w:tcPr>
          <w:p w14:paraId="0FC5047D" w14:textId="77777777" w:rsidR="002A0259" w:rsidRDefault="002A0259">
            <w:pPr>
              <w:spacing w:line="240" w:lineRule="auto"/>
              <w:jc w:val="both"/>
              <w:rPr>
                <w:rFonts w:ascii="Times New Roman" w:eastAsia="Times New Roman" w:hAnsi="Times New Roman" w:cs="Times New Roman"/>
                <w:b/>
                <w:sz w:val="24"/>
                <w:szCs w:val="24"/>
              </w:rPr>
            </w:pPr>
          </w:p>
        </w:tc>
      </w:tr>
      <w:tr w:rsidR="002A0259" w14:paraId="07390256" w14:textId="77777777" w:rsidTr="00B42DD8">
        <w:trPr>
          <w:trHeight w:val="199"/>
        </w:trPr>
        <w:tc>
          <w:tcPr>
            <w:tcW w:w="145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F9C280"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FK</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5BA78BA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696.000</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45A48551"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696.000</w:t>
            </w:r>
          </w:p>
        </w:tc>
        <w:tc>
          <w:tcPr>
            <w:tcW w:w="3647" w:type="dxa"/>
            <w:tcBorders>
              <w:top w:val="nil"/>
              <w:left w:val="nil"/>
              <w:bottom w:val="single" w:sz="8" w:space="0" w:color="000000"/>
              <w:right w:val="single" w:sz="8" w:space="0" w:color="000000"/>
            </w:tcBorders>
            <w:tcMar>
              <w:top w:w="100" w:type="dxa"/>
              <w:left w:w="100" w:type="dxa"/>
              <w:bottom w:w="100" w:type="dxa"/>
              <w:right w:w="100" w:type="dxa"/>
            </w:tcMar>
          </w:tcPr>
          <w:p w14:paraId="539B487F" w14:textId="77777777" w:rsidR="002A0259" w:rsidRDefault="002A0259">
            <w:pPr>
              <w:spacing w:line="240" w:lineRule="auto"/>
              <w:jc w:val="both"/>
              <w:rPr>
                <w:rFonts w:ascii="Times New Roman" w:eastAsia="Times New Roman" w:hAnsi="Times New Roman" w:cs="Times New Roman"/>
                <w:b/>
                <w:sz w:val="24"/>
                <w:szCs w:val="24"/>
              </w:rPr>
            </w:pPr>
          </w:p>
        </w:tc>
      </w:tr>
      <w:tr w:rsidR="002A0259" w14:paraId="59AB2C7E" w14:textId="77777777" w:rsidTr="00B42DD8">
        <w:trPr>
          <w:trHeight w:val="199"/>
        </w:trPr>
        <w:tc>
          <w:tcPr>
            <w:tcW w:w="145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1B5AA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PP</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0172C352"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2ABBC8CD"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3647" w:type="dxa"/>
            <w:tcBorders>
              <w:top w:val="nil"/>
              <w:left w:val="nil"/>
              <w:bottom w:val="single" w:sz="8" w:space="0" w:color="000000"/>
              <w:right w:val="single" w:sz="8" w:space="0" w:color="000000"/>
            </w:tcBorders>
            <w:tcMar>
              <w:top w:w="100" w:type="dxa"/>
              <w:left w:w="100" w:type="dxa"/>
              <w:bottom w:w="100" w:type="dxa"/>
              <w:right w:w="100" w:type="dxa"/>
            </w:tcMar>
          </w:tcPr>
          <w:p w14:paraId="01133A2B" w14:textId="77777777" w:rsidR="002A0259" w:rsidRDefault="002A0259">
            <w:pPr>
              <w:spacing w:line="240" w:lineRule="auto"/>
              <w:jc w:val="both"/>
              <w:rPr>
                <w:rFonts w:ascii="Times New Roman" w:eastAsia="Times New Roman" w:hAnsi="Times New Roman" w:cs="Times New Roman"/>
                <w:b/>
                <w:sz w:val="24"/>
                <w:szCs w:val="24"/>
              </w:rPr>
            </w:pPr>
          </w:p>
        </w:tc>
      </w:tr>
      <w:tr w:rsidR="002A0259" w14:paraId="1F0E6F04" w14:textId="77777777" w:rsidTr="00B42DD8">
        <w:trPr>
          <w:trHeight w:val="199"/>
        </w:trPr>
        <w:tc>
          <w:tcPr>
            <w:tcW w:w="145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6D6CE0F"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ITS</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49ABC87A"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5E36BE8B"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333.854</w:t>
            </w:r>
          </w:p>
        </w:tc>
        <w:tc>
          <w:tcPr>
            <w:tcW w:w="3647" w:type="dxa"/>
            <w:tcBorders>
              <w:top w:val="nil"/>
              <w:left w:val="nil"/>
              <w:bottom w:val="single" w:sz="8" w:space="0" w:color="000000"/>
              <w:right w:val="single" w:sz="8" w:space="0" w:color="000000"/>
            </w:tcBorders>
            <w:tcMar>
              <w:top w:w="100" w:type="dxa"/>
              <w:left w:w="100" w:type="dxa"/>
              <w:bottom w:w="100" w:type="dxa"/>
              <w:right w:w="100" w:type="dxa"/>
            </w:tcMar>
          </w:tcPr>
          <w:p w14:paraId="7538CC9C"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0.360</w:t>
            </w:r>
          </w:p>
        </w:tc>
      </w:tr>
      <w:tr w:rsidR="002A0259" w14:paraId="3D15656D" w14:textId="77777777" w:rsidTr="00B42DD8">
        <w:trPr>
          <w:trHeight w:val="146"/>
        </w:trPr>
        <w:tc>
          <w:tcPr>
            <w:tcW w:w="145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C5A720"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MN</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44A932B8"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2A0B8A3F"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3647" w:type="dxa"/>
            <w:tcBorders>
              <w:top w:val="nil"/>
              <w:left w:val="nil"/>
              <w:bottom w:val="single" w:sz="8" w:space="0" w:color="000000"/>
              <w:right w:val="single" w:sz="8" w:space="0" w:color="000000"/>
            </w:tcBorders>
            <w:tcMar>
              <w:top w:w="100" w:type="dxa"/>
              <w:left w:w="100" w:type="dxa"/>
              <w:bottom w:w="100" w:type="dxa"/>
              <w:right w:w="100" w:type="dxa"/>
            </w:tcMar>
          </w:tcPr>
          <w:p w14:paraId="17C35EB8" w14:textId="77777777" w:rsidR="002A0259" w:rsidRDefault="002A0259">
            <w:pPr>
              <w:spacing w:line="240" w:lineRule="auto"/>
              <w:jc w:val="both"/>
              <w:rPr>
                <w:rFonts w:ascii="Times New Roman" w:eastAsia="Times New Roman" w:hAnsi="Times New Roman" w:cs="Times New Roman"/>
                <w:b/>
                <w:sz w:val="24"/>
                <w:szCs w:val="24"/>
              </w:rPr>
            </w:pPr>
          </w:p>
        </w:tc>
      </w:tr>
      <w:tr w:rsidR="002A0259" w14:paraId="00FFD36C" w14:textId="77777777" w:rsidTr="00B42DD8">
        <w:trPr>
          <w:trHeight w:val="199"/>
        </w:trPr>
        <w:tc>
          <w:tcPr>
            <w:tcW w:w="145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E0E35B"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PBC</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667F155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346196A0"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3647" w:type="dxa"/>
            <w:tcBorders>
              <w:top w:val="nil"/>
              <w:left w:val="nil"/>
              <w:bottom w:val="single" w:sz="8" w:space="0" w:color="000000"/>
              <w:right w:val="single" w:sz="8" w:space="0" w:color="000000"/>
            </w:tcBorders>
            <w:tcMar>
              <w:top w:w="100" w:type="dxa"/>
              <w:left w:w="100" w:type="dxa"/>
              <w:bottom w:w="100" w:type="dxa"/>
              <w:right w:w="100" w:type="dxa"/>
            </w:tcMar>
          </w:tcPr>
          <w:p w14:paraId="1EDC3592" w14:textId="77777777" w:rsidR="002A0259" w:rsidRDefault="002A0259">
            <w:pPr>
              <w:spacing w:line="240" w:lineRule="auto"/>
              <w:jc w:val="both"/>
              <w:rPr>
                <w:rFonts w:ascii="Times New Roman" w:eastAsia="Times New Roman" w:hAnsi="Times New Roman" w:cs="Times New Roman"/>
                <w:b/>
                <w:sz w:val="24"/>
                <w:szCs w:val="24"/>
              </w:rPr>
            </w:pPr>
          </w:p>
        </w:tc>
      </w:tr>
      <w:tr w:rsidR="002A0259" w14:paraId="282C5BE2" w14:textId="77777777" w:rsidTr="00B42DD8">
        <w:trPr>
          <w:trHeight w:val="144"/>
        </w:trPr>
        <w:tc>
          <w:tcPr>
            <w:tcW w:w="145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15E7E3E" w14:textId="77777777" w:rsidR="002A0259" w:rsidRDefault="00343186">
            <w:pPr>
              <w:spacing w:before="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SN</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511E1094"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2164" w:type="dxa"/>
            <w:tcBorders>
              <w:top w:val="nil"/>
              <w:left w:val="nil"/>
              <w:bottom w:val="single" w:sz="8" w:space="0" w:color="000000"/>
              <w:right w:val="single" w:sz="8" w:space="0" w:color="000000"/>
            </w:tcBorders>
            <w:tcMar>
              <w:top w:w="100" w:type="dxa"/>
              <w:left w:w="100" w:type="dxa"/>
              <w:bottom w:w="100" w:type="dxa"/>
              <w:right w:w="100" w:type="dxa"/>
            </w:tcMar>
          </w:tcPr>
          <w:p w14:paraId="096ECD1E" w14:textId="77777777" w:rsidR="002A0259" w:rsidRDefault="00343186">
            <w:pPr>
              <w:spacing w:before="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522.000</w:t>
            </w:r>
          </w:p>
        </w:tc>
        <w:tc>
          <w:tcPr>
            <w:tcW w:w="3647" w:type="dxa"/>
            <w:tcBorders>
              <w:top w:val="nil"/>
              <w:left w:val="nil"/>
              <w:bottom w:val="single" w:sz="8" w:space="0" w:color="000000"/>
              <w:right w:val="single" w:sz="8" w:space="0" w:color="000000"/>
            </w:tcBorders>
            <w:tcMar>
              <w:top w:w="100" w:type="dxa"/>
              <w:left w:w="100" w:type="dxa"/>
              <w:bottom w:w="100" w:type="dxa"/>
              <w:right w:w="100" w:type="dxa"/>
            </w:tcMar>
          </w:tcPr>
          <w:p w14:paraId="7ABFB915" w14:textId="77777777" w:rsidR="002A0259" w:rsidRDefault="002A0259">
            <w:pPr>
              <w:spacing w:line="240" w:lineRule="auto"/>
              <w:jc w:val="both"/>
              <w:rPr>
                <w:rFonts w:ascii="Times New Roman" w:eastAsia="Times New Roman" w:hAnsi="Times New Roman" w:cs="Times New Roman"/>
                <w:b/>
                <w:sz w:val="24"/>
                <w:szCs w:val="24"/>
              </w:rPr>
            </w:pPr>
          </w:p>
        </w:tc>
      </w:tr>
    </w:tbl>
    <w:p w14:paraId="48CDAD51" w14:textId="77777777" w:rsidR="002A0259" w:rsidRDefault="002A0259">
      <w:pPr>
        <w:spacing w:line="240" w:lineRule="auto"/>
        <w:jc w:val="both"/>
        <w:rPr>
          <w:rFonts w:ascii="Times New Roman" w:eastAsia="Times New Roman" w:hAnsi="Times New Roman" w:cs="Times New Roman"/>
          <w:b/>
          <w:sz w:val="24"/>
          <w:szCs w:val="24"/>
        </w:rPr>
      </w:pPr>
    </w:p>
    <w:p w14:paraId="157EC974" w14:textId="77777777" w:rsidR="002A0259" w:rsidRDefault="002A0259">
      <w:pPr>
        <w:spacing w:line="240" w:lineRule="auto"/>
        <w:jc w:val="both"/>
        <w:rPr>
          <w:rFonts w:ascii="Times New Roman" w:eastAsia="Times New Roman" w:hAnsi="Times New Roman" w:cs="Times New Roman"/>
          <w:b/>
          <w:sz w:val="24"/>
          <w:szCs w:val="24"/>
        </w:rPr>
      </w:pPr>
    </w:p>
    <w:p w14:paraId="3C03367E" w14:textId="77777777" w:rsidR="002A0259" w:rsidRDefault="002A0259">
      <w:pPr>
        <w:spacing w:line="240" w:lineRule="auto"/>
        <w:jc w:val="both"/>
        <w:rPr>
          <w:rFonts w:ascii="Times New Roman" w:eastAsia="Times New Roman" w:hAnsi="Times New Roman" w:cs="Times New Roman"/>
          <w:b/>
          <w:sz w:val="24"/>
          <w:szCs w:val="24"/>
        </w:rPr>
      </w:pPr>
    </w:p>
    <w:p w14:paraId="42AEDDB7" w14:textId="77777777" w:rsidR="00D40403" w:rsidRDefault="00D40403">
      <w:pPr>
        <w:spacing w:line="240" w:lineRule="auto"/>
        <w:jc w:val="both"/>
        <w:rPr>
          <w:rFonts w:ascii="Times New Roman" w:eastAsia="Times New Roman" w:hAnsi="Times New Roman" w:cs="Times New Roman"/>
          <w:b/>
          <w:sz w:val="24"/>
          <w:szCs w:val="24"/>
        </w:rPr>
      </w:pPr>
    </w:p>
    <w:p w14:paraId="4BC0E0E2" w14:textId="77777777" w:rsidR="00D40403" w:rsidRDefault="00D40403">
      <w:pPr>
        <w:spacing w:line="240" w:lineRule="auto"/>
        <w:jc w:val="both"/>
        <w:rPr>
          <w:rFonts w:ascii="Times New Roman" w:eastAsia="Times New Roman" w:hAnsi="Times New Roman" w:cs="Times New Roman"/>
          <w:b/>
          <w:sz w:val="24"/>
          <w:szCs w:val="24"/>
        </w:rPr>
      </w:pPr>
    </w:p>
    <w:p w14:paraId="730B90F4" w14:textId="497C9730"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5.0 DISCUSSION</w:t>
      </w:r>
    </w:p>
    <w:p w14:paraId="1DC4DA7A" w14:textId="77777777" w:rsidR="002A0259" w:rsidRDefault="002A0259">
      <w:pPr>
        <w:spacing w:line="240" w:lineRule="auto"/>
        <w:jc w:val="both"/>
        <w:rPr>
          <w:rFonts w:ascii="Times New Roman" w:eastAsia="Times New Roman" w:hAnsi="Times New Roman" w:cs="Times New Roman"/>
          <w:b/>
          <w:sz w:val="24"/>
          <w:szCs w:val="24"/>
        </w:rPr>
      </w:pPr>
    </w:p>
    <w:p w14:paraId="23FE3B49"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5.1 Influence of PP on the Intention to Invest </w:t>
      </w:r>
      <w:r w:rsidR="00D13D1E">
        <w:rPr>
          <w:rFonts w:ascii="Times New Roman" w:eastAsia="Times New Roman" w:hAnsi="Times New Roman" w:cs="Times New Roman"/>
          <w:b/>
          <w:sz w:val="24"/>
          <w:szCs w:val="24"/>
        </w:rPr>
        <w:t>in</w:t>
      </w:r>
      <w:r>
        <w:rPr>
          <w:rFonts w:ascii="Times New Roman" w:eastAsia="Times New Roman" w:hAnsi="Times New Roman" w:cs="Times New Roman"/>
          <w:b/>
          <w:sz w:val="24"/>
          <w:szCs w:val="24"/>
        </w:rPr>
        <w:t xml:space="preserve"> SRI</w:t>
      </w:r>
    </w:p>
    <w:p w14:paraId="6B352580" w14:textId="77777777" w:rsidR="002A0259" w:rsidRDefault="002A0259">
      <w:pPr>
        <w:spacing w:line="240" w:lineRule="auto"/>
        <w:jc w:val="both"/>
        <w:rPr>
          <w:rFonts w:ascii="Times New Roman" w:eastAsia="Times New Roman" w:hAnsi="Times New Roman" w:cs="Times New Roman"/>
          <w:b/>
          <w:sz w:val="24"/>
          <w:szCs w:val="24"/>
        </w:rPr>
      </w:pPr>
    </w:p>
    <w:p w14:paraId="3EB7E528" w14:textId="285AFF03"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Characteristics such as PP had an impact on SRI (Nilsson, 2008). The study's findings suggest that the association between PP and the propensity to invest in SRI is unreliable. This is due to investors concentrating on social and environmental problems rather than financial gains. The study also discovered that ethical investors tend to keep or expand their ethical holdings even when their investments underperform or show to be unethically useless, lending credence to the existence of psychic returns. This means that ethical investors are more concerned with ideology than financial gain or influence. Furthermore, the study reveals that individuals are concerned about the future and are more inclined to reward socially responsible conduct that considers long-term societal consequences. </w:t>
      </w:r>
    </w:p>
    <w:p w14:paraId="45F5D6FA" w14:textId="03451A34" w:rsidR="00B42DD8" w:rsidRDefault="00B42DD8">
      <w:pPr>
        <w:spacing w:line="240" w:lineRule="auto"/>
        <w:jc w:val="both"/>
        <w:rPr>
          <w:rFonts w:ascii="Times New Roman" w:eastAsia="Times New Roman" w:hAnsi="Times New Roman" w:cs="Times New Roman"/>
          <w:sz w:val="24"/>
          <w:szCs w:val="24"/>
        </w:rPr>
      </w:pPr>
    </w:p>
    <w:p w14:paraId="0D0AE727" w14:textId="765287BA" w:rsidR="00B42DD8" w:rsidRDefault="00B42DD8">
      <w:pPr>
        <w:spacing w:line="240" w:lineRule="auto"/>
        <w:jc w:val="both"/>
        <w:rPr>
          <w:rFonts w:ascii="Times New Roman" w:eastAsia="Times New Roman" w:hAnsi="Times New Roman" w:cs="Times New Roman"/>
          <w:sz w:val="24"/>
          <w:szCs w:val="24"/>
        </w:rPr>
      </w:pPr>
    </w:p>
    <w:p w14:paraId="572DE31F" w14:textId="328697A0" w:rsidR="00B42DD8" w:rsidRDefault="00B42DD8">
      <w:pPr>
        <w:spacing w:line="240" w:lineRule="auto"/>
        <w:jc w:val="both"/>
        <w:rPr>
          <w:rFonts w:ascii="Times New Roman" w:eastAsia="Times New Roman" w:hAnsi="Times New Roman" w:cs="Times New Roman"/>
          <w:b/>
          <w:sz w:val="24"/>
          <w:szCs w:val="24"/>
        </w:rPr>
      </w:pPr>
    </w:p>
    <w:p w14:paraId="2FDF149C"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5.2 Influence of ATT on the Intention to Invest </w:t>
      </w:r>
      <w:r w:rsidR="00D13D1E">
        <w:rPr>
          <w:rFonts w:ascii="Times New Roman" w:eastAsia="Times New Roman" w:hAnsi="Times New Roman" w:cs="Times New Roman"/>
          <w:b/>
          <w:sz w:val="24"/>
          <w:szCs w:val="24"/>
        </w:rPr>
        <w:t>in</w:t>
      </w:r>
      <w:r>
        <w:rPr>
          <w:rFonts w:ascii="Times New Roman" w:eastAsia="Times New Roman" w:hAnsi="Times New Roman" w:cs="Times New Roman"/>
          <w:b/>
          <w:sz w:val="24"/>
          <w:szCs w:val="24"/>
        </w:rPr>
        <w:t xml:space="preserve"> SRI</w:t>
      </w:r>
    </w:p>
    <w:p w14:paraId="1C267FCA" w14:textId="77777777" w:rsidR="002A0259" w:rsidRDefault="002A0259">
      <w:pPr>
        <w:spacing w:line="240" w:lineRule="auto"/>
        <w:jc w:val="both"/>
        <w:rPr>
          <w:rFonts w:ascii="Times New Roman" w:eastAsia="Times New Roman" w:hAnsi="Times New Roman" w:cs="Times New Roman"/>
          <w:b/>
          <w:sz w:val="24"/>
          <w:szCs w:val="24"/>
        </w:rPr>
      </w:pPr>
    </w:p>
    <w:p w14:paraId="0C011711"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Wen et al. (2015) claim that whether someone has a favourable or negative ATT toward participating in an activity depends on their behavioural beliefs and the attractiveness of a certain outcome. The link between ATT and the willingness to invest in SRI was negative but negligible, according to the p-value of 0.262 from Table 8 and the negative path coefficient (SRI). Therefore, H2 is not supported. These results disagree with a number of previous studies, such as Raut et al. (2020), Pascual-Ezama et al. (2014), and Adam and Shauki (2014).</w:t>
      </w:r>
    </w:p>
    <w:p w14:paraId="20DEA0DF"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Investors' negative perception of SRI stems from the reality that many SRI companies fail to live up to their claims, which helps to explain these findings. Adding a marketing spin to everything for sale is part of contemporary business culture. Another explanation for this behaviour is that Malaysian investors' viewpoints have changed due to the Covid-19 outbreak. Expert investors are more likely to reconsider and spend more time focusing on their financial well-being than intermediate and beginner investors, according to a study titled "Schroders Global Investor Study 2021." Roughly 85% of investors in Malaysia have spent more time considering their financial well-being and reorganising their finances since the start of the Covid-19 pandemic (2021).</w:t>
      </w:r>
    </w:p>
    <w:p w14:paraId="17CE5F9C" w14:textId="77777777" w:rsidR="002A0259" w:rsidRDefault="002A0259">
      <w:pPr>
        <w:spacing w:line="240" w:lineRule="auto"/>
        <w:jc w:val="both"/>
        <w:rPr>
          <w:rFonts w:ascii="Times New Roman" w:eastAsia="Times New Roman" w:hAnsi="Times New Roman" w:cs="Times New Roman"/>
          <w:b/>
          <w:sz w:val="24"/>
          <w:szCs w:val="24"/>
        </w:rPr>
      </w:pPr>
    </w:p>
    <w:p w14:paraId="633699EB"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5.3 Influence of SN on the Intention to Invest </w:t>
      </w:r>
      <w:r w:rsidR="00D13D1E">
        <w:rPr>
          <w:rFonts w:ascii="Times New Roman" w:eastAsia="Times New Roman" w:hAnsi="Times New Roman" w:cs="Times New Roman"/>
          <w:b/>
          <w:sz w:val="24"/>
          <w:szCs w:val="24"/>
        </w:rPr>
        <w:t>in</w:t>
      </w:r>
      <w:r>
        <w:rPr>
          <w:rFonts w:ascii="Times New Roman" w:eastAsia="Times New Roman" w:hAnsi="Times New Roman" w:cs="Times New Roman"/>
          <w:b/>
          <w:sz w:val="24"/>
          <w:szCs w:val="24"/>
        </w:rPr>
        <w:t xml:space="preserve"> SRI</w:t>
      </w:r>
    </w:p>
    <w:p w14:paraId="40BBB9B1" w14:textId="77777777" w:rsidR="002A0259" w:rsidRDefault="002A0259">
      <w:pPr>
        <w:spacing w:line="240" w:lineRule="auto"/>
        <w:jc w:val="both"/>
        <w:rPr>
          <w:rFonts w:ascii="Times New Roman" w:eastAsia="Times New Roman" w:hAnsi="Times New Roman" w:cs="Times New Roman"/>
          <w:b/>
          <w:sz w:val="24"/>
          <w:szCs w:val="24"/>
        </w:rPr>
      </w:pPr>
    </w:p>
    <w:p w14:paraId="7CCF95A9"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Adam and Shauki (2014), understanding individual investors' intentions and behaviour toward SRI in Malaysia depends on the subjective standard (SRI). Investors' impressions of whether their circles of influence support, advocate, or welcome investment in SRI funds are replicated in a study by SN (i.e., friends, relatives, and financial advisers). The results of the study show that SN has a moderately positive relationship with the intention to invest in SRI, as explained by the p-value of 0.112 and a positive path coefficient, rejecting the H3 in the sense that there is no significant relationship, which is contrary to the findings of other authors (Adam &amp; Shauki, 2014; Alleyne &amp; Broome, 2011). The study also discovered that the relationship between SN and investors' goals is weak, with little influence from societal elements (friends, </w:t>
      </w:r>
      <w:r w:rsidR="00D13D1E">
        <w:rPr>
          <w:rFonts w:ascii="Times New Roman" w:eastAsia="Times New Roman" w:hAnsi="Times New Roman" w:cs="Times New Roman"/>
          <w:sz w:val="24"/>
          <w:szCs w:val="24"/>
        </w:rPr>
        <w:t>co-workers</w:t>
      </w:r>
      <w:r>
        <w:rPr>
          <w:rFonts w:ascii="Times New Roman" w:eastAsia="Times New Roman" w:hAnsi="Times New Roman" w:cs="Times New Roman"/>
          <w:sz w:val="24"/>
          <w:szCs w:val="24"/>
        </w:rPr>
        <w:t>, family, and financial advisors). Due to past experiences, social experiences, relationships, personality traits, and mental health issues, they do not trust the people around them to make sound investing decisions, which explains their conduct. Investors frequently place more trust in their skills than in others.</w:t>
      </w:r>
    </w:p>
    <w:p w14:paraId="42AD76D8" w14:textId="77777777" w:rsidR="002A0259" w:rsidRDefault="002A0259">
      <w:pPr>
        <w:spacing w:line="240" w:lineRule="auto"/>
        <w:jc w:val="both"/>
        <w:rPr>
          <w:rFonts w:ascii="Times New Roman" w:eastAsia="Times New Roman" w:hAnsi="Times New Roman" w:cs="Times New Roman"/>
          <w:b/>
          <w:sz w:val="24"/>
          <w:szCs w:val="24"/>
        </w:rPr>
      </w:pPr>
    </w:p>
    <w:p w14:paraId="13B51F74"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5.4 Influence of PBC on the intention to Invest </w:t>
      </w:r>
      <w:r w:rsidR="00D13D1E">
        <w:rPr>
          <w:rFonts w:ascii="Times New Roman" w:eastAsia="Times New Roman" w:hAnsi="Times New Roman" w:cs="Times New Roman"/>
          <w:b/>
          <w:sz w:val="24"/>
          <w:szCs w:val="24"/>
        </w:rPr>
        <w:t>in</w:t>
      </w:r>
      <w:r>
        <w:rPr>
          <w:rFonts w:ascii="Times New Roman" w:eastAsia="Times New Roman" w:hAnsi="Times New Roman" w:cs="Times New Roman"/>
          <w:b/>
          <w:sz w:val="24"/>
          <w:szCs w:val="24"/>
        </w:rPr>
        <w:t xml:space="preserve"> SRI</w:t>
      </w:r>
    </w:p>
    <w:p w14:paraId="26845698" w14:textId="77777777" w:rsidR="002A0259" w:rsidRDefault="002A0259">
      <w:pPr>
        <w:spacing w:line="240" w:lineRule="auto"/>
        <w:jc w:val="both"/>
        <w:rPr>
          <w:rFonts w:ascii="Times New Roman" w:eastAsia="Times New Roman" w:hAnsi="Times New Roman" w:cs="Times New Roman"/>
          <w:b/>
          <w:sz w:val="24"/>
          <w:szCs w:val="24"/>
        </w:rPr>
      </w:pPr>
    </w:p>
    <w:p w14:paraId="3DFADA90"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Theoretically, according to Ajzen (1991) and East (1993), PBC serves two goals. It influences both conduct and intention in addition to influencing behaviour. It was determined that the association between PBC and the intention to make SRI was moderately significant, with a p-value of 0.480 and a positive path coefficient, rejecting H4. According t</w:t>
      </w:r>
      <w:r w:rsidR="00A55899">
        <w:rPr>
          <w:rFonts w:ascii="Times New Roman" w:eastAsia="Times New Roman" w:hAnsi="Times New Roman" w:cs="Times New Roman"/>
          <w:sz w:val="24"/>
          <w:szCs w:val="24"/>
        </w:rPr>
        <w:t xml:space="preserve">o the </w:t>
      </w:r>
      <w:r>
        <w:rPr>
          <w:rFonts w:ascii="Times New Roman" w:eastAsia="Times New Roman" w:hAnsi="Times New Roman" w:cs="Times New Roman"/>
          <w:sz w:val="24"/>
          <w:szCs w:val="24"/>
        </w:rPr>
        <w:t>TPB, an individual's intended behaviour is correlated with their confidence in their capacity to carry out the desired action. This finding confirms the hypothesis and studies by Wen et al. (2011) as well as the TPB. The average person would typically refrain from doing something they believe will be difficult or that they lack the confidence to complete, which could be one explanation for why PBC has a moderating effect on investors' intentions to invest in socially responsible securities. The results of this study show that PBC, one of the fundamental</w:t>
      </w:r>
      <w:r w:rsidR="009B35A8">
        <w:rPr>
          <w:rFonts w:ascii="Times New Roman" w:eastAsia="Times New Roman" w:hAnsi="Times New Roman" w:cs="Times New Roman"/>
          <w:sz w:val="24"/>
          <w:szCs w:val="24"/>
        </w:rPr>
        <w:t xml:space="preserve"> ideas of the TPB</w:t>
      </w:r>
      <w:r>
        <w:rPr>
          <w:rFonts w:ascii="Times New Roman" w:eastAsia="Times New Roman" w:hAnsi="Times New Roman" w:cs="Times New Roman"/>
          <w:sz w:val="24"/>
          <w:szCs w:val="24"/>
        </w:rPr>
        <w:t>, has little bearing on investors' intentions to participate in SRI in Malaysia.</w:t>
      </w:r>
    </w:p>
    <w:p w14:paraId="5B9F9BE1" w14:textId="77777777" w:rsidR="002A0259" w:rsidRDefault="002A0259">
      <w:pPr>
        <w:spacing w:line="240" w:lineRule="auto"/>
        <w:jc w:val="both"/>
        <w:rPr>
          <w:rFonts w:ascii="Times New Roman" w:eastAsia="Times New Roman" w:hAnsi="Times New Roman" w:cs="Times New Roman"/>
          <w:b/>
          <w:sz w:val="24"/>
          <w:szCs w:val="24"/>
        </w:rPr>
      </w:pPr>
    </w:p>
    <w:p w14:paraId="152BF137"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5.5 Influence of MN on the Intention to Invest </w:t>
      </w:r>
      <w:r w:rsidR="00D13D1E">
        <w:rPr>
          <w:rFonts w:ascii="Times New Roman" w:eastAsia="Times New Roman" w:hAnsi="Times New Roman" w:cs="Times New Roman"/>
          <w:b/>
          <w:sz w:val="24"/>
          <w:szCs w:val="24"/>
        </w:rPr>
        <w:t>in</w:t>
      </w:r>
      <w:r>
        <w:rPr>
          <w:rFonts w:ascii="Times New Roman" w:eastAsia="Times New Roman" w:hAnsi="Times New Roman" w:cs="Times New Roman"/>
          <w:b/>
          <w:sz w:val="24"/>
          <w:szCs w:val="24"/>
        </w:rPr>
        <w:t xml:space="preserve"> SRI</w:t>
      </w:r>
    </w:p>
    <w:p w14:paraId="51D182BA" w14:textId="77777777" w:rsidR="002A0259" w:rsidRDefault="002A0259">
      <w:pPr>
        <w:spacing w:line="240" w:lineRule="auto"/>
        <w:jc w:val="both"/>
        <w:rPr>
          <w:rFonts w:ascii="Times New Roman" w:eastAsia="Times New Roman" w:hAnsi="Times New Roman" w:cs="Times New Roman"/>
          <w:b/>
          <w:sz w:val="24"/>
          <w:szCs w:val="24"/>
        </w:rPr>
      </w:pPr>
    </w:p>
    <w:p w14:paraId="6D90F8CD"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Moral standards have a key role in understanding purpose, according to numerous academics who have studied them as a predictor of behavioural intents (Kurland, 1995; Randall &amp; Gibson, 1991; Godin et al., 2005; Rivis et al., 2009). A p-value of 0.005 and a positive route coefficient were achieved with the addition of this variable. In conclusion, MN supported Adam and Shauki's study and did not reject H5 by showing a positive trend in terms of investment intention.</w:t>
      </w:r>
    </w:p>
    <w:p w14:paraId="6DA5CB81" w14:textId="77777777" w:rsidR="002A0259" w:rsidRDefault="00A5589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343186">
        <w:rPr>
          <w:rFonts w:ascii="Times New Roman" w:eastAsia="Times New Roman" w:hAnsi="Times New Roman" w:cs="Times New Roman"/>
          <w:sz w:val="24"/>
          <w:szCs w:val="24"/>
        </w:rPr>
        <w:t>TPB, which recently included MN, significantly impacted investors' intentions toward SRI. The result showed that MN could be included as a new element in the explanation of the TPB to assist investors in making more informed decisions, although having minimal influence. More specifically, this result showed that Malaysian investors were greatly influenced by their actual behaviour in line with their standards (Adam &amp; Shauki, 2014), revealing their ATT and intention to invest in green shares or socially conscious stocks for the benefit of society at large. The results here lend credence to the hypothesis that moral principles can significantly advance our knowledge of the relationship between intention and conduct. Given how significant it is, it is assumed that the study's findings support the extension of TPB.</w:t>
      </w:r>
    </w:p>
    <w:p w14:paraId="0C7CF799" w14:textId="77777777" w:rsidR="002A0259" w:rsidRDefault="002A0259">
      <w:pPr>
        <w:spacing w:line="240" w:lineRule="auto"/>
        <w:jc w:val="both"/>
        <w:rPr>
          <w:rFonts w:ascii="Times New Roman" w:eastAsia="Times New Roman" w:hAnsi="Times New Roman" w:cs="Times New Roman"/>
          <w:b/>
          <w:sz w:val="24"/>
          <w:szCs w:val="24"/>
        </w:rPr>
      </w:pPr>
    </w:p>
    <w:p w14:paraId="31335311"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5.6 Influence of EC on the Intention to Invest </w:t>
      </w:r>
      <w:r w:rsidR="00D13D1E">
        <w:rPr>
          <w:rFonts w:ascii="Times New Roman" w:eastAsia="Times New Roman" w:hAnsi="Times New Roman" w:cs="Times New Roman"/>
          <w:b/>
          <w:sz w:val="24"/>
          <w:szCs w:val="24"/>
        </w:rPr>
        <w:t>in</w:t>
      </w:r>
      <w:r>
        <w:rPr>
          <w:rFonts w:ascii="Times New Roman" w:eastAsia="Times New Roman" w:hAnsi="Times New Roman" w:cs="Times New Roman"/>
          <w:b/>
          <w:sz w:val="24"/>
          <w:szCs w:val="24"/>
        </w:rPr>
        <w:t xml:space="preserve"> SRI</w:t>
      </w:r>
    </w:p>
    <w:p w14:paraId="19068CA5" w14:textId="77777777" w:rsidR="002A0259" w:rsidRDefault="002A0259">
      <w:pPr>
        <w:spacing w:line="240" w:lineRule="auto"/>
        <w:jc w:val="both"/>
        <w:rPr>
          <w:rFonts w:ascii="Times New Roman" w:eastAsia="Times New Roman" w:hAnsi="Times New Roman" w:cs="Times New Roman"/>
          <w:b/>
          <w:sz w:val="24"/>
          <w:szCs w:val="24"/>
        </w:rPr>
      </w:pPr>
    </w:p>
    <w:p w14:paraId="2B4E44C6"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Malaysians are well aware of environmental issues and water pollution and have the highest intention to act properly, but consumers' environmental awareness has increased (Mei et al., 2016). EC has a p-value of 0 according to the collected data, corroborating the most recent findings of Ming et al. with a positive path coefficient (2015). Not opposing H6. In addition, the EC survey revealed that, despite the investors' willingness to engage in SRI for the sake of their community, they went above and above to explore ways to enhance the environment. Over the past two decades, extensive environmental degradation worldwide has sparked public concern. It is incredibly challenging for emerging nations such as Malaysia to achieve a balance between economic growth and environmental sustainability. Given that the 21st century is being touted as the "century of the environment," businesses must keep up with the trend of generating environmentally friendly products and integrating better technologies to </w:t>
      </w:r>
      <w:r w:rsidR="00D13D1E">
        <w:rPr>
          <w:rFonts w:ascii="Times New Roman" w:eastAsia="Times New Roman" w:hAnsi="Times New Roman" w:cs="Times New Roman"/>
          <w:sz w:val="24"/>
          <w:szCs w:val="24"/>
        </w:rPr>
        <w:t>fulfil</w:t>
      </w:r>
      <w:r>
        <w:rPr>
          <w:rFonts w:ascii="Times New Roman" w:eastAsia="Times New Roman" w:hAnsi="Times New Roman" w:cs="Times New Roman"/>
          <w:sz w:val="24"/>
          <w:szCs w:val="24"/>
        </w:rPr>
        <w:t xml:space="preserve"> the needs of society. This study demonstrates that investors feel driven to safeguard their local environment and community due to the expanding global focus.</w:t>
      </w:r>
    </w:p>
    <w:p w14:paraId="74B1278F" w14:textId="77777777" w:rsidR="002A0259" w:rsidRDefault="002A0259">
      <w:pPr>
        <w:spacing w:line="240" w:lineRule="auto"/>
        <w:jc w:val="both"/>
        <w:rPr>
          <w:rFonts w:ascii="Times New Roman" w:eastAsia="Times New Roman" w:hAnsi="Times New Roman" w:cs="Times New Roman"/>
          <w:b/>
          <w:sz w:val="24"/>
          <w:szCs w:val="24"/>
        </w:rPr>
      </w:pPr>
    </w:p>
    <w:p w14:paraId="4B478BAA"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5.7 Influence of FK on the Intention to Invest </w:t>
      </w:r>
      <w:r w:rsidR="00D13D1E">
        <w:rPr>
          <w:rFonts w:ascii="Times New Roman" w:eastAsia="Times New Roman" w:hAnsi="Times New Roman" w:cs="Times New Roman"/>
          <w:b/>
          <w:sz w:val="24"/>
          <w:szCs w:val="24"/>
        </w:rPr>
        <w:t>in</w:t>
      </w:r>
      <w:r>
        <w:rPr>
          <w:rFonts w:ascii="Times New Roman" w:eastAsia="Times New Roman" w:hAnsi="Times New Roman" w:cs="Times New Roman"/>
          <w:b/>
          <w:sz w:val="24"/>
          <w:szCs w:val="24"/>
        </w:rPr>
        <w:t xml:space="preserve"> SRI</w:t>
      </w:r>
    </w:p>
    <w:p w14:paraId="12C5D632" w14:textId="77777777" w:rsidR="002A0259" w:rsidRDefault="002A0259">
      <w:pPr>
        <w:spacing w:line="240" w:lineRule="auto"/>
        <w:jc w:val="both"/>
        <w:rPr>
          <w:rFonts w:ascii="Times New Roman" w:eastAsia="Times New Roman" w:hAnsi="Times New Roman" w:cs="Times New Roman"/>
          <w:b/>
          <w:sz w:val="24"/>
          <w:szCs w:val="24"/>
        </w:rPr>
      </w:pPr>
    </w:p>
    <w:p w14:paraId="4AB7030C"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 to the Model of Financial Literacy, investing involves financial awareness and knowledge. Financially responsible people understand money and make smart financial judgments (Hogarth &amp; Hilgert, 2002). The analysis supports Mandell's findings by indicating that FK has a significant and positive link with the intention to invest in SRI, with a p-value of 0.007 and a positive path coefficient, supporting H7. Investors' investment decisions are heavily influenced by financial expertise. It will be fascinating to see if FK follows moralit</w:t>
      </w:r>
      <w:r w:rsidR="00E12326">
        <w:rPr>
          <w:rFonts w:ascii="Times New Roman" w:eastAsia="Times New Roman" w:hAnsi="Times New Roman" w:cs="Times New Roman"/>
          <w:sz w:val="24"/>
          <w:szCs w:val="24"/>
        </w:rPr>
        <w:t>y and environmentalism in SRI p</w:t>
      </w:r>
      <w:r>
        <w:rPr>
          <w:rFonts w:ascii="Times New Roman" w:eastAsia="Times New Roman" w:hAnsi="Times New Roman" w:cs="Times New Roman"/>
          <w:sz w:val="24"/>
          <w:szCs w:val="24"/>
        </w:rPr>
        <w:t xml:space="preserve">articularly when it may be argued that financial awareness might predict market participation or non-participation as participants appear to be afraid to join the stock market due to their insufficient knowledge of stocks and stock markets. Financial competence strongly influenced SRI investment. Thus, the Financial Literacy Model can help SRI decision-makers integrate financial </w:t>
      </w:r>
      <w:r>
        <w:rPr>
          <w:rFonts w:ascii="Times New Roman" w:eastAsia="Times New Roman" w:hAnsi="Times New Roman" w:cs="Times New Roman"/>
          <w:sz w:val="24"/>
          <w:szCs w:val="24"/>
        </w:rPr>
        <w:lastRenderedPageBreak/>
        <w:t>inform</w:t>
      </w:r>
      <w:r w:rsidR="0008355B">
        <w:rPr>
          <w:rFonts w:ascii="Times New Roman" w:eastAsia="Times New Roman" w:hAnsi="Times New Roman" w:cs="Times New Roman"/>
          <w:sz w:val="24"/>
          <w:szCs w:val="24"/>
        </w:rPr>
        <w:t>ation, d</w:t>
      </w:r>
      <w:r>
        <w:rPr>
          <w:rFonts w:ascii="Times New Roman" w:eastAsia="Times New Roman" w:hAnsi="Times New Roman" w:cs="Times New Roman"/>
          <w:sz w:val="24"/>
          <w:szCs w:val="24"/>
        </w:rPr>
        <w:t xml:space="preserve">emonstrating that financially competent persons are more likely to invest in SRI. However, financial illiteracy and a "buy now, pay later" credit </w:t>
      </w:r>
      <w:r w:rsidR="00D13D1E">
        <w:rPr>
          <w:rFonts w:ascii="Times New Roman" w:eastAsia="Times New Roman" w:hAnsi="Times New Roman" w:cs="Times New Roman"/>
          <w:sz w:val="24"/>
          <w:szCs w:val="24"/>
        </w:rPr>
        <w:t>mind-set</w:t>
      </w:r>
      <w:r>
        <w:rPr>
          <w:rFonts w:ascii="Times New Roman" w:eastAsia="Times New Roman" w:hAnsi="Times New Roman" w:cs="Times New Roman"/>
          <w:sz w:val="24"/>
          <w:szCs w:val="24"/>
        </w:rPr>
        <w:t xml:space="preserve"> are thought to contribute to the mounting debt crisis. Given the increased need to prepare for retirement, the complexity of f</w:t>
      </w:r>
      <w:r w:rsidR="00E12326">
        <w:rPr>
          <w:rFonts w:ascii="Times New Roman" w:eastAsia="Times New Roman" w:hAnsi="Times New Roman" w:cs="Times New Roman"/>
          <w:sz w:val="24"/>
          <w:szCs w:val="24"/>
        </w:rPr>
        <w:t xml:space="preserve">inancial products and services </w:t>
      </w:r>
      <w:r>
        <w:rPr>
          <w:rFonts w:ascii="Times New Roman" w:eastAsia="Times New Roman" w:hAnsi="Times New Roman" w:cs="Times New Roman"/>
          <w:sz w:val="24"/>
          <w:szCs w:val="24"/>
        </w:rPr>
        <w:t>which makes informed investment decisions more necessary but harder, and the gap in wealth outcomes due to financial literacy, this is especially true. These factors boost financial health. Financial literacy gives consumers confidence when making financial decisions.</w:t>
      </w:r>
    </w:p>
    <w:p w14:paraId="69FCB6C1" w14:textId="77777777" w:rsidR="002A0259" w:rsidRDefault="002A0259">
      <w:pPr>
        <w:spacing w:line="240" w:lineRule="auto"/>
        <w:jc w:val="both"/>
        <w:rPr>
          <w:rFonts w:ascii="Times New Roman" w:eastAsia="Times New Roman" w:hAnsi="Times New Roman" w:cs="Times New Roman"/>
          <w:b/>
          <w:sz w:val="24"/>
          <w:szCs w:val="24"/>
        </w:rPr>
      </w:pPr>
    </w:p>
    <w:p w14:paraId="1EFBEA53" w14:textId="77777777" w:rsidR="002A0259" w:rsidRDefault="002A0259">
      <w:pPr>
        <w:spacing w:line="240" w:lineRule="auto"/>
        <w:jc w:val="both"/>
        <w:rPr>
          <w:rFonts w:ascii="Times New Roman" w:eastAsia="Times New Roman" w:hAnsi="Times New Roman" w:cs="Times New Roman"/>
          <w:b/>
          <w:sz w:val="24"/>
          <w:szCs w:val="24"/>
        </w:rPr>
      </w:pPr>
    </w:p>
    <w:p w14:paraId="41592E52" w14:textId="77777777" w:rsidR="002A0259" w:rsidRDefault="002A0259">
      <w:pPr>
        <w:spacing w:line="240" w:lineRule="auto"/>
        <w:jc w:val="both"/>
        <w:rPr>
          <w:rFonts w:ascii="Times New Roman" w:eastAsia="Times New Roman" w:hAnsi="Times New Roman" w:cs="Times New Roman"/>
          <w:b/>
          <w:sz w:val="24"/>
          <w:szCs w:val="24"/>
        </w:rPr>
      </w:pPr>
    </w:p>
    <w:p w14:paraId="1552D429"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5.8 IMPLICATIONS</w:t>
      </w:r>
    </w:p>
    <w:p w14:paraId="25A1F09A" w14:textId="77777777" w:rsidR="002A0259" w:rsidRDefault="002A0259">
      <w:pPr>
        <w:spacing w:line="240" w:lineRule="auto"/>
        <w:jc w:val="both"/>
        <w:rPr>
          <w:rFonts w:ascii="Times New Roman" w:eastAsia="Times New Roman" w:hAnsi="Times New Roman" w:cs="Times New Roman"/>
          <w:sz w:val="24"/>
          <w:szCs w:val="24"/>
        </w:rPr>
      </w:pPr>
    </w:p>
    <w:p w14:paraId="50981744"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study aims to comprehensively examine the factors that influence individual investors' decision-making behaviour in relation to SRI. By utilizing a combination of the Financial Litera</w:t>
      </w:r>
      <w:r w:rsidR="00A55899">
        <w:rPr>
          <w:rFonts w:ascii="Times New Roman" w:eastAsia="Times New Roman" w:hAnsi="Times New Roman" w:cs="Times New Roman"/>
          <w:sz w:val="24"/>
          <w:szCs w:val="24"/>
        </w:rPr>
        <w:t xml:space="preserve">cy Model, the </w:t>
      </w:r>
      <w:r>
        <w:rPr>
          <w:rFonts w:ascii="Times New Roman" w:eastAsia="Times New Roman" w:hAnsi="Times New Roman" w:cs="Times New Roman"/>
          <w:sz w:val="24"/>
          <w:szCs w:val="24"/>
        </w:rPr>
        <w:t xml:space="preserve">TPB, and the </w:t>
      </w:r>
      <w:r w:rsidR="009B35A8">
        <w:rPr>
          <w:rFonts w:ascii="Times New Roman" w:eastAsia="Times New Roman" w:hAnsi="Times New Roman" w:cs="Times New Roman"/>
          <w:sz w:val="24"/>
          <w:szCs w:val="24"/>
        </w:rPr>
        <w:t>UTAUT</w:t>
      </w:r>
      <w:r>
        <w:rPr>
          <w:rFonts w:ascii="Times New Roman" w:eastAsia="Times New Roman" w:hAnsi="Times New Roman" w:cs="Times New Roman"/>
          <w:sz w:val="24"/>
          <w:szCs w:val="24"/>
        </w:rPr>
        <w:t>, the study aims to provide insights into both the behavioural and financial aspects of SRI investing. The study's findings may have significant theoretical and practical implications for emerging stock markets.</w:t>
      </w:r>
    </w:p>
    <w:p w14:paraId="75C164F1" w14:textId="77777777" w:rsidR="002A0259" w:rsidRDefault="002A0259">
      <w:pPr>
        <w:spacing w:line="240" w:lineRule="auto"/>
        <w:jc w:val="both"/>
        <w:rPr>
          <w:rFonts w:ascii="Times New Roman" w:eastAsia="Times New Roman" w:hAnsi="Times New Roman" w:cs="Times New Roman"/>
          <w:b/>
          <w:sz w:val="24"/>
          <w:szCs w:val="24"/>
        </w:rPr>
      </w:pPr>
    </w:p>
    <w:p w14:paraId="174A5835" w14:textId="77777777" w:rsidR="002A0259" w:rsidRDefault="00E1232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5.8.1</w:t>
      </w:r>
      <w:r w:rsidR="00343186">
        <w:rPr>
          <w:rFonts w:ascii="Times New Roman" w:eastAsia="Times New Roman" w:hAnsi="Times New Roman" w:cs="Times New Roman"/>
          <w:b/>
          <w:sz w:val="24"/>
          <w:szCs w:val="24"/>
        </w:rPr>
        <w:t xml:space="preserve"> Implications in Knowledge:</w:t>
      </w:r>
    </w:p>
    <w:p w14:paraId="1A26970A" w14:textId="77777777" w:rsidR="002A0259" w:rsidRDefault="002A0259">
      <w:pPr>
        <w:spacing w:line="240" w:lineRule="auto"/>
        <w:jc w:val="both"/>
        <w:rPr>
          <w:rFonts w:ascii="Times New Roman" w:eastAsia="Times New Roman" w:hAnsi="Times New Roman" w:cs="Times New Roman"/>
          <w:b/>
          <w:sz w:val="24"/>
          <w:szCs w:val="24"/>
        </w:rPr>
      </w:pPr>
    </w:p>
    <w:p w14:paraId="557D0D6F"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study aims to evaluate how individual investors' decision-making regarding SRI is affected by moral standards, PP, and EC. It combines three theories with new constructs to provide evidence for how well these theories and associated factors predict investors' intentions toward SRI in Malaysia. The main variables of the TPB model, such as ATT and SN, have a significant impact on investors' intentions toward SRIs. However, the variable from UTAUT, PP, has had a negative impact. The study also highlights the importance of EC in decision-making and suggests that moral standards may be further investigated with a different population in other developing nations. Additionally, the study found that financial knowledge and PP from the Financial Model and UTAUT model, respectively, have a varying degree of significance in predicting investors' decision-making.</w:t>
      </w:r>
    </w:p>
    <w:p w14:paraId="39793B02" w14:textId="77777777" w:rsidR="002A0259" w:rsidRDefault="002A0259">
      <w:pPr>
        <w:spacing w:line="240" w:lineRule="auto"/>
        <w:jc w:val="both"/>
        <w:rPr>
          <w:rFonts w:ascii="Times New Roman" w:eastAsia="Times New Roman" w:hAnsi="Times New Roman" w:cs="Times New Roman"/>
          <w:b/>
          <w:sz w:val="24"/>
          <w:szCs w:val="24"/>
        </w:rPr>
      </w:pPr>
    </w:p>
    <w:p w14:paraId="7AD993D7"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5.8.2 Implications to Practice: </w:t>
      </w:r>
    </w:p>
    <w:p w14:paraId="08099053" w14:textId="77777777" w:rsidR="002A0259" w:rsidRDefault="002A0259">
      <w:pPr>
        <w:spacing w:line="240" w:lineRule="auto"/>
        <w:jc w:val="both"/>
        <w:rPr>
          <w:rFonts w:ascii="Times New Roman" w:eastAsia="Times New Roman" w:hAnsi="Times New Roman" w:cs="Times New Roman"/>
          <w:b/>
          <w:sz w:val="24"/>
          <w:szCs w:val="24"/>
        </w:rPr>
      </w:pPr>
    </w:p>
    <w:p w14:paraId="71F2854F"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study aims to better understand individual investors' decision-making behaviour regarding SRI in the Malaysian market. The study found that MN significantly impacted investors' intention to participate in SRIs, but other factors, such as investors' ATT or SN, were inconsequential. These findings may be beneficial for policymakers and other stakeholders, as it demonstrates a need for increased education on environmental awareness among investors and the potential benefits of government support for SRIs through incentives such as tax breaks and subsidies. Additionally, it may be relevant to other developing or development-stage nations, and investors may benefit from understanding the rising popularity of SRI funds and their responsibility to produce sustainable stock market returns. Furthermore, it highlights the influence of subjective standards in investment decision-making for SRI. It recommends that the government could take the initiative to inform and educate older investors with dematerialized accounts about SRI and its benefits.</w:t>
      </w:r>
    </w:p>
    <w:p w14:paraId="7FF11AA3" w14:textId="41800CC7" w:rsidR="002A0259" w:rsidRDefault="002A0259">
      <w:pPr>
        <w:spacing w:line="240" w:lineRule="auto"/>
        <w:jc w:val="both"/>
        <w:rPr>
          <w:rFonts w:ascii="Times New Roman" w:eastAsia="Times New Roman" w:hAnsi="Times New Roman" w:cs="Times New Roman"/>
          <w:b/>
          <w:sz w:val="24"/>
          <w:szCs w:val="24"/>
        </w:rPr>
      </w:pPr>
    </w:p>
    <w:p w14:paraId="6876FD7D" w14:textId="77777777" w:rsidR="00D40403" w:rsidRDefault="00D40403">
      <w:pPr>
        <w:spacing w:line="240" w:lineRule="auto"/>
        <w:jc w:val="both"/>
        <w:rPr>
          <w:rFonts w:ascii="Times New Roman" w:eastAsia="Times New Roman" w:hAnsi="Times New Roman" w:cs="Times New Roman"/>
          <w:b/>
          <w:sz w:val="24"/>
          <w:szCs w:val="24"/>
        </w:rPr>
      </w:pPr>
    </w:p>
    <w:p w14:paraId="5F97D1A1" w14:textId="77777777" w:rsidR="002A0259" w:rsidRDefault="00E1232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5.9</w:t>
      </w:r>
      <w:r w:rsidR="00343186">
        <w:rPr>
          <w:rFonts w:ascii="Times New Roman" w:eastAsia="Times New Roman" w:hAnsi="Times New Roman" w:cs="Times New Roman"/>
          <w:b/>
          <w:sz w:val="24"/>
          <w:szCs w:val="24"/>
        </w:rPr>
        <w:t xml:space="preserve"> Limitations of Study</w:t>
      </w:r>
    </w:p>
    <w:p w14:paraId="5E51F56A" w14:textId="77777777" w:rsidR="002A0259" w:rsidRDefault="002A0259">
      <w:pPr>
        <w:spacing w:line="240" w:lineRule="auto"/>
        <w:jc w:val="both"/>
        <w:rPr>
          <w:rFonts w:ascii="Times New Roman" w:eastAsia="Times New Roman" w:hAnsi="Times New Roman" w:cs="Times New Roman"/>
          <w:b/>
          <w:sz w:val="24"/>
          <w:szCs w:val="24"/>
        </w:rPr>
      </w:pPr>
    </w:p>
    <w:p w14:paraId="0940BAE1"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limitations of the study is its generalization of the findings, which represents the decision-making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of individual investors in terms of SRI and suggests further research should be done with international responses to provide a broader perspective and to examine the moderating effects of personality traits and demographic factors such as gender, age, and educational attainment to gain further insight into people's preferences for social and environmental concerns as expressed through SRI.</w:t>
      </w:r>
    </w:p>
    <w:p w14:paraId="134DF546" w14:textId="77777777" w:rsidR="002A0259" w:rsidRDefault="002A0259">
      <w:pPr>
        <w:spacing w:line="240" w:lineRule="auto"/>
        <w:jc w:val="both"/>
        <w:rPr>
          <w:rFonts w:ascii="Times New Roman" w:eastAsia="Times New Roman" w:hAnsi="Times New Roman" w:cs="Times New Roman"/>
          <w:b/>
          <w:sz w:val="24"/>
          <w:szCs w:val="24"/>
        </w:rPr>
      </w:pPr>
    </w:p>
    <w:p w14:paraId="30C7465D" w14:textId="77777777" w:rsidR="002A0259" w:rsidRDefault="0034318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5.1</w:t>
      </w:r>
      <w:r w:rsidR="00E12326">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 xml:space="preserve"> Suggestions for future studies</w:t>
      </w:r>
    </w:p>
    <w:p w14:paraId="67E31FA5" w14:textId="77777777" w:rsidR="002A0259" w:rsidRDefault="002A0259">
      <w:pPr>
        <w:spacing w:line="240" w:lineRule="auto"/>
        <w:jc w:val="both"/>
        <w:rPr>
          <w:rFonts w:ascii="Times New Roman" w:eastAsia="Times New Roman" w:hAnsi="Times New Roman" w:cs="Times New Roman"/>
          <w:b/>
          <w:sz w:val="24"/>
          <w:szCs w:val="24"/>
        </w:rPr>
      </w:pPr>
    </w:p>
    <w:p w14:paraId="0F41F02F"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study must also address the importance of addressing social dilemma situations when helping investors make investment decisions for the study to be complete. However, it is also recognized that such a topic is not the primary focus of this study. Future research should examine the conundrum investors face over whether sustainability and social responsibility will play a significant role in earning profits. It is also recommended that academics look into various aspects of investor attitudes in Malaysia and the impact of recent events, such as the COVID-19 pandemic and the contemporary geopolitical climate, on those attitudes.</w:t>
      </w:r>
    </w:p>
    <w:p w14:paraId="6FA7FC7C"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study also found a relationship between age, gender, education, and years of experience and SR investment but suggests further research to have a detailed profile of the socially conscious investor by including factors such as occupation, marital status, and place of residence. It is also proposed that the idea of comparing SR investors and SR consumers is based on their demographic characteristics, considering if the same individuals who purchase green and fair trade goods and services also participate in SRI funds or if the context alters the investor/consumer demographics.</w:t>
      </w:r>
    </w:p>
    <w:p w14:paraId="1A8E10D8" w14:textId="77777777" w:rsidR="002A0259" w:rsidRDefault="002A0259">
      <w:pPr>
        <w:spacing w:line="240" w:lineRule="auto"/>
        <w:jc w:val="both"/>
        <w:rPr>
          <w:rFonts w:ascii="Times New Roman" w:eastAsia="Times New Roman" w:hAnsi="Times New Roman" w:cs="Times New Roman"/>
          <w:b/>
          <w:sz w:val="24"/>
          <w:szCs w:val="24"/>
        </w:rPr>
      </w:pPr>
    </w:p>
    <w:p w14:paraId="5728E23E" w14:textId="77777777" w:rsidR="002A0259" w:rsidRDefault="00E1232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5.11</w:t>
      </w:r>
      <w:r w:rsidR="00343186">
        <w:rPr>
          <w:rFonts w:ascii="Times New Roman" w:eastAsia="Times New Roman" w:hAnsi="Times New Roman" w:cs="Times New Roman"/>
          <w:b/>
          <w:sz w:val="24"/>
          <w:szCs w:val="24"/>
        </w:rPr>
        <w:t xml:space="preserve"> Conclusion</w:t>
      </w:r>
    </w:p>
    <w:p w14:paraId="7A654571" w14:textId="77777777" w:rsidR="002A0259" w:rsidRDefault="002A0259">
      <w:pPr>
        <w:spacing w:line="240" w:lineRule="auto"/>
        <w:jc w:val="both"/>
        <w:rPr>
          <w:rFonts w:ascii="Times New Roman" w:eastAsia="Times New Roman" w:hAnsi="Times New Roman" w:cs="Times New Roman"/>
          <w:b/>
          <w:sz w:val="24"/>
          <w:szCs w:val="24"/>
        </w:rPr>
      </w:pPr>
    </w:p>
    <w:p w14:paraId="1A25F624"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study aimed to identify the variables influencing Malaysian investors' decision to invest in SRI. A combination of the </w:t>
      </w:r>
      <w:r w:rsidR="009B35A8">
        <w:rPr>
          <w:rFonts w:ascii="Times New Roman" w:eastAsia="Times New Roman" w:hAnsi="Times New Roman" w:cs="Times New Roman"/>
          <w:sz w:val="24"/>
          <w:szCs w:val="24"/>
        </w:rPr>
        <w:t>UTAUT</w:t>
      </w:r>
      <w:r>
        <w:rPr>
          <w:rFonts w:ascii="Times New Roman" w:eastAsia="Times New Roman" w:hAnsi="Times New Roman" w:cs="Times New Roman"/>
          <w:sz w:val="24"/>
          <w:szCs w:val="24"/>
        </w:rPr>
        <w:t>, the T</w:t>
      </w:r>
      <w:r w:rsidR="009B35A8">
        <w:rPr>
          <w:rFonts w:ascii="Times New Roman" w:eastAsia="Times New Roman" w:hAnsi="Times New Roman" w:cs="Times New Roman"/>
          <w:sz w:val="24"/>
          <w:szCs w:val="24"/>
        </w:rPr>
        <w:t>PB</w:t>
      </w:r>
      <w:r>
        <w:rPr>
          <w:rFonts w:ascii="Times New Roman" w:eastAsia="Times New Roman" w:hAnsi="Times New Roman" w:cs="Times New Roman"/>
          <w:sz w:val="24"/>
          <w:szCs w:val="24"/>
        </w:rPr>
        <w:t xml:space="preserve">, and the Financial Model was utilized as the conceptual framework for the research. The dependent variable was "Intention," and the independent variables were Perceived Performance, ATT, SN, PBC, MN EC, and FK. Data was collected through an online survey and analyzed using various statistical tests. The study found that EC, FK, and MN positively correlated with intention, but ATT had a negative impact. However, the study also acknowledged its limitations, including subjective variables, small sample size, and focus on investors in general. </w:t>
      </w:r>
      <w:r w:rsidR="00D13D1E">
        <w:rPr>
          <w:rFonts w:ascii="Times New Roman" w:eastAsia="Times New Roman" w:hAnsi="Times New Roman" w:cs="Times New Roman"/>
          <w:sz w:val="24"/>
          <w:szCs w:val="24"/>
        </w:rPr>
        <w:t>Therefore,</w:t>
      </w:r>
      <w:r>
        <w:rPr>
          <w:rFonts w:ascii="Times New Roman" w:eastAsia="Times New Roman" w:hAnsi="Times New Roman" w:cs="Times New Roman"/>
          <w:sz w:val="24"/>
          <w:szCs w:val="24"/>
        </w:rPr>
        <w:t xml:space="preserve"> the researcher suggests that future research should focus on cross-border investors, broaden the geographic focus, increase the sample size, and add more variables.</w:t>
      </w:r>
    </w:p>
    <w:p w14:paraId="3D6080BF" w14:textId="37E7A463" w:rsidR="002A0259" w:rsidRDefault="002A0259">
      <w:pPr>
        <w:spacing w:line="240" w:lineRule="auto"/>
        <w:jc w:val="both"/>
        <w:rPr>
          <w:rFonts w:ascii="Times New Roman" w:eastAsia="Times New Roman" w:hAnsi="Times New Roman" w:cs="Times New Roman"/>
          <w:b/>
          <w:sz w:val="24"/>
          <w:szCs w:val="24"/>
        </w:rPr>
      </w:pPr>
    </w:p>
    <w:p w14:paraId="4C9A4D18" w14:textId="568C7778" w:rsidR="00D40403" w:rsidRDefault="00D40403">
      <w:pPr>
        <w:spacing w:line="240" w:lineRule="auto"/>
        <w:jc w:val="both"/>
        <w:rPr>
          <w:rFonts w:ascii="Times New Roman" w:eastAsia="Times New Roman" w:hAnsi="Times New Roman" w:cs="Times New Roman"/>
          <w:b/>
          <w:sz w:val="24"/>
          <w:szCs w:val="24"/>
        </w:rPr>
      </w:pPr>
    </w:p>
    <w:p w14:paraId="65D02A0E" w14:textId="7DEA57C3" w:rsidR="00D40403" w:rsidRDefault="00D40403">
      <w:pPr>
        <w:spacing w:line="240" w:lineRule="auto"/>
        <w:jc w:val="both"/>
        <w:rPr>
          <w:rFonts w:ascii="Times New Roman" w:eastAsia="Times New Roman" w:hAnsi="Times New Roman" w:cs="Times New Roman"/>
          <w:b/>
          <w:sz w:val="24"/>
          <w:szCs w:val="24"/>
        </w:rPr>
      </w:pPr>
    </w:p>
    <w:p w14:paraId="2235DDA3" w14:textId="07846B31" w:rsidR="00D40403" w:rsidRDefault="00D40403">
      <w:pPr>
        <w:spacing w:line="240" w:lineRule="auto"/>
        <w:jc w:val="both"/>
        <w:rPr>
          <w:rFonts w:ascii="Times New Roman" w:eastAsia="Times New Roman" w:hAnsi="Times New Roman" w:cs="Times New Roman"/>
          <w:b/>
          <w:sz w:val="24"/>
          <w:szCs w:val="24"/>
        </w:rPr>
      </w:pPr>
    </w:p>
    <w:p w14:paraId="7E10FA62" w14:textId="6C627BA8" w:rsidR="00D40403" w:rsidRDefault="00D40403">
      <w:pPr>
        <w:spacing w:line="240" w:lineRule="auto"/>
        <w:jc w:val="both"/>
        <w:rPr>
          <w:rFonts w:ascii="Times New Roman" w:eastAsia="Times New Roman" w:hAnsi="Times New Roman" w:cs="Times New Roman"/>
          <w:b/>
          <w:sz w:val="24"/>
          <w:szCs w:val="24"/>
        </w:rPr>
      </w:pPr>
    </w:p>
    <w:p w14:paraId="192ED831" w14:textId="7BD667CA" w:rsidR="00D40403" w:rsidRDefault="00D40403">
      <w:pPr>
        <w:spacing w:line="240" w:lineRule="auto"/>
        <w:jc w:val="both"/>
        <w:rPr>
          <w:rFonts w:ascii="Times New Roman" w:eastAsia="Times New Roman" w:hAnsi="Times New Roman" w:cs="Times New Roman"/>
          <w:b/>
          <w:sz w:val="24"/>
          <w:szCs w:val="24"/>
        </w:rPr>
      </w:pPr>
    </w:p>
    <w:p w14:paraId="6B589BFA" w14:textId="77777777" w:rsidR="00B42DD8" w:rsidRDefault="00B42DD8">
      <w:pPr>
        <w:spacing w:line="240" w:lineRule="auto"/>
        <w:jc w:val="both"/>
        <w:rPr>
          <w:rFonts w:ascii="Times New Roman" w:eastAsia="Times New Roman" w:hAnsi="Times New Roman" w:cs="Times New Roman"/>
          <w:b/>
          <w:sz w:val="24"/>
          <w:szCs w:val="24"/>
        </w:rPr>
      </w:pPr>
    </w:p>
    <w:p w14:paraId="3A37E5AC" w14:textId="77777777" w:rsidR="002A0259" w:rsidRDefault="002A0259">
      <w:pPr>
        <w:spacing w:line="240" w:lineRule="auto"/>
        <w:jc w:val="both"/>
        <w:rPr>
          <w:rFonts w:ascii="Times New Roman" w:eastAsia="Times New Roman" w:hAnsi="Times New Roman" w:cs="Times New Roman"/>
          <w:b/>
          <w:sz w:val="24"/>
          <w:szCs w:val="24"/>
        </w:rPr>
      </w:pPr>
    </w:p>
    <w:p w14:paraId="0D72B980" w14:textId="77777777" w:rsidR="002A0259" w:rsidRDefault="0034318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References: </w:t>
      </w:r>
      <w:r>
        <w:rPr>
          <w:rFonts w:ascii="Times New Roman" w:eastAsia="Times New Roman" w:hAnsi="Times New Roman" w:cs="Times New Roman"/>
          <w:sz w:val="24"/>
          <w:szCs w:val="24"/>
        </w:rPr>
        <w:br/>
      </w:r>
    </w:p>
    <w:p w14:paraId="054317F4"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Hamid, M. R., Sami, W., &amp; Mohmad Sidek, M. H. (2017). Discriminant validity assessment: Use of Fornell &amp; Larcker criterion versus HTMT criterion. Journal of Physics: Conference Series, 890, 012163. https://doi.org/10.1088/1742-6596/890/1/012163</w:t>
      </w:r>
    </w:p>
    <w:p w14:paraId="79FAA4CF"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Adam, A. A., &amp; Shauki, E. R. (2014). Socially responsible investment in Malaysia: </w:t>
      </w:r>
      <w:r w:rsidR="00D13D1E">
        <w:rPr>
          <w:rFonts w:ascii="Times New Roman" w:eastAsia="Times New Roman" w:hAnsi="Times New Roman" w:cs="Times New Roman"/>
          <w:sz w:val="24"/>
          <w:szCs w:val="24"/>
        </w:rPr>
        <w:t>Behavioural</w:t>
      </w:r>
      <w:r>
        <w:rPr>
          <w:rFonts w:ascii="Times New Roman" w:eastAsia="Times New Roman" w:hAnsi="Times New Roman" w:cs="Times New Roman"/>
          <w:sz w:val="24"/>
          <w:szCs w:val="24"/>
        </w:rPr>
        <w:t xml:space="preserve"> Framework in evaluating investors' decision making process. Journal of Cleaner Production, 80, 224–240. https://doi.org/10.1016/j.jclepro.2014.05.075</w:t>
      </w:r>
    </w:p>
    <w:p w14:paraId="1F9189BE"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Ajzen, I. (1985). From intentions to actions: A theory of planned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Action Control, 11–39. https://doi.org/10.1007/978-3-642-69746-3_2</w:t>
      </w:r>
    </w:p>
    <w:p w14:paraId="2D5E1145"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Ajzen, I. (1991). The theory of planned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Organizational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and Human Decision Processes, 50(2), 179–211. https://doi.org/10.1016/0749-5978(91)90020-t</w:t>
      </w:r>
    </w:p>
    <w:p w14:paraId="0CC95657"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Alleyne, P., &amp; Broome, T. (2011). Using the theory of planned behaviour and risk propensity to measure investment intentions among future investors.</w:t>
      </w:r>
    </w:p>
    <w:p w14:paraId="23020C04"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Almendarez, L. (2013). Human capital theory: Implications for educational development in Belize and the Caribbean. Caribbean Quarterly, 59(3-4), 21–33. https://doi.org/10.1080/00086495.2013.11672495</w:t>
      </w:r>
    </w:p>
    <w:p w14:paraId="2093C913"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Andrade, C. (2019). The P value and statistical significance: Misunderstandings, explanations, challenges, and alternatives. Indian Journal of Psychological Medicine, 41(3), 210–215. https://doi.org/10.4103/ijpsym.ijpsym_193_19</w:t>
      </w:r>
    </w:p>
    <w:p w14:paraId="6095ACA6"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Ashidiqi, C., &amp; Arundina, T. (2017). Indonesia Students's intention to invest in Sukuk : Theory of planned behaviour approach. International Journal of Economic Research, 14, 395–407.</w:t>
      </w:r>
    </w:p>
    <w:p w14:paraId="690D58D5"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Bollen, K. A. (1989). Structural equations with latent variables. https://doi.org/10.1002/9781118619179</w:t>
      </w:r>
    </w:p>
    <w:p w14:paraId="4015DF3C"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Borgers, A. C. T., &amp; Pownall, R. A. J. (2014). Attitudes towards socially and environmentally responsible investment. Journal of Behavioral and Experimental Finance, 1, 27–44. https://doi.org/10.1016/j.jbef.2014.01.005 </w:t>
      </w:r>
    </w:p>
    <w:p w14:paraId="2221E44E"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Boulatoff, C., &amp; Boyer, C. M. (2009). Green recovery: how are environmental stocks doing? The Journal of Wealth Management, 12(2), 9–20. https://doi.org/10.3905/jwm.2009.12.2.009 </w:t>
      </w:r>
    </w:p>
    <w:p w14:paraId="09404035"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Bove, L. L., Pervan, S. J., Beatty, S. E., &amp; Shiu, E. (2009). Service worker role in encouraging customer organizational citizenship behaviors. Journal of Business Research, 62(7), 698–705. https://doi.org/10.1016/j.jbusres.2008.07.003 </w:t>
      </w:r>
    </w:p>
    <w:p w14:paraId="00EBE9C1"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Brunner, M., &amp; SÜβ, H.-M. (2005). Analyzing the reliability of multidimensional measures: An example from Intelligence Research. Educational and Psychological Measurement, 65(2), 227–240. https://doi.org/10.1177/0013164404268669 </w:t>
      </w:r>
    </w:p>
    <w:p w14:paraId="757342F0"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Bucher-Koenen, T., &amp; Ziegelmeyer, M. H. (2011). Who lost the most? Financial Literacy, cognitive abilities, and the financial crisis. SSRN Electronic Journal. https://doi.org/10.2139/ssrn.1738368 </w:t>
      </w:r>
    </w:p>
    <w:p w14:paraId="61DBE95F"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Carson, R., Huxley, J., &amp; Shackleton, L. (1964). Silent spring. Royal National Institute for the Blind. </w:t>
      </w:r>
    </w:p>
    <w:p w14:paraId="4C94D460" w14:textId="4164BFBB"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Chen, J. (2022). Socially responsible investment (SRI). Investopedia. Retrieved June 18, 2022, from https://www.investopedia.com/terms/s/sri.asp </w:t>
      </w:r>
    </w:p>
    <w:p w14:paraId="04A4522D"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Cole, S. &amp; Fernando,N. (2008). Assessing the Importance of Financial Literacy. ADB Finance for the Poor. A Quarterly Newsletter of the Focal Point for Microfinance. Volume 9, Number 3, September 2008  </w:t>
      </w:r>
    </w:p>
    <w:p w14:paraId="2EF14005"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D’Souza, C., Taghian, M., Lamb, P., &amp; Peretiatko, R. (2007). Green decisions: Demographics and consumer understanding of environmental labels. International Journal of Consumer Studies, 31(4), 371–376. https://doi.org/10.1111/j.1470-6431.2006.00567.x </w:t>
      </w:r>
    </w:p>
    <w:p w14:paraId="7831D814"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East, R., 1993. Investment decisions and the theory of planned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J. Econ. Psychol. 14, 337–375.</w:t>
      </w:r>
    </w:p>
    <w:p w14:paraId="2B3B766C"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Fawad, R. (2020). How to solve issues in convergent and discriminant validity. Basic and Advance Data Analysis Using Smart PLS. Retrieved from https://researchwithfawad.com/index.php/lp-courses/basic-and-advance-data-analysis-using-smart-pls/how-to-solve-issues-in-convergent-and-discriminant-validity/</w:t>
      </w:r>
    </w:p>
    <w:p w14:paraId="233ACA27" w14:textId="742AA42D"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Fornara, F., Pattitoni, P., Mura, M. and Strazzera, E. (2016)</w:t>
      </w:r>
      <w:r w:rsidR="00B42DD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“predicting intention to improve household energy efficiency: the role of value-belief-norm theory, normative and informational influence, and specific attitude”, Journal of Environmental Psychology, Vol. 45 No. 1, pp. 1-10.</w:t>
      </w:r>
    </w:p>
    <w:p w14:paraId="216A077F" w14:textId="7E4474C3"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Fornell, C., Larcker, D. F., </w:t>
      </w:r>
      <w:r w:rsidR="00B42DD8">
        <w:rPr>
          <w:rFonts w:ascii="Times New Roman" w:eastAsia="Times New Roman" w:hAnsi="Times New Roman" w:cs="Times New Roman"/>
          <w:sz w:val="24"/>
          <w:szCs w:val="24"/>
        </w:rPr>
        <w:t>(</w:t>
      </w:r>
      <w:r>
        <w:rPr>
          <w:rFonts w:ascii="Times New Roman" w:eastAsia="Times New Roman" w:hAnsi="Times New Roman" w:cs="Times New Roman"/>
          <w:sz w:val="24"/>
          <w:szCs w:val="24"/>
        </w:rPr>
        <w:t>1981</w:t>
      </w:r>
      <w:r w:rsidR="00B42DD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Evaluating Structural Equation Models with Unobservable Variables and Measurement Error. J. Marketing Res. 18, 39–50. </w:t>
      </w:r>
    </w:p>
    <w:p w14:paraId="7BAE57FE"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Fujii, S. (2006), “Environmental concern, attitude toward frugality, and ease of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as determinants of pro-environmental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intentions”, Journal of Environmental Psychology, Vol. 26 No. 4, pp. 262-268.</w:t>
      </w:r>
    </w:p>
    <w:p w14:paraId="6A72A8B3"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Ghazali, E. M., Mutum, D. S., &amp; Ariswibowo, N. (2018). Impact of religious values and habit on an extended green purchase behaviour model. International Journal of Consumer Studies, 42(6), 639–654. https://doi.org/10.1111/ijcs.12472 </w:t>
      </w:r>
    </w:p>
    <w:p w14:paraId="4BBEDDED"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Godin, G., Conner, M. and Sheeran, P. (2005), “Bridging the intention–behaviour gap: the role of moral norm”, British Journal of Social Psychology, Vol. 44 No. 4, pp. 497-512</w:t>
      </w:r>
    </w:p>
    <w:p w14:paraId="7454B372"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Gopi, M. and Ramayah, T. (2007), “Applicability of theory of planned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in predicting intention to trade online: some evidence from a developing country”, International Journal of Emerging Markets, Vol. 2 No. 4, pp. 348-360.</w:t>
      </w:r>
    </w:p>
    <w:p w14:paraId="70752142"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Guay, T., Doh, J. P., &amp; Sinclair, G. (2004). Non-Governmental Organizations, Shareholder Activism, and Socially Responsible Investments: Ethical, Strategic, and Governance Implications. Journal of Business Ethics, 52(1), 125–139. http://www.jstor.org/stable/25075237</w:t>
      </w:r>
    </w:p>
    <w:p w14:paraId="5889E320"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Hair, J. F., Page, M., &amp; Brunsveld, N. (2019). Essentials of business research methods. Routledge.</w:t>
      </w:r>
    </w:p>
    <w:p w14:paraId="3CDB3019"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Hair, J. F., Ringle, C. M., &amp; Sarstedt, M. (2011). PLS-SEM: Indeed a silver bullet. Journal of Marketing theory and Practice, 19(2), 139-152.</w:t>
      </w:r>
    </w:p>
    <w:p w14:paraId="3FD0F105"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Hair, J. F., Ringle, C. M., &amp; Sarstedt, M. (2013). Partial least squares structural equation modeling: Rigorous applications, better results and higher acceptance. Long range planning, 46(1-2), 1-12.</w:t>
      </w:r>
    </w:p>
    <w:p w14:paraId="4DBB20A9"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Hair Jr, J. F., Babin, B. J., &amp; Krey, N. (2017). Covariance-based structural equation modeling in the Journal of Advertising: Review and recommendations. Journal of Advertising, 46(1), 163-177.</w:t>
      </w:r>
    </w:p>
    <w:p w14:paraId="1EE0D70D"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Harland, P., Staats, H. and Wilke, H.A. (1999), “Explaining proenvironmental intention and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by personal norms and the theory of planned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Journal of Applied Social Psychology, Vol. 29 No. 12, pp. 2505-2528.</w:t>
      </w:r>
    </w:p>
    <w:p w14:paraId="32A6D787"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Hebb, T. (2015). Canadian Sri Mutual Funds</w:t>
      </w:r>
      <w:r>
        <w:rPr>
          <w:rFonts w:ascii="Times New Roman" w:eastAsia="Times New Roman" w:hAnsi="Times New Roman" w:cs="Times New Roman"/>
          <w:sz w:val="24"/>
          <w:szCs w:val="24"/>
        </w:rPr>
        <w:tab/>
        <w:t xml:space="preserve">Risk / Return Characteristics. Carleton University. </w:t>
      </w:r>
    </w:p>
    <w:p w14:paraId="45A72CA9"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Henseler, J. (2017). Partial least squares path modeling. Advanced methods for modeling markets, 361-381.</w:t>
      </w:r>
    </w:p>
    <w:p w14:paraId="39692856"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Henseler, J., Ringle, C. M., &amp; Sarstedt, M. (2015). A new criterion for assessing discriminantvalidity in variance-based structural equation modeling. Journal of the Academy of MarketingScience, 43(1), 115–135</w:t>
      </w:r>
    </w:p>
    <w:p w14:paraId="123D3606"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Hofmann, E., Hoelzl, E., &amp; Kirchler, E. (2008). A comparison of models describing the impact of moral decision making on investment decisions. Journal of Business Ethics, 82, 171-187.</w:t>
      </w:r>
    </w:p>
    <w:p w14:paraId="514E424B"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Hogarth, J.M. and Hilgert, M.A. (2002), “Financial knowledge, experience and learning preferences: preliminary results from a new survey on financial literacy”, Consumer Interest Annual, Vol. 48 No. 1, pp. 1-7.</w:t>
      </w:r>
    </w:p>
    <w:p w14:paraId="42522757"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Hung, A., Parker, A. M., &amp; Yoong, J. (2009). Defining and measuring financial literacy.</w:t>
      </w:r>
    </w:p>
    <w:p w14:paraId="64BC0441"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Jackling, B., &amp; Calero, C. (2006). Influences on undergraduate students' intentions to become qualified accountants: Evidence from Australia. Accounting Education, 15(4), 419–438. https://doi.org/10.1080/09639280601011115 </w:t>
      </w:r>
    </w:p>
    <w:p w14:paraId="1BFC0EAD"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Jappelli, T., &amp; Padula, M. (2011). Investment in financial literacy and saving decisions. Centre for Economic Policy Research. </w:t>
      </w:r>
    </w:p>
    <w:p w14:paraId="2FCBCD41"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Jones, T.M. (1991), “Ethical decision making by individuals in organizations: an issue-contingent model”, The Academy of Management Review, Vol. 16 No. 2, pp. 366-395.</w:t>
      </w:r>
    </w:p>
    <w:p w14:paraId="388DF840"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Kashyap, R. and Iyer, E.S. (2009), “Not everybody wants to save the world”, Journal of Financial Services Marketing, Vol. 14 No. 2, pp. 118-134.</w:t>
      </w:r>
    </w:p>
    <w:p w14:paraId="39798D96"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Kunz, A. H., Messner, C., Wallmeier, M., 2017. Investors’ risk perceptions of structured financial products with worst-of payout characteristics. J. Behav. Exp. Finan. 15, 66–73 </w:t>
      </w:r>
    </w:p>
    <w:p w14:paraId="07398146"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Kurland, N.B. (1995), “Ethical intentions and the theories of reasoned action and planned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Journal of Applied Social Psychology, Vol. 25 No. 4, pp. 297-313.</w:t>
      </w:r>
    </w:p>
    <w:p w14:paraId="4420FC5F"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Kutner, M. H., Nachtsheim, C. J., Neter, J., &amp; Li, W. (2013). Applied Linear Statistical Models. McGraw-Hill Education (India) Private Limited. </w:t>
      </w:r>
    </w:p>
    <w:p w14:paraId="407EAD37"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Lewis, A. and Mackenzie, C. (2000), “Morals, money, ethical investing and economic psychology”, Human Relations, Vol. 53 No. 2, pp. 179-191.</w:t>
      </w:r>
    </w:p>
    <w:p w14:paraId="56C7F59D"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Lusardi, A., &amp; Mitchell, O. (2013). The economic importance of Financial Literacy: Theory and Evidence. https://doi.org/10.3386/w18952 </w:t>
      </w:r>
    </w:p>
    <w:p w14:paraId="502671AF"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Mandell, L. (2006), “Financial literacy: if it’s so important, why isn’t it improving?”, available at: https:// papers.ssrn.com/sol3/papers.cfm?abstract_id=923557</w:t>
      </w:r>
    </w:p>
    <w:p w14:paraId="6DE424C2"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Manstead, A.S. (2000), “The role of moral norms in the attitude behaviour relation”, In Terry, D. J. and Hogg, M. A. (Eds) Applied Social Research. Attitudes, Behavior, and Social Context: The Role of Norms and Group Membership, Lawrence Erlbaum Associates, Mahwah, NJ, pp. 11-30. </w:t>
      </w:r>
    </w:p>
    <w:p w14:paraId="64630CAD"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Mei, N. S., Wai, C. W., &amp; Ahamad, R. (2016). Environmental awareness and behaviour index for Malaysia. Procedia - Social and Behavioral Sciences, 222, 668–675. https://doi.org/10.1016/j.sbspro.2016.05.223 </w:t>
      </w:r>
    </w:p>
    <w:p w14:paraId="46EA3FC2"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Ming, B.H., Gan, G.G. and Ramasamy, S. (2015), “The role of concern for the environment and perceived consumer effectiveness on investors’ willingness to invest in environmentally-friendly firms”, Kajian Malaysia: Journal of Malaysian Studies, p. 33.</w:t>
      </w:r>
    </w:p>
    <w:p w14:paraId="239CD96F"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Netemeyer, R. G., Bearden, W. O., &amp; Sharma, S. (2003). Scaling procedures: Issues and applications. sage publications.</w:t>
      </w:r>
    </w:p>
    <w:p w14:paraId="534E36A3"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Nilsson, J. (2008), “Investment with a conscience: examining the impact of pro-social attitudes and perceived financial performance on socially responsible investment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Journal of Business Ethics, Vol. 83 No. 2, pp. 307-325</w:t>
      </w:r>
    </w:p>
    <w:p w14:paraId="7A92F7B5"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Owen, A.L. and Qian, Y. (2008), “Determinants of socially responsible investment decisions”, available at: http://citeseerx.ist.psu.edu/viewdoc/download?doi=10.1.1.571.5527&amp;rep=rep1&amp;type=pdf</w:t>
      </w:r>
    </w:p>
    <w:p w14:paraId="7335DB8E"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Pascual-Ezama, D., Scandroglio, B. and Gil-Gomez de Lian˜o, B. (2014), “Can we predict individual investors’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in stock markets? a psychological approach”, Universitas Psychologica, Vol. 13 No. 1, pp. 25-35.</w:t>
      </w:r>
    </w:p>
    <w:p w14:paraId="7434B9B7"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Randall, D.M. and Gibson, A.M. (1991), “Ethical decision making in the medical profession: an application of the theory of planned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Journal of Business Ethics, Vol. 10 No. 2, pp. 111-122.</w:t>
      </w:r>
    </w:p>
    <w:p w14:paraId="25C5874F"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Rasoolimanesh, S. M., Jaafar, M., &amp; Barghi, R. (2016). Effects of motivation, knowledge and perceived power on residents' perceptions: Application of weber's theory in World Heritage Site destinations. International Journal of Tourism Research, 19(1), 68–79. https://doi.org/10.1002/jtr.2085 </w:t>
      </w:r>
    </w:p>
    <w:p w14:paraId="25E4B5D8"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Raut, R. K., Kumar, R., &amp; Das, N. (2020). Individual investors’ intention towards Sri in India: An implementation of the theory of reasoned action. Social Responsibility Journal, 17(7), 877–896. https://doi.org/10.1108/srj-02-2018-0052 </w:t>
      </w:r>
    </w:p>
    <w:p w14:paraId="5220F8A2"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Rivis, A., Sheeran, P. and Armitage, C.J. (2009), “Expanding the affective and normative components of the theory of planned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a Meta-analysis of anticipated affect and moral norms”, Journal of Applied Social Psychology, Vol. 39 No. 12, pp. 2985-3019.</w:t>
      </w:r>
    </w:p>
    <w:p w14:paraId="55EF3E89"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Rosen, B.N., Sandler, D.M. and Shani, D. (1991), “Social issues and socially responsible investment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a preliminary empirical investigation”, Journal of Consumer Affairs, Vol. 25 No. 2, pp. 221-234.</w:t>
      </w:r>
    </w:p>
    <w:p w14:paraId="563EE5E2"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Sachse, K., Jungermann, H., Belting, J. M., 2012. Investment risk – The perspective of individual investors. J. Econ. Psychol. 33, 193–221.</w:t>
      </w:r>
    </w:p>
    <w:p w14:paraId="46060051"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Sang, Y.-N., &amp; Bekhet, H. A. (2017). Exploring factors influencing electric vehicle usage intention: An empirical study in Malaysia. International Journal of Business and Society, 16(1). https://doi.org/10.33736/ijbs.554.2015 </w:t>
      </w:r>
    </w:p>
    <w:p w14:paraId="6F470EDF"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Schroders Global Investor Study 2021. Schroders. (2021, July 7). Retrieved July 29, 2022, from https://www.schroders.com/en-us/us/individual/media-center/schroders-global-investor-study-2021/ </w:t>
      </w:r>
    </w:p>
    <w:p w14:paraId="14126CFD"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Schwartz, S.H. (1977), “Normative influences on altruism”, Advances in Experimental Social Psychology, Vol. 10 No. 1, pp. 221-279.</w:t>
      </w:r>
    </w:p>
    <w:p w14:paraId="21EBCFA6"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Shanmugham, R., Ramya, K. 2012. Impact of Social Factors on Individual Investors’ Trading Behaviour. Procedia Econ. Finan. 2, 237 – 246</w:t>
      </w:r>
    </w:p>
    <w:p w14:paraId="6E89CD72"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Sharif, Z. (2008), “Predicting intention to invest in unit trust”, available at: http://repo.uum.edu.my/7800/3/ 1.Zakiyah%20Sharif.pdf </w:t>
      </w:r>
    </w:p>
    <w:p w14:paraId="379B8CD2"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Sheeran, P. and Taylor, S. (1999), “Predicting intentions to use condoms: a meta-analysis and comparison of the theories of reasoned action and planned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Journal of Applied Social Psychology, Vol. 29 No. 8, pp. 1624-1675.</w:t>
      </w:r>
    </w:p>
    <w:p w14:paraId="6576183F"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Sivaramakrishnan, S., Srivastava, M. and Rastogi, A. (2017), “Attitudinal factors, financial literacy, and stock market participation”, International Journal of Bank Marketing, Vol. 35 No. 5, pp. 35.</w:t>
      </w:r>
    </w:p>
    <w:p w14:paraId="7E8D1F6B"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United States SIF. (n.d). Trends. Retrieved from https://www.ussif.org/trends</w:t>
      </w:r>
    </w:p>
    <w:p w14:paraId="06FB59B7"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Venkatesh, V., Thong, J. Y., &amp; Xu, X. (2012). Consumer acceptance and use of information technology: extending the unified theory of acceptance and use of technology. MIS quarterly, 157-178.</w:t>
      </w:r>
    </w:p>
    <w:p w14:paraId="73AD6F1C"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Vyvyan, V., Ng, C. and Brimble, M. (2007), “Socially responsible investing: the green attitudes and grey choices of Australian investors”, Corporate Governance: An International Review, Vol. 15 No. 2, pp. 370-381.</w:t>
      </w:r>
    </w:p>
    <w:p w14:paraId="5F8C76C3"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Warsame, M.H., Ireri, E.M., 2016. Does the theory of planned behaviour (TPB) matter in Sukuk investment decisions?. J. Beahav. Exp. Finan. 12, 93–100.</w:t>
      </w:r>
    </w:p>
    <w:p w14:paraId="2AB4FEC4"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Wee, C.S., Ariff, M.S.B.M., Zakuan, N., Tajudin, M.N.M., Ismail, K. and Ishak, N. (2014), “Consumers perception, purchase intention and actual purchase </w:t>
      </w:r>
      <w:r w:rsidR="00D13D1E">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of organic food products”, Review of Integrative Business and Economics Research, Vol. 3 No. 2, pp. 378-391.</w:t>
      </w:r>
    </w:p>
    <w:p w14:paraId="7C9E7C91"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Wen, C., Prybutok, V. R., &amp; Xu, C. (2011). An integrated model for customer online repurchase intention. Journal of Computer information systems, 52(1), 14-23.</w:t>
      </w:r>
    </w:p>
    <w:p w14:paraId="671DBEEF"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Williams, G., 2005. Are socially responsible investors different from conventional investors? A comparison across six countries. http://ssrn.com/abstract=905187 (accessed 13 April 2022) </w:t>
      </w:r>
    </w:p>
    <w:p w14:paraId="7B32C531"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Williams, G., 2007. Some determinants of the socially responsible investment decision: a cross-country study”. The J. Behav. Finan. 8(1), 43–57. </w:t>
      </w:r>
    </w:p>
    <w:p w14:paraId="65C3D7FE" w14:textId="77777777" w:rsidR="002A0259" w:rsidRDefault="00343186">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Zimmer, M.R., Stafford, T.F. and Stafford, M.R. (1994), “Green issues: dimensions of environmental concern”, Journal of Business Research, Vol. 30 No. 1, pp. 63-74.</w:t>
      </w:r>
    </w:p>
    <w:p w14:paraId="25421A65" w14:textId="77777777" w:rsidR="002A0259" w:rsidRDefault="002A0259">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p>
    <w:p w14:paraId="73FB567A" w14:textId="77777777" w:rsidR="002A0259" w:rsidRDefault="002A0259">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240" w:after="240" w:line="360" w:lineRule="auto"/>
        <w:jc w:val="both"/>
        <w:rPr>
          <w:rFonts w:ascii="Times New Roman" w:eastAsia="Times New Roman" w:hAnsi="Times New Roman" w:cs="Times New Roman"/>
          <w:sz w:val="24"/>
          <w:szCs w:val="24"/>
        </w:rPr>
      </w:pPr>
    </w:p>
    <w:sectPr w:rsidR="002A0259">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F6DAF" w14:textId="77777777" w:rsidR="008B2BCF" w:rsidRDefault="008B2BCF">
      <w:pPr>
        <w:spacing w:line="240" w:lineRule="auto"/>
      </w:pPr>
      <w:r>
        <w:separator/>
      </w:r>
    </w:p>
  </w:endnote>
  <w:endnote w:type="continuationSeparator" w:id="0">
    <w:p w14:paraId="498873A0" w14:textId="77777777" w:rsidR="008B2BCF" w:rsidRDefault="008B2B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F6F72" w14:textId="70F59051" w:rsidR="00343186" w:rsidRDefault="00343186">
    <w:pPr>
      <w:jc w:val="right"/>
    </w:pPr>
    <w:r>
      <w:fldChar w:fldCharType="begin"/>
    </w:r>
    <w:r>
      <w:instrText>PAGE</w:instrText>
    </w:r>
    <w:r>
      <w:fldChar w:fldCharType="separate"/>
    </w:r>
    <w:r w:rsidR="00394544">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8A8FA" w14:textId="77777777" w:rsidR="008B2BCF" w:rsidRDefault="008B2BCF">
      <w:pPr>
        <w:spacing w:line="240" w:lineRule="auto"/>
      </w:pPr>
      <w:r>
        <w:separator/>
      </w:r>
    </w:p>
  </w:footnote>
  <w:footnote w:type="continuationSeparator" w:id="0">
    <w:p w14:paraId="3E9BFF10" w14:textId="77777777" w:rsidR="008B2BCF" w:rsidRDefault="008B2B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8075" w14:textId="77777777" w:rsidR="00343186" w:rsidRDefault="0034318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259"/>
    <w:rsid w:val="00051E9F"/>
    <w:rsid w:val="0008355B"/>
    <w:rsid w:val="002A0259"/>
    <w:rsid w:val="002C5EAF"/>
    <w:rsid w:val="00343186"/>
    <w:rsid w:val="00394544"/>
    <w:rsid w:val="003D68C7"/>
    <w:rsid w:val="00463265"/>
    <w:rsid w:val="004A6112"/>
    <w:rsid w:val="00514843"/>
    <w:rsid w:val="005E01A4"/>
    <w:rsid w:val="008007AB"/>
    <w:rsid w:val="008B2BCF"/>
    <w:rsid w:val="00954A73"/>
    <w:rsid w:val="009B35A8"/>
    <w:rsid w:val="009C07BB"/>
    <w:rsid w:val="00A23590"/>
    <w:rsid w:val="00A55899"/>
    <w:rsid w:val="00A77859"/>
    <w:rsid w:val="00B42DD8"/>
    <w:rsid w:val="00C14471"/>
    <w:rsid w:val="00D13D1E"/>
    <w:rsid w:val="00D40403"/>
    <w:rsid w:val="00E12326"/>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EF359"/>
  <w15:docId w15:val="{4196E36E-698D-4CB7-B656-6A954A169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one" w:sz="0" w:space="0" w:color="D9D9E3"/>
        <w:left w:val="none" w:sz="0" w:space="0" w:color="D9D9E3"/>
        <w:bottom w:val="none" w:sz="0" w:space="0" w:color="D9D9E3"/>
        <w:right w:val="none" w:sz="0" w:space="0" w:color="D9D9E3"/>
        <w:between w:val="none" w:sz="0" w:space="0" w:color="D9D9E3"/>
      </w:pBdr>
      <w:shd w:val="clear" w:color="auto" w:fill="F7F7F8"/>
      <w:tabs>
        <w:tab w:val="left" w:pos="500"/>
      </w:tabs>
      <w:spacing w:before="300" w:after="300" w:line="240" w:lineRule="auto"/>
      <w:jc w:val="both"/>
    </w:pPr>
    <w:rPr>
      <w:rFonts w:ascii="Times New Roman" w:eastAsia="Times New Roman" w:hAnsi="Times New Roman" w:cs="Times New Roman"/>
      <w:sz w:val="24"/>
      <w:szCs w:val="24"/>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34</Pages>
  <Words>9505</Words>
  <Characters>54184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Parsa Tohidi</cp:lastModifiedBy>
  <cp:revision>15</cp:revision>
  <dcterms:created xsi:type="dcterms:W3CDTF">2023-03-28T12:53:00Z</dcterms:created>
  <dcterms:modified xsi:type="dcterms:W3CDTF">2023-03-29T07:27:00Z</dcterms:modified>
</cp:coreProperties>
</file>