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51260" w14:textId="264BAF28" w:rsidR="003E46C5" w:rsidRPr="002A25F1" w:rsidRDefault="1D0A6485" w:rsidP="002A25F1">
      <w:pPr>
        <w:ind w:firstLine="360"/>
        <w:jc w:val="center"/>
        <w:rPr>
          <w:rFonts w:ascii="Times New Roman" w:eastAsia="Times New Roman" w:hAnsi="Times New Roman" w:cs="Times New Roman"/>
          <w:b/>
          <w:bCs/>
          <w:color w:val="000000" w:themeColor="text1"/>
          <w:sz w:val="36"/>
          <w:szCs w:val="36"/>
        </w:rPr>
      </w:pPr>
      <w:r w:rsidRPr="007D3437">
        <w:rPr>
          <w:rFonts w:ascii="Times New Roman" w:eastAsia="Times New Roman" w:hAnsi="Times New Roman" w:cs="Times New Roman"/>
          <w:b/>
          <w:bCs/>
          <w:color w:val="000000" w:themeColor="text1"/>
          <w:sz w:val="36"/>
          <w:szCs w:val="36"/>
          <w:lang w:val="en"/>
        </w:rPr>
        <w:t>Student Engagement during Online Classes in Covid-19: A Sentiment Analysis</w:t>
      </w:r>
    </w:p>
    <w:p w14:paraId="69A6E368" w14:textId="77777777" w:rsidR="003E46C5" w:rsidRDefault="003E46C5" w:rsidP="003E46C5">
      <w:pPr>
        <w:rPr>
          <w:rFonts w:ascii="Times New Roman" w:eastAsia="Times New Roman" w:hAnsi="Times New Roman" w:cs="Times New Roman"/>
          <w:color w:val="000000" w:themeColor="text1"/>
          <w:sz w:val="24"/>
          <w:szCs w:val="24"/>
        </w:rPr>
      </w:pPr>
    </w:p>
    <w:p w14:paraId="1C19886F" w14:textId="2D6D051C" w:rsidR="00132F50" w:rsidRPr="00736893" w:rsidRDefault="1D0A6485" w:rsidP="003E46C5">
      <w:pPr>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b/>
          <w:bCs/>
          <w:color w:val="000000" w:themeColor="text1"/>
          <w:sz w:val="24"/>
          <w:szCs w:val="24"/>
          <w:lang w:val="en"/>
        </w:rPr>
        <w:t>Abstract</w:t>
      </w:r>
    </w:p>
    <w:p w14:paraId="2843C1F0" w14:textId="5E6D8635" w:rsidR="00C37C3D" w:rsidRPr="00C37C3D" w:rsidRDefault="00C37C3D" w:rsidP="003E46C5">
      <w:pPr>
        <w:spacing w:after="0" w:line="240" w:lineRule="auto"/>
        <w:jc w:val="both"/>
        <w:rPr>
          <w:rFonts w:ascii="Times New Roman" w:eastAsia="Times New Roman" w:hAnsi="Times New Roman" w:cs="Times New Roman"/>
          <w:color w:val="0E101A"/>
          <w:sz w:val="24"/>
          <w:szCs w:val="24"/>
          <w:lang w:val="en-BD" w:eastAsia="en-GB" w:bidi="bn-BD"/>
        </w:rPr>
      </w:pPr>
      <w:r w:rsidRPr="00C37C3D">
        <w:rPr>
          <w:rFonts w:ascii="Times New Roman" w:eastAsia="Times New Roman" w:hAnsi="Times New Roman" w:cs="Times New Roman"/>
          <w:b/>
          <w:bCs/>
          <w:color w:val="0E101A"/>
          <w:sz w:val="24"/>
          <w:szCs w:val="24"/>
          <w:lang w:val="en-BD" w:eastAsia="en-GB" w:bidi="bn-BD"/>
        </w:rPr>
        <w:t>Purpose:</w:t>
      </w:r>
      <w:r w:rsidRPr="00C37C3D">
        <w:rPr>
          <w:rFonts w:ascii="Times New Roman" w:eastAsia="Times New Roman" w:hAnsi="Times New Roman" w:cs="Times New Roman"/>
          <w:color w:val="0E101A"/>
          <w:sz w:val="24"/>
          <w:szCs w:val="24"/>
          <w:lang w:val="en-BD" w:eastAsia="en-GB" w:bidi="bn-BD"/>
        </w:rPr>
        <w:t xml:space="preserve"> Online </w:t>
      </w:r>
      <w:r w:rsidR="008A390F">
        <w:rPr>
          <w:rFonts w:ascii="Times New Roman" w:eastAsia="Times New Roman" w:hAnsi="Times New Roman" w:cs="Times New Roman"/>
          <w:color w:val="0E101A"/>
          <w:sz w:val="24"/>
          <w:szCs w:val="24"/>
          <w:lang w:eastAsia="en-GB" w:bidi="bn-BD"/>
        </w:rPr>
        <w:t>c</w:t>
      </w:r>
      <w:r w:rsidRPr="00C37C3D">
        <w:rPr>
          <w:rFonts w:ascii="Times New Roman" w:eastAsia="Times New Roman" w:hAnsi="Times New Roman" w:cs="Times New Roman"/>
          <w:color w:val="0E101A"/>
          <w:sz w:val="24"/>
          <w:szCs w:val="24"/>
          <w:lang w:val="en-BD" w:eastAsia="en-GB" w:bidi="bn-BD"/>
        </w:rPr>
        <w:t xml:space="preserve">lasses are valuable learning materials that can assist flexible, remote, and distant learning, especially during the Covid-19 pandemic. This study determines how students engage with online classes and how much they contribute to their learning experiences. The objective is to focus on the </w:t>
      </w:r>
      <w:r w:rsidR="00143D69">
        <w:rPr>
          <w:rFonts w:ascii="Times New Roman" w:eastAsia="Times New Roman" w:hAnsi="Times New Roman" w:cs="Times New Roman"/>
          <w:color w:val="0E101A"/>
          <w:sz w:val="24"/>
          <w:szCs w:val="24"/>
          <w:lang w:val="en-BD" w:eastAsia="en-GB" w:bidi="bn-BD"/>
        </w:rPr>
        <w:t>student's</w:t>
      </w:r>
      <w:r w:rsidRPr="00C37C3D">
        <w:rPr>
          <w:rFonts w:ascii="Times New Roman" w:eastAsia="Times New Roman" w:hAnsi="Times New Roman" w:cs="Times New Roman"/>
          <w:color w:val="0E101A"/>
          <w:sz w:val="24"/>
          <w:szCs w:val="24"/>
          <w:lang w:val="en-BD" w:eastAsia="en-GB" w:bidi="bn-BD"/>
        </w:rPr>
        <w:t xml:space="preserve"> engagement in an online class. </w:t>
      </w:r>
      <w:r w:rsidR="008A390F" w:rsidRPr="00C37C3D">
        <w:rPr>
          <w:rFonts w:ascii="Times New Roman" w:eastAsia="Times New Roman" w:hAnsi="Times New Roman" w:cs="Times New Roman"/>
          <w:color w:val="0E101A"/>
          <w:sz w:val="24"/>
          <w:szCs w:val="24"/>
          <w:lang w:val="en-BD" w:eastAsia="en-GB" w:bidi="bn-BD"/>
        </w:rPr>
        <w:t>This study identifies the core concern of the education system amid this global pandemic.</w:t>
      </w:r>
    </w:p>
    <w:p w14:paraId="2270B904" w14:textId="77777777" w:rsidR="008A390F" w:rsidRPr="00C37C3D" w:rsidRDefault="00C37C3D" w:rsidP="008A390F">
      <w:pPr>
        <w:spacing w:after="0" w:line="240" w:lineRule="auto"/>
        <w:jc w:val="both"/>
        <w:rPr>
          <w:rFonts w:ascii="Times New Roman" w:eastAsia="Times New Roman" w:hAnsi="Times New Roman" w:cs="Times New Roman"/>
          <w:color w:val="0E101A"/>
          <w:sz w:val="24"/>
          <w:szCs w:val="24"/>
          <w:lang w:val="en-BD" w:eastAsia="en-GB" w:bidi="bn-BD"/>
        </w:rPr>
      </w:pPr>
      <w:r w:rsidRPr="00C37C3D">
        <w:rPr>
          <w:rFonts w:ascii="Times New Roman" w:eastAsia="Times New Roman" w:hAnsi="Times New Roman" w:cs="Times New Roman"/>
          <w:b/>
          <w:bCs/>
          <w:color w:val="0E101A"/>
          <w:sz w:val="24"/>
          <w:szCs w:val="24"/>
          <w:lang w:val="en-BD" w:eastAsia="en-GB" w:bidi="bn-BD"/>
        </w:rPr>
        <w:t>Methodology:</w:t>
      </w:r>
      <w:r w:rsidRPr="00C37C3D">
        <w:rPr>
          <w:rFonts w:ascii="Times New Roman" w:eastAsia="Times New Roman" w:hAnsi="Times New Roman" w:cs="Times New Roman"/>
          <w:color w:val="0E101A"/>
          <w:sz w:val="24"/>
          <w:szCs w:val="24"/>
          <w:lang w:val="en-BD" w:eastAsia="en-GB" w:bidi="bn-BD"/>
        </w:rPr>
        <w:t xml:space="preserve"> Using the Azure Machine learning for sentiment analysis from the qualitative responses, this study reveals the current state of </w:t>
      </w:r>
      <w:r w:rsidR="00143D69">
        <w:rPr>
          <w:rFonts w:ascii="Times New Roman" w:eastAsia="Times New Roman" w:hAnsi="Times New Roman" w:cs="Times New Roman"/>
          <w:color w:val="0E101A"/>
          <w:sz w:val="24"/>
          <w:szCs w:val="24"/>
          <w:lang w:val="en-BD" w:eastAsia="en-GB" w:bidi="bn-BD"/>
        </w:rPr>
        <w:t>students'</w:t>
      </w:r>
      <w:r w:rsidRPr="00C37C3D">
        <w:rPr>
          <w:rFonts w:ascii="Times New Roman" w:eastAsia="Times New Roman" w:hAnsi="Times New Roman" w:cs="Times New Roman"/>
          <w:color w:val="0E101A"/>
          <w:sz w:val="24"/>
          <w:szCs w:val="24"/>
          <w:lang w:val="en-BD" w:eastAsia="en-GB" w:bidi="bn-BD"/>
        </w:rPr>
        <w:t xml:space="preserve"> engagement in online classes during the Covid-19 pandemic. </w:t>
      </w:r>
      <w:r w:rsidR="008A390F" w:rsidRPr="00C37C3D">
        <w:rPr>
          <w:rFonts w:ascii="Times New Roman" w:eastAsia="Times New Roman" w:hAnsi="Times New Roman" w:cs="Times New Roman"/>
          <w:color w:val="0E101A"/>
          <w:sz w:val="24"/>
          <w:szCs w:val="24"/>
          <w:lang w:val="en-BD" w:eastAsia="en-GB" w:bidi="bn-BD"/>
        </w:rPr>
        <w:t xml:space="preserve">This approach provides a better stand towards the </w:t>
      </w:r>
      <w:r w:rsidR="008A390F">
        <w:rPr>
          <w:rFonts w:ascii="Times New Roman" w:eastAsia="Times New Roman" w:hAnsi="Times New Roman" w:cs="Times New Roman"/>
          <w:color w:val="0E101A"/>
          <w:sz w:val="24"/>
          <w:szCs w:val="24"/>
          <w:lang w:val="en-BD" w:eastAsia="en-GB" w:bidi="bn-BD"/>
        </w:rPr>
        <w:t>student's</w:t>
      </w:r>
      <w:r w:rsidR="008A390F" w:rsidRPr="00C37C3D">
        <w:rPr>
          <w:rFonts w:ascii="Times New Roman" w:eastAsia="Times New Roman" w:hAnsi="Times New Roman" w:cs="Times New Roman"/>
          <w:color w:val="0E101A"/>
          <w:sz w:val="24"/>
          <w:szCs w:val="24"/>
          <w:lang w:val="en-BD" w:eastAsia="en-GB" w:bidi="bn-BD"/>
        </w:rPr>
        <w:t xml:space="preserve"> quantitative data and depicts a better understanding of their sentiment. </w:t>
      </w:r>
    </w:p>
    <w:p w14:paraId="021D2501" w14:textId="425371B2" w:rsidR="00C37C3D" w:rsidRPr="003E46C5" w:rsidRDefault="00C37C3D" w:rsidP="003E46C5">
      <w:pPr>
        <w:spacing w:after="0" w:line="240" w:lineRule="auto"/>
        <w:jc w:val="both"/>
        <w:rPr>
          <w:rFonts w:ascii="Times New Roman" w:eastAsia="Times New Roman" w:hAnsi="Times New Roman" w:cs="Times New Roman"/>
          <w:color w:val="0E101A"/>
          <w:sz w:val="24"/>
          <w:szCs w:val="24"/>
          <w:lang w:eastAsia="en-GB" w:bidi="bn-BD"/>
        </w:rPr>
      </w:pPr>
      <w:r w:rsidRPr="00C37C3D">
        <w:rPr>
          <w:rFonts w:ascii="Times New Roman" w:eastAsia="Times New Roman" w:hAnsi="Times New Roman" w:cs="Times New Roman"/>
          <w:b/>
          <w:bCs/>
          <w:color w:val="0E101A"/>
          <w:sz w:val="24"/>
          <w:szCs w:val="24"/>
          <w:lang w:val="en-BD" w:eastAsia="en-GB" w:bidi="bn-BD"/>
        </w:rPr>
        <w:t>Findings:</w:t>
      </w:r>
      <w:r w:rsidRPr="00C37C3D">
        <w:rPr>
          <w:rFonts w:ascii="Times New Roman" w:eastAsia="Times New Roman" w:hAnsi="Times New Roman" w:cs="Times New Roman"/>
          <w:color w:val="0E101A"/>
          <w:sz w:val="24"/>
          <w:szCs w:val="24"/>
          <w:lang w:val="en-BD" w:eastAsia="en-GB" w:bidi="bn-BD"/>
        </w:rPr>
        <w:t> The significant findings of this study are: </w:t>
      </w:r>
      <w:r w:rsidR="00736893">
        <w:rPr>
          <w:rFonts w:ascii="Times New Roman" w:eastAsia="Times New Roman" w:hAnsi="Times New Roman" w:cs="Times New Roman"/>
          <w:color w:val="0E101A"/>
          <w:sz w:val="24"/>
          <w:szCs w:val="24"/>
          <w:lang w:eastAsia="en-GB" w:bidi="bn-BD"/>
        </w:rPr>
        <w:t xml:space="preserve">(a) </w:t>
      </w:r>
      <w:r w:rsidR="00143D69">
        <w:rPr>
          <w:rFonts w:ascii="Times New Roman" w:eastAsia="Times New Roman" w:hAnsi="Times New Roman" w:cs="Times New Roman"/>
          <w:color w:val="0E101A"/>
          <w:sz w:val="24"/>
          <w:szCs w:val="24"/>
          <w:lang w:val="en-BD" w:eastAsia="en-GB" w:bidi="bn-BD"/>
        </w:rPr>
        <w:t>Students'</w:t>
      </w:r>
      <w:r w:rsidRPr="00C37C3D">
        <w:rPr>
          <w:rFonts w:ascii="Times New Roman" w:eastAsia="Times New Roman" w:hAnsi="Times New Roman" w:cs="Times New Roman"/>
          <w:color w:val="0E101A"/>
          <w:sz w:val="24"/>
          <w:szCs w:val="24"/>
          <w:lang w:val="en-BD" w:eastAsia="en-GB" w:bidi="bn-BD"/>
        </w:rPr>
        <w:t xml:space="preserve"> academic effectiveness is not improving.</w:t>
      </w:r>
      <w:r w:rsidR="00736893">
        <w:rPr>
          <w:rFonts w:ascii="Times New Roman" w:eastAsia="Times New Roman" w:hAnsi="Times New Roman" w:cs="Times New Roman"/>
          <w:color w:val="0E101A"/>
          <w:sz w:val="24"/>
          <w:szCs w:val="24"/>
          <w:lang w:eastAsia="en-GB" w:bidi="bn-BD"/>
        </w:rPr>
        <w:t xml:space="preserve"> (b) </w:t>
      </w:r>
      <w:r w:rsidRPr="00C37C3D">
        <w:rPr>
          <w:rFonts w:ascii="Times New Roman" w:eastAsia="Times New Roman" w:hAnsi="Times New Roman" w:cs="Times New Roman"/>
          <w:color w:val="0E101A"/>
          <w:sz w:val="24"/>
          <w:szCs w:val="24"/>
          <w:lang w:val="en-BD" w:eastAsia="en-GB" w:bidi="bn-BD"/>
        </w:rPr>
        <w:t xml:space="preserve">There is a need to restructure the academics according to online circumstances to maintain the </w:t>
      </w:r>
      <w:r w:rsidR="00143D69">
        <w:rPr>
          <w:rFonts w:ascii="Times New Roman" w:eastAsia="Times New Roman" w:hAnsi="Times New Roman" w:cs="Times New Roman"/>
          <w:color w:val="0E101A"/>
          <w:sz w:val="24"/>
          <w:szCs w:val="24"/>
          <w:lang w:val="en-BD" w:eastAsia="en-GB" w:bidi="bn-BD"/>
        </w:rPr>
        <w:t>student's</w:t>
      </w:r>
      <w:r w:rsidRPr="00C37C3D">
        <w:rPr>
          <w:rFonts w:ascii="Times New Roman" w:eastAsia="Times New Roman" w:hAnsi="Times New Roman" w:cs="Times New Roman"/>
          <w:color w:val="0E101A"/>
          <w:sz w:val="24"/>
          <w:szCs w:val="24"/>
          <w:lang w:val="en-BD" w:eastAsia="en-GB" w:bidi="bn-BD"/>
        </w:rPr>
        <w:t xml:space="preserve"> engagement. </w:t>
      </w:r>
      <w:r w:rsidR="00736893">
        <w:rPr>
          <w:rFonts w:ascii="Times New Roman" w:eastAsia="Times New Roman" w:hAnsi="Times New Roman" w:cs="Times New Roman"/>
          <w:color w:val="0E101A"/>
          <w:sz w:val="24"/>
          <w:szCs w:val="24"/>
          <w:lang w:eastAsia="en-GB" w:bidi="bn-BD"/>
        </w:rPr>
        <w:t xml:space="preserve">(c) </w:t>
      </w:r>
      <w:r w:rsidRPr="00C37C3D">
        <w:rPr>
          <w:rFonts w:ascii="Times New Roman" w:eastAsia="Times New Roman" w:hAnsi="Times New Roman" w:cs="Times New Roman"/>
          <w:color w:val="0E101A"/>
          <w:sz w:val="24"/>
          <w:szCs w:val="24"/>
          <w:lang w:val="en-BD" w:eastAsia="en-GB" w:bidi="bn-BD"/>
        </w:rPr>
        <w:t xml:space="preserve">Co-curricular activities </w:t>
      </w:r>
      <w:r w:rsidR="00736893">
        <w:rPr>
          <w:rFonts w:ascii="Times New Roman" w:eastAsia="Times New Roman" w:hAnsi="Times New Roman" w:cs="Times New Roman"/>
          <w:color w:val="0E101A"/>
          <w:sz w:val="24"/>
          <w:szCs w:val="24"/>
          <w:lang w:eastAsia="en-GB" w:bidi="bn-BD"/>
        </w:rPr>
        <w:t>have been ignored</w:t>
      </w:r>
      <w:r w:rsidRPr="00C37C3D">
        <w:rPr>
          <w:rFonts w:ascii="Times New Roman" w:eastAsia="Times New Roman" w:hAnsi="Times New Roman" w:cs="Times New Roman"/>
          <w:color w:val="0E101A"/>
          <w:sz w:val="24"/>
          <w:szCs w:val="24"/>
          <w:lang w:val="en-BD" w:eastAsia="en-GB" w:bidi="bn-BD"/>
        </w:rPr>
        <w:t>.</w:t>
      </w:r>
    </w:p>
    <w:p w14:paraId="19B45C42" w14:textId="52BB1442" w:rsidR="00C37C3D" w:rsidRPr="00C37C3D" w:rsidRDefault="1349DECD" w:rsidP="003E46C5">
      <w:pPr>
        <w:spacing w:after="0" w:line="240" w:lineRule="auto"/>
        <w:jc w:val="both"/>
        <w:rPr>
          <w:rFonts w:ascii="Times New Roman" w:eastAsia="Times New Roman" w:hAnsi="Times New Roman" w:cs="Times New Roman"/>
          <w:color w:val="0E101A"/>
          <w:sz w:val="24"/>
          <w:szCs w:val="24"/>
          <w:lang w:val="en-BD" w:eastAsia="en-GB" w:bidi="bn-BD"/>
        </w:rPr>
      </w:pPr>
      <w:r w:rsidRPr="1349DECD">
        <w:rPr>
          <w:rFonts w:ascii="Times New Roman" w:eastAsia="Times New Roman" w:hAnsi="Times New Roman" w:cs="Times New Roman"/>
          <w:b/>
          <w:bCs/>
          <w:color w:val="0E101A"/>
          <w:sz w:val="24"/>
          <w:szCs w:val="24"/>
          <w:lang w:val="en-BD" w:eastAsia="en-GB" w:bidi="bn-BD"/>
        </w:rPr>
        <w:t>Contribution:</w:t>
      </w:r>
      <w:r w:rsidRPr="1349DECD">
        <w:rPr>
          <w:rFonts w:ascii="Times New Roman" w:eastAsia="Times New Roman" w:hAnsi="Times New Roman" w:cs="Times New Roman"/>
          <w:color w:val="0E101A"/>
          <w:sz w:val="24"/>
          <w:szCs w:val="24"/>
          <w:lang w:val="en-BD" w:eastAsia="en-GB" w:bidi="bn-BD"/>
        </w:rPr>
        <w:t xml:space="preserve"> To the best of knowledge, this is the first study on student engagement during online classes after the Covid-19 pandemic. Compared to the available methodologies, this study uses sentiment analysis based on </w:t>
      </w:r>
      <w:r w:rsidR="00143D69">
        <w:rPr>
          <w:rFonts w:ascii="Times New Roman" w:eastAsia="Times New Roman" w:hAnsi="Times New Roman" w:cs="Times New Roman"/>
          <w:color w:val="0E101A"/>
          <w:sz w:val="24"/>
          <w:szCs w:val="24"/>
          <w:lang w:val="en-BD" w:eastAsia="en-GB" w:bidi="bn-BD"/>
        </w:rPr>
        <w:t>respondents'</w:t>
      </w:r>
      <w:r w:rsidRPr="1349DECD">
        <w:rPr>
          <w:rFonts w:ascii="Times New Roman" w:eastAsia="Times New Roman" w:hAnsi="Times New Roman" w:cs="Times New Roman"/>
          <w:color w:val="0E101A"/>
          <w:sz w:val="24"/>
          <w:szCs w:val="24"/>
          <w:lang w:val="en-BD" w:eastAsia="en-GB" w:bidi="bn-BD"/>
        </w:rPr>
        <w:t xml:space="preserve"> qualitative data, making this study unique in the relevant literature. </w:t>
      </w:r>
    </w:p>
    <w:p w14:paraId="37440554" w14:textId="77777777" w:rsidR="00C37C3D" w:rsidRPr="00C37C3D" w:rsidRDefault="00C37C3D" w:rsidP="003E46C5">
      <w:pPr>
        <w:spacing w:after="0" w:line="240" w:lineRule="auto"/>
        <w:jc w:val="both"/>
        <w:rPr>
          <w:rFonts w:ascii="Times New Roman" w:eastAsia="Times New Roman" w:hAnsi="Times New Roman" w:cs="Times New Roman"/>
          <w:color w:val="0E101A"/>
          <w:sz w:val="24"/>
          <w:szCs w:val="24"/>
          <w:lang w:val="en-BD" w:eastAsia="en-GB" w:bidi="bn-BD"/>
        </w:rPr>
      </w:pPr>
    </w:p>
    <w:p w14:paraId="478D2794" w14:textId="40679C7A" w:rsidR="00C37C3D" w:rsidRDefault="00C37C3D" w:rsidP="003E46C5">
      <w:pPr>
        <w:spacing w:after="0" w:line="240" w:lineRule="auto"/>
        <w:jc w:val="both"/>
        <w:rPr>
          <w:rFonts w:ascii="Times New Roman" w:eastAsia="Times New Roman" w:hAnsi="Times New Roman" w:cs="Times New Roman"/>
          <w:color w:val="0E101A"/>
          <w:sz w:val="24"/>
          <w:szCs w:val="24"/>
          <w:lang w:val="en-BD" w:eastAsia="en-GB" w:bidi="bn-BD"/>
        </w:rPr>
      </w:pPr>
      <w:r w:rsidRPr="00C37C3D">
        <w:rPr>
          <w:rFonts w:ascii="Times New Roman" w:eastAsia="Times New Roman" w:hAnsi="Times New Roman" w:cs="Times New Roman"/>
          <w:b/>
          <w:bCs/>
          <w:color w:val="0E101A"/>
          <w:sz w:val="24"/>
          <w:szCs w:val="24"/>
          <w:lang w:val="en-BD" w:eastAsia="en-GB" w:bidi="bn-BD"/>
        </w:rPr>
        <w:t>Keywords</w:t>
      </w:r>
      <w:r w:rsidRPr="00C37C3D">
        <w:rPr>
          <w:rFonts w:ascii="Times New Roman" w:eastAsia="Times New Roman" w:hAnsi="Times New Roman" w:cs="Times New Roman"/>
          <w:color w:val="0E101A"/>
          <w:sz w:val="24"/>
          <w:szCs w:val="24"/>
          <w:lang w:val="en-BD" w:eastAsia="en-GB" w:bidi="bn-BD"/>
        </w:rPr>
        <w:t>: Online education; online classes; learning experience; sentiment analysis.</w:t>
      </w:r>
    </w:p>
    <w:p w14:paraId="5455C059" w14:textId="77777777" w:rsidR="007D3437" w:rsidRPr="00C37C3D" w:rsidRDefault="007D3437" w:rsidP="003E46C5">
      <w:pPr>
        <w:spacing w:after="0" w:line="240" w:lineRule="auto"/>
        <w:jc w:val="both"/>
        <w:rPr>
          <w:rFonts w:ascii="Times New Roman" w:eastAsia="Times New Roman" w:hAnsi="Times New Roman" w:cs="Times New Roman"/>
          <w:color w:val="0E101A"/>
          <w:sz w:val="24"/>
          <w:szCs w:val="24"/>
          <w:lang w:val="en-BD" w:eastAsia="en-GB" w:bidi="bn-BD"/>
        </w:rPr>
      </w:pPr>
    </w:p>
    <w:p w14:paraId="0BE4C01F" w14:textId="77777777" w:rsidR="004F03A2" w:rsidRDefault="004F03A2">
      <w:pPr>
        <w:rPr>
          <w:rFonts w:ascii="Times New Roman" w:eastAsia="Times New Roman" w:hAnsi="Times New Roman" w:cs="Times New Roman"/>
          <w:b/>
          <w:bCs/>
          <w:color w:val="000000" w:themeColor="text1"/>
          <w:sz w:val="24"/>
          <w:szCs w:val="24"/>
          <w:lang w:val="en"/>
        </w:rPr>
      </w:pPr>
      <w:r w:rsidRPr="1D0A6485">
        <w:rPr>
          <w:rFonts w:ascii="Times New Roman" w:eastAsia="Times New Roman" w:hAnsi="Times New Roman" w:cs="Times New Roman"/>
          <w:b/>
          <w:bCs/>
          <w:color w:val="000000" w:themeColor="text1"/>
          <w:sz w:val="24"/>
          <w:szCs w:val="24"/>
          <w:lang w:val="en"/>
        </w:rPr>
        <w:br w:type="page"/>
      </w:r>
    </w:p>
    <w:p w14:paraId="41D206CC" w14:textId="08E9C986" w:rsidR="00132F50" w:rsidRDefault="1D0A6485" w:rsidP="00762861">
      <w:pPr>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b/>
          <w:bCs/>
          <w:color w:val="000000" w:themeColor="text1"/>
          <w:sz w:val="24"/>
          <w:szCs w:val="24"/>
          <w:lang w:val="en"/>
        </w:rPr>
        <w:lastRenderedPageBreak/>
        <w:t>1. Introduction</w:t>
      </w:r>
    </w:p>
    <w:p w14:paraId="070F8087" w14:textId="58262105" w:rsidR="00132F50" w:rsidRDefault="1B7577B1" w:rsidP="00762861">
      <w:pPr>
        <w:jc w:val="both"/>
        <w:rPr>
          <w:rFonts w:ascii="Times New Roman" w:eastAsia="Times New Roman" w:hAnsi="Times New Roman" w:cs="Times New Roman"/>
          <w:color w:val="000000" w:themeColor="text1"/>
          <w:sz w:val="24"/>
          <w:szCs w:val="24"/>
          <w:lang w:val="en"/>
        </w:rPr>
      </w:pPr>
      <w:r w:rsidRPr="1B7577B1">
        <w:rPr>
          <w:rFonts w:ascii="Times New Roman" w:eastAsia="Times New Roman" w:hAnsi="Times New Roman" w:cs="Times New Roman"/>
          <w:color w:val="000000" w:themeColor="text1"/>
          <w:sz w:val="24"/>
          <w:szCs w:val="24"/>
          <w:lang w:val="en"/>
        </w:rPr>
        <w:t xml:space="preserve">Understanding the nature of </w:t>
      </w:r>
      <w:r w:rsidR="008A390F">
        <w:rPr>
          <w:rFonts w:ascii="Times New Roman" w:eastAsia="Times New Roman" w:hAnsi="Times New Roman" w:cs="Times New Roman"/>
          <w:color w:val="000000" w:themeColor="text1"/>
          <w:sz w:val="24"/>
          <w:szCs w:val="24"/>
          <w:lang w:val="en"/>
        </w:rPr>
        <w:t>students’</w:t>
      </w:r>
      <w:r w:rsidRPr="1B7577B1">
        <w:rPr>
          <w:rFonts w:ascii="Times New Roman" w:eastAsia="Times New Roman" w:hAnsi="Times New Roman" w:cs="Times New Roman"/>
          <w:color w:val="000000" w:themeColor="text1"/>
          <w:sz w:val="24"/>
          <w:szCs w:val="24"/>
          <w:lang w:val="en"/>
        </w:rPr>
        <w:t xml:space="preserve"> engagement </w:t>
      </w:r>
      <w:r w:rsidR="008A390F">
        <w:rPr>
          <w:rFonts w:ascii="Times New Roman" w:eastAsia="Times New Roman" w:hAnsi="Times New Roman" w:cs="Times New Roman"/>
          <w:color w:val="000000" w:themeColor="text1"/>
          <w:sz w:val="24"/>
          <w:szCs w:val="24"/>
          <w:lang w:val="en"/>
        </w:rPr>
        <w:t xml:space="preserve">in an online lecture </w:t>
      </w:r>
      <w:r w:rsidRPr="1B7577B1">
        <w:rPr>
          <w:rFonts w:ascii="Times New Roman" w:eastAsia="Times New Roman" w:hAnsi="Times New Roman" w:cs="Times New Roman"/>
          <w:color w:val="000000" w:themeColor="text1"/>
          <w:sz w:val="24"/>
          <w:szCs w:val="24"/>
          <w:lang w:val="en"/>
        </w:rPr>
        <w:t xml:space="preserve">is critical since it impacts student </w:t>
      </w:r>
      <w:r w:rsidR="008A390F">
        <w:rPr>
          <w:rFonts w:ascii="Times New Roman" w:eastAsia="Times New Roman" w:hAnsi="Times New Roman" w:cs="Times New Roman"/>
          <w:color w:val="000000" w:themeColor="text1"/>
          <w:sz w:val="24"/>
          <w:szCs w:val="24"/>
          <w:lang w:val="en"/>
        </w:rPr>
        <w:t xml:space="preserve">future </w:t>
      </w:r>
      <w:r w:rsidRPr="1B7577B1">
        <w:rPr>
          <w:rFonts w:ascii="Times New Roman" w:eastAsia="Times New Roman" w:hAnsi="Times New Roman" w:cs="Times New Roman"/>
          <w:color w:val="000000" w:themeColor="text1"/>
          <w:sz w:val="24"/>
          <w:szCs w:val="24"/>
          <w:lang w:val="en"/>
        </w:rPr>
        <w:t>achievement</w:t>
      </w:r>
      <w:r w:rsidR="008A390F">
        <w:rPr>
          <w:rFonts w:ascii="Times New Roman" w:eastAsia="Times New Roman" w:hAnsi="Times New Roman" w:cs="Times New Roman"/>
          <w:color w:val="000000" w:themeColor="text1"/>
          <w:sz w:val="24"/>
          <w:szCs w:val="24"/>
          <w:lang w:val="en"/>
        </w:rPr>
        <w:t>s</w:t>
      </w:r>
      <w:r w:rsidRPr="1B7577B1">
        <w:rPr>
          <w:rFonts w:ascii="Times New Roman" w:eastAsia="Times New Roman" w:hAnsi="Times New Roman" w:cs="Times New Roman"/>
          <w:color w:val="000000" w:themeColor="text1"/>
          <w:sz w:val="24"/>
          <w:szCs w:val="24"/>
          <w:lang w:val="en"/>
        </w:rPr>
        <w:t xml:space="preserve"> </w:t>
      </w:r>
      <w:r w:rsidR="1D0A6485" w:rsidRPr="1B7577B1">
        <w:rPr>
          <w:rFonts w:ascii="Times New Roman" w:eastAsia="Times New Roman" w:hAnsi="Times New Roman" w:cs="Times New Roman"/>
          <w:color w:val="000000" w:themeColor="text1"/>
          <w:sz w:val="24"/>
          <w:szCs w:val="24"/>
          <w:lang w:val="en"/>
        </w:rPr>
        <w:fldChar w:fldCharType="begin"/>
      </w:r>
      <w:r w:rsidR="1D0A6485" w:rsidRPr="1B7577B1">
        <w:rPr>
          <w:rFonts w:ascii="Times New Roman" w:eastAsia="Times New Roman" w:hAnsi="Times New Roman" w:cs="Times New Roman"/>
          <w:color w:val="000000" w:themeColor="text1"/>
          <w:sz w:val="24"/>
          <w:szCs w:val="24"/>
          <w:lang w:val="en"/>
        </w:rPr>
        <w:instrText xml:space="preserve"> ADDIN ZOTERO_ITEM CSL_CITATION {"citationID":"lIqNS90S","properties":{"formattedCitation":"(Nkomo et al., 2021)","plainCitation":"(Nkomo et al., 2021)","noteIndex":0},"citationItems":[{"id":6,"uris":["http://zotero.org/users/local/SRh9d10S/items/L2FAK4J8"],"uri":["http://zotero.org/users/local/SRh9d10S/items/L2FAK4J8"],"itemData":{"id":6,"type":"article-journal","abstract":"Restrictions on physical gathering due to COVID-19 has compelled higher education institutions to rapidly embrace digital technologies to support teaching and learning. While logistically, the use of digital technologies offers an obvious solution, attention must be given to these methods' pedagogical appropriateness, mainly how students engage and learn in the spaces supported by these technologies. In this context, we explored the degree to which digital technologies have contributed to teaching and learning practices over the past decade. The study employed a systematic review using a newly developed tripartite model for conducting and presenting literature review reports. The model approaches the literature review process systematically and employs three phases for the critical examination of literature: description, synthesis, and critique. The current review focused on student engagement across technologies that encompass social media, video, and collaborative learning technologies. Relevant articles were obtained from the Scopus and Web of Science databases. Three core themes were identified: there was no shared understanding of what constitutes student engagement with learning technologies, there was a lack of explanation concerning the contextual variation and modalities of student engagement across the digital technologies, and self-reporting was the primary method of measuring student engagement, rendering results as perceptual rather than behavioural. We argue that using multiple datasets and different methodological approaches can provide further insights into student engagement with digital technologies. This approach to measuring engagement can substantiate findings and most likely provide additional insights into students' engagement with digital technologies.","container-title":"International Journal of Educational Technology in Higher Education","DOI":"10.1186/s41239-021-00270-1","ISSN":"2365-9440","issue":"1","journalAbbreviation":"Int J Educ Technol High Educ","language":"en","page":"34","source":"Springer Link","title":"Synthesis of student engagement with digital technologies: a systematic review of the literature","title-short":"Synthesis of student engagement with digital technologies","volume":"18","author":[{"family":"Nkomo","given":"Larian M."},{"family":"Daniel","given":"Ben K."},{"family":"Butson","given":"Russell J."}],"issued":{"date-parts":[["2021",6,30]]}}}],"schema":"https://github.com/citation-style-language/schema/raw/master/csl-citation.json"} </w:instrText>
      </w:r>
      <w:r w:rsidR="1D0A6485" w:rsidRPr="1B7577B1">
        <w:rPr>
          <w:rFonts w:ascii="Times New Roman" w:eastAsia="Times New Roman" w:hAnsi="Times New Roman" w:cs="Times New Roman"/>
          <w:color w:val="000000" w:themeColor="text1"/>
          <w:sz w:val="24"/>
          <w:szCs w:val="24"/>
          <w:lang w:val="en"/>
        </w:rPr>
        <w:fldChar w:fldCharType="separate"/>
      </w:r>
      <w:r w:rsidRPr="1B7577B1">
        <w:rPr>
          <w:rFonts w:ascii="Times New Roman" w:eastAsia="Times New Roman" w:hAnsi="Times New Roman" w:cs="Times New Roman"/>
          <w:noProof/>
          <w:color w:val="000000" w:themeColor="text1"/>
          <w:sz w:val="24"/>
          <w:szCs w:val="24"/>
          <w:lang w:val="en"/>
        </w:rPr>
        <w:t>(Nkomo et al., 2021)</w:t>
      </w:r>
      <w:r w:rsidR="1D0A6485" w:rsidRPr="1B7577B1">
        <w:rPr>
          <w:rFonts w:ascii="Times New Roman" w:eastAsia="Times New Roman" w:hAnsi="Times New Roman" w:cs="Times New Roman"/>
          <w:color w:val="000000" w:themeColor="text1"/>
          <w:sz w:val="24"/>
          <w:szCs w:val="24"/>
          <w:lang w:val="en"/>
        </w:rPr>
        <w:fldChar w:fldCharType="end"/>
      </w:r>
      <w:r w:rsidRPr="1B7577B1">
        <w:rPr>
          <w:rFonts w:ascii="Times New Roman" w:eastAsia="Times New Roman" w:hAnsi="Times New Roman" w:cs="Times New Roman"/>
          <w:color w:val="000000" w:themeColor="text1"/>
          <w:sz w:val="24"/>
          <w:szCs w:val="24"/>
          <w:lang w:val="en"/>
        </w:rPr>
        <w:t xml:space="preserve">. </w:t>
      </w:r>
      <w:r w:rsidR="008A390F">
        <w:rPr>
          <w:rFonts w:ascii="Times New Roman" w:eastAsia="Times New Roman" w:hAnsi="Times New Roman" w:cs="Times New Roman"/>
          <w:color w:val="000000" w:themeColor="text1"/>
          <w:sz w:val="24"/>
          <w:szCs w:val="24"/>
          <w:lang w:val="en"/>
        </w:rPr>
        <w:t xml:space="preserve">Literature on online student engagement reveals that </w:t>
      </w:r>
      <w:r w:rsidRPr="1B7577B1">
        <w:rPr>
          <w:rFonts w:ascii="Times New Roman" w:eastAsia="Times New Roman" w:hAnsi="Times New Roman" w:cs="Times New Roman"/>
          <w:color w:val="000000" w:themeColor="text1"/>
          <w:sz w:val="24"/>
          <w:szCs w:val="24"/>
          <w:lang w:val="en"/>
        </w:rPr>
        <w:t xml:space="preserve">technology is </w:t>
      </w:r>
      <w:r w:rsidR="008A390F">
        <w:rPr>
          <w:rFonts w:ascii="Times New Roman" w:eastAsia="Times New Roman" w:hAnsi="Times New Roman" w:cs="Times New Roman"/>
          <w:color w:val="000000" w:themeColor="text1"/>
          <w:sz w:val="24"/>
          <w:szCs w:val="24"/>
          <w:lang w:val="en"/>
        </w:rPr>
        <w:t>a significant mediator</w:t>
      </w:r>
      <w:r w:rsidRPr="1B7577B1">
        <w:rPr>
          <w:rFonts w:ascii="Times New Roman" w:eastAsia="Times New Roman" w:hAnsi="Times New Roman" w:cs="Times New Roman"/>
          <w:color w:val="000000" w:themeColor="text1"/>
          <w:sz w:val="24"/>
          <w:szCs w:val="24"/>
          <w:lang w:val="en"/>
        </w:rPr>
        <w:t xml:space="preserve"> in promoting student </w:t>
      </w:r>
      <w:r w:rsidR="008A390F">
        <w:rPr>
          <w:rFonts w:ascii="Times New Roman" w:eastAsia="Times New Roman" w:hAnsi="Times New Roman" w:cs="Times New Roman"/>
          <w:color w:val="000000" w:themeColor="text1"/>
          <w:sz w:val="24"/>
          <w:szCs w:val="24"/>
          <w:lang w:val="en"/>
        </w:rPr>
        <w:t>engagement</w:t>
      </w:r>
      <w:r w:rsidRPr="1B7577B1">
        <w:rPr>
          <w:rFonts w:ascii="Times New Roman" w:eastAsia="Times New Roman" w:hAnsi="Times New Roman" w:cs="Times New Roman"/>
          <w:color w:val="000000" w:themeColor="text1"/>
          <w:sz w:val="24"/>
          <w:szCs w:val="24"/>
          <w:lang w:val="en"/>
        </w:rPr>
        <w:t xml:space="preserve"> in </w:t>
      </w:r>
      <w:r w:rsidR="008A390F">
        <w:rPr>
          <w:rFonts w:ascii="Times New Roman" w:eastAsia="Times New Roman" w:hAnsi="Times New Roman" w:cs="Times New Roman"/>
          <w:color w:val="000000" w:themeColor="text1"/>
          <w:sz w:val="24"/>
          <w:szCs w:val="24"/>
          <w:lang w:val="en"/>
        </w:rPr>
        <w:t xml:space="preserve">online </w:t>
      </w:r>
      <w:r w:rsidRPr="1B7577B1">
        <w:rPr>
          <w:rFonts w:ascii="Times New Roman" w:eastAsia="Times New Roman" w:hAnsi="Times New Roman" w:cs="Times New Roman"/>
          <w:color w:val="000000" w:themeColor="text1"/>
          <w:sz w:val="24"/>
          <w:szCs w:val="24"/>
          <w:lang w:val="en"/>
        </w:rPr>
        <w:t xml:space="preserve">learning </w:t>
      </w:r>
      <w:r w:rsidR="1D0A6485" w:rsidRPr="1B7577B1">
        <w:rPr>
          <w:rFonts w:ascii="Times New Roman" w:eastAsia="Times New Roman" w:hAnsi="Times New Roman" w:cs="Times New Roman"/>
          <w:color w:val="000000" w:themeColor="text1"/>
          <w:sz w:val="24"/>
          <w:szCs w:val="24"/>
          <w:lang w:val="en"/>
        </w:rPr>
        <w:fldChar w:fldCharType="begin"/>
      </w:r>
      <w:r w:rsidR="1D0A6485" w:rsidRPr="1B7577B1">
        <w:rPr>
          <w:rFonts w:ascii="Times New Roman" w:eastAsia="Times New Roman" w:hAnsi="Times New Roman" w:cs="Times New Roman"/>
          <w:color w:val="000000" w:themeColor="text1"/>
          <w:sz w:val="24"/>
          <w:szCs w:val="24"/>
          <w:lang w:val="en"/>
        </w:rPr>
        <w:instrText xml:space="preserve"> ADDIN ZOTERO_ITEM CSL_CITATION {"citationID":"vPySSSVK","properties":{"formattedCitation":"(Nkomo &amp; Daniel, 2021a)","plainCitation":"(Nkomo &amp; Daniel, 2021a)","noteIndex":0},"citationItems":[{"id":4,"uris":["http://zotero.org/users/local/SRh9d10S/items/A8EWR68K"],"uri":["http://zotero.org/users/local/SRh9d10S/items/A8EWR68K"],"itemData":{"id":4,"type":"article-journal","abstract":"Lecture recordings are useful learning resources that can support flexible, remote and distance learning, especially during the Covid-19 pandemic. This study explored students’ experiences of engaging with recorded lectures and the extent to which such engagement contributes to enhanced learning. The research involved the deployment of a questionnaire to undergraduate and postgraduate students (n = 660) who had access to lecture recordings at a research intensive public university in New Zealand. Key findings revealed that students who accessed lecture recordings reported an enhanced learning experience. They stated that the availability of lecture recordings created an inclusive learning environment for students with learning disabilities and fostered flexible learning for those who would otherwise be unable to attend lectures either due to sickness or work commitments. Data also suggest that students utilised lecture recordings as supplementary learning resources rather than a substitute for regular lecture attendance. Our findings substantiated previous research studies and additionally demonstrated the various ways in which students engage with lecture recordings. Moreover, the use of sentiment analysis shows how multiple data can be triangulated to confirm or contest research findings. Finally, we believe this study adds to the voice that lecture recordings are vital resources that support students’ learning.","container-title":"TechTrends","DOI":"10.1007/s11528-020-00563-8","ISSN":"1559-7075","issue":"2","journalAbbreviation":"TechTrends","language":"en","page":"213-224","source":"Springer Link","title":"Sentiment Analysis of Student Engagement with Lecture Recording","volume":"65","author":[{"family":"Nkomo","given":"Larian M."},{"family":"Daniel","given":"Ben K."}],"issued":{"date-parts":[["2021",3,1]]}}}],"schema":"https://github.com/citation-style-language/schema/raw/master/csl-citation.json"} </w:instrText>
      </w:r>
      <w:r w:rsidR="1D0A6485" w:rsidRPr="1B7577B1">
        <w:rPr>
          <w:rFonts w:ascii="Times New Roman" w:eastAsia="Times New Roman" w:hAnsi="Times New Roman" w:cs="Times New Roman"/>
          <w:color w:val="000000" w:themeColor="text1"/>
          <w:sz w:val="24"/>
          <w:szCs w:val="24"/>
          <w:lang w:val="en"/>
        </w:rPr>
        <w:fldChar w:fldCharType="separate"/>
      </w:r>
      <w:r w:rsidRPr="1B7577B1">
        <w:rPr>
          <w:rFonts w:ascii="Times New Roman" w:eastAsia="Times New Roman" w:hAnsi="Times New Roman" w:cs="Times New Roman"/>
          <w:noProof/>
          <w:color w:val="000000" w:themeColor="text1"/>
          <w:sz w:val="24"/>
          <w:szCs w:val="24"/>
          <w:lang w:val="en"/>
        </w:rPr>
        <w:t>(Nkomo &amp; Daniel, 2021a)</w:t>
      </w:r>
      <w:r w:rsidR="1D0A6485" w:rsidRPr="1B7577B1">
        <w:rPr>
          <w:rFonts w:ascii="Times New Roman" w:eastAsia="Times New Roman" w:hAnsi="Times New Roman" w:cs="Times New Roman"/>
          <w:color w:val="000000" w:themeColor="text1"/>
          <w:sz w:val="24"/>
          <w:szCs w:val="24"/>
          <w:lang w:val="en"/>
        </w:rPr>
        <w:fldChar w:fldCharType="end"/>
      </w:r>
      <w:r w:rsidRPr="1B7577B1">
        <w:rPr>
          <w:rFonts w:ascii="Times New Roman" w:eastAsia="Times New Roman" w:hAnsi="Times New Roman" w:cs="Times New Roman"/>
          <w:noProof/>
          <w:color w:val="000000" w:themeColor="text1"/>
          <w:sz w:val="24"/>
          <w:szCs w:val="24"/>
          <w:lang w:val="en"/>
        </w:rPr>
        <w:t>.</w:t>
      </w:r>
      <w:r w:rsidRPr="1B7577B1">
        <w:rPr>
          <w:rFonts w:ascii="Times New Roman" w:eastAsia="Times New Roman" w:hAnsi="Times New Roman" w:cs="Times New Roman"/>
          <w:color w:val="000000" w:themeColor="text1"/>
          <w:sz w:val="24"/>
          <w:szCs w:val="24"/>
          <w:lang w:val="en"/>
        </w:rPr>
        <w:t xml:space="preserve"> </w:t>
      </w:r>
      <w:r w:rsidR="1D0A6485" w:rsidRPr="1B7577B1">
        <w:rPr>
          <w:rFonts w:ascii="Times New Roman" w:eastAsia="Times New Roman" w:hAnsi="Times New Roman" w:cs="Times New Roman"/>
          <w:color w:val="000000" w:themeColor="text1"/>
          <w:sz w:val="24"/>
          <w:szCs w:val="24"/>
          <w:lang w:val="en"/>
        </w:rPr>
        <w:fldChar w:fldCharType="begin"/>
      </w:r>
      <w:r w:rsidR="00877FE3">
        <w:rPr>
          <w:rFonts w:ascii="Times New Roman" w:eastAsia="Times New Roman" w:hAnsi="Times New Roman" w:cs="Times New Roman"/>
          <w:color w:val="000000" w:themeColor="text1"/>
          <w:sz w:val="24"/>
          <w:szCs w:val="24"/>
          <w:lang w:val="en"/>
        </w:rPr>
        <w:instrText xml:space="preserve"> ADDIN ZOTERO_ITEM CSL_CITATION {"citationID":"1a0fRua0","properties":{"formattedCitation":"(Lundberg et al., 2017)","plainCitation":"(Lundberg et al., 2017)","dontUpdate":true,"noteIndex":0},"citationItems":[{"id":11,"uris":["http://zotero.org/users/local/SRh9d10S/items/DI93Y2H8"],"uri":["http://zotero.org/users/local/SRh9d10S/items/DI93Y2H8"],"itemData":{"id":11,"type":"article-journal","abstract":"Objective To develop and validate new classification criteria for adult and juvenile idiopathic inflammatory myopathies (IIM) and their major subgroups. Methods Candidate variables were assembled from published criteria and expert opinion using consensus methodology. Data were collected from 47 rheumatology, dermatology, neurology, and pediatric clinics worldwide. Several statistical methods were utilized to derive the classification criteria. Results Based on data from 976 IIM patients (74% adults; 26% children) and 624 non-IIM patients with mimicking conditions (82% adults; 18% children), new criteria were derived. Each item is assigned a weighted score. The total score corresponds to a probability of having IIM. Subclassification is performed using a classification tree. A probability cutoff of 55%, corresponding to a score of 5.5 (6.7 with muscle biopsy) “probable IIM,” had best sensitivity/specificity (87%/82% without biopsies, 93%/88% with biopsies) and is recommended as a minimum to classify a patient as having IIM. A probability of ≥90%, corresponding to a score of ≥7.5 (≥8.7 with muscle biopsy), corresponds to “definite IIM.” A probability of &lt;50%, corresponding to a score of &lt;5.3 (&lt;6.5 with muscle biopsy), rules out IIM, leaving a probability of ≥50–&lt;55% as “possible IIM.” Conclusion The European League Against Rheumatism/American College of Rheumatology (EULAR/ACR) classification criteria for IIM have been endorsed by international rheumatology, dermatology, neurology, and pediatric groups. They employ easily accessible and operationally defined elements, and have been partially validated. They allow classification of “definite,” “probable,” and “possible” IIM, in addition to the major subgroups of IIM, including juvenile IIM. They generally perform better than existing criteria.","container-title":"Arthritis &amp; Rheumatology","DOI":"10.1002/art.40320","ISSN":"2326-5205","issue":"12","language":"en","note":"_eprint: https://onlinelibrary.wiley.com/doi/pdf/10.1002/art.40320","page":"2271-2282","source":"Wiley Online Library","title":"2017 European League Against Rheumatism/American College of Rheumatology Classification Criteria for Adult and Juvenile Idiopathic Inflammatory Myopathies and Their Major Subgroups","volume":"69","author":[{"family":"Lundberg","given":"Ingrid E."},{"family":"Tjärnlund","given":"Anna"},{"family":"Bottai","given":"Matteo"},{"family":"Werth","given":"Victoria P."},{"family":"Pilkington","given":"Clarissa"},{"family":"Visser","given":"Marianne","dropping-particle":"de"},{"family":"Alfredsson","given":"Lars"},{"family":"Amato","given":"Anthony A."},{"family":"Barohn","given":"Richard J."},{"family":"Liang","given":"Matthew H."},{"family":"Singh","given":"Jasvinder A."},{"family":"Aggarwal","given":"Rohit"},{"family":"Arnardottir","given":"Snjolaug"},{"family":"Chinoy","given":"Hector"},{"family":"Cooper","given":"Robert G."},{"family":"Dankó","given":"Katalin"},{"family":"Dimachkie","given":"Mazen M."},{"family":"Feldman","given":"Brian M."},{"family":"Torre","given":"Ignacio Garcia-De La"},{"family":"Gordon","given":"Patrick"},{"family":"Hayashi","given":"Taichi"},{"family":"Katz","given":"James D."},{"family":"Kohsaka","given":"Hitoshi"},{"family":"Lachenbruch","given":"Peter A."},{"family":"Lang","given":"Bianca A."},{"family":"Li","given":"Yuhui"},{"family":"Oddis","given":"Chester V."},{"family":"Olesinska","given":"Marzena"},{"family":"Reed","given":"Ann M."},{"family":"Rutkowska-Sak","given":"Lidia"},{"family":"Sanner","given":"Helga"},{"family":"Selva-O'Callaghan","given":"Albert"},{"family":"Song","given":"Yeong-Wook"},{"family":"Vencovsky","given":"Jiri"},{"family":"Ytterberg","given":"Steven R."},{"family":"Miller","given":"Frederick W."},{"family":"Rider","given":"Lisa G."}],"issued":{"date-parts":[["2017"]]}}}],"schema":"https://github.com/citation-style-language/schema/raw/master/csl-citation.json"} </w:instrText>
      </w:r>
      <w:r w:rsidR="1D0A6485" w:rsidRPr="1B7577B1">
        <w:rPr>
          <w:rFonts w:ascii="Times New Roman" w:eastAsia="Times New Roman" w:hAnsi="Times New Roman" w:cs="Times New Roman"/>
          <w:color w:val="000000" w:themeColor="text1"/>
          <w:sz w:val="24"/>
          <w:szCs w:val="24"/>
          <w:lang w:val="en"/>
        </w:rPr>
        <w:fldChar w:fldCharType="separate"/>
      </w:r>
      <w:r w:rsidRPr="1B7577B1">
        <w:rPr>
          <w:rFonts w:ascii="Times New Roman" w:eastAsia="Times New Roman" w:hAnsi="Times New Roman" w:cs="Times New Roman"/>
          <w:noProof/>
          <w:color w:val="000000" w:themeColor="text1"/>
          <w:sz w:val="24"/>
          <w:szCs w:val="24"/>
          <w:lang w:val="en"/>
        </w:rPr>
        <w:t>Lundberg et a</w:t>
      </w:r>
      <w:r w:rsidR="1D0A6485" w:rsidRPr="1B7577B1">
        <w:rPr>
          <w:rFonts w:ascii="Times New Roman" w:eastAsia="Times New Roman" w:hAnsi="Times New Roman" w:cs="Times New Roman"/>
          <w:color w:val="000000" w:themeColor="text1"/>
          <w:sz w:val="24"/>
          <w:szCs w:val="24"/>
          <w:lang w:val="en"/>
        </w:rPr>
        <w:fldChar w:fldCharType="end"/>
      </w:r>
      <w:r w:rsidRPr="1B7577B1">
        <w:rPr>
          <w:rFonts w:ascii="Times New Roman" w:eastAsia="Times New Roman" w:hAnsi="Times New Roman" w:cs="Times New Roman"/>
          <w:noProof/>
          <w:color w:val="000000" w:themeColor="text1"/>
          <w:sz w:val="24"/>
          <w:szCs w:val="24"/>
          <w:lang w:val="en"/>
        </w:rPr>
        <w:t>l.</w:t>
      </w:r>
      <w:r w:rsidR="00747F71">
        <w:rPr>
          <w:rFonts w:ascii="Times New Roman" w:eastAsia="Times New Roman" w:hAnsi="Times New Roman" w:cs="Times New Roman"/>
          <w:noProof/>
          <w:color w:val="000000" w:themeColor="text1"/>
          <w:sz w:val="24"/>
          <w:szCs w:val="24"/>
          <w:lang w:val="en"/>
        </w:rPr>
        <w:t xml:space="preserve"> (</w:t>
      </w:r>
      <w:r w:rsidRPr="1B7577B1">
        <w:rPr>
          <w:rFonts w:ascii="Times New Roman" w:eastAsia="Times New Roman" w:hAnsi="Times New Roman" w:cs="Times New Roman"/>
          <w:noProof/>
          <w:color w:val="000000" w:themeColor="text1"/>
          <w:sz w:val="24"/>
          <w:szCs w:val="24"/>
          <w:lang w:val="en"/>
        </w:rPr>
        <w:t>2017)</w:t>
      </w:r>
      <w:r w:rsidRPr="1B7577B1">
        <w:rPr>
          <w:rFonts w:ascii="Times New Roman" w:eastAsia="Times New Roman" w:hAnsi="Times New Roman" w:cs="Times New Roman"/>
          <w:color w:val="000000" w:themeColor="text1"/>
          <w:sz w:val="24"/>
          <w:szCs w:val="24"/>
          <w:lang w:val="en"/>
        </w:rPr>
        <w:t xml:space="preserve"> </w:t>
      </w:r>
      <w:r w:rsidR="008A390F">
        <w:rPr>
          <w:rFonts w:ascii="Times New Roman" w:eastAsia="Times New Roman" w:hAnsi="Times New Roman" w:cs="Times New Roman"/>
          <w:color w:val="000000" w:themeColor="text1"/>
          <w:sz w:val="24"/>
          <w:szCs w:val="24"/>
          <w:lang w:val="en"/>
        </w:rPr>
        <w:t xml:space="preserve">also </w:t>
      </w:r>
      <w:r w:rsidRPr="1B7577B1">
        <w:rPr>
          <w:rFonts w:ascii="Times New Roman" w:eastAsia="Times New Roman" w:hAnsi="Times New Roman" w:cs="Times New Roman"/>
          <w:color w:val="000000" w:themeColor="text1"/>
          <w:sz w:val="24"/>
          <w:szCs w:val="24"/>
          <w:lang w:val="en"/>
        </w:rPr>
        <w:t xml:space="preserve">found a link between </w:t>
      </w:r>
      <w:r w:rsidR="00143D69">
        <w:rPr>
          <w:rFonts w:ascii="Times New Roman" w:eastAsia="Times New Roman" w:hAnsi="Times New Roman" w:cs="Times New Roman"/>
          <w:color w:val="000000" w:themeColor="text1"/>
          <w:sz w:val="24"/>
          <w:szCs w:val="24"/>
          <w:lang w:val="en"/>
        </w:rPr>
        <w:t>students'</w:t>
      </w:r>
      <w:r w:rsidRPr="1B7577B1">
        <w:rPr>
          <w:rFonts w:ascii="Times New Roman" w:eastAsia="Times New Roman" w:hAnsi="Times New Roman" w:cs="Times New Roman"/>
          <w:color w:val="000000" w:themeColor="text1"/>
          <w:sz w:val="24"/>
          <w:szCs w:val="24"/>
          <w:lang w:val="en"/>
        </w:rPr>
        <w:t xml:space="preserve"> engagement with technologies like lecture recording and improved learning results. </w:t>
      </w:r>
      <w:r w:rsidR="00143D69">
        <w:rPr>
          <w:rFonts w:ascii="Times New Roman" w:eastAsia="Times New Roman" w:hAnsi="Times New Roman" w:cs="Times New Roman"/>
          <w:color w:val="000000" w:themeColor="text1"/>
          <w:sz w:val="24"/>
          <w:szCs w:val="24"/>
          <w:lang w:val="en"/>
        </w:rPr>
        <w:t>Students'</w:t>
      </w:r>
      <w:r w:rsidRPr="1B7577B1">
        <w:rPr>
          <w:rFonts w:ascii="Times New Roman" w:eastAsia="Times New Roman" w:hAnsi="Times New Roman" w:cs="Times New Roman"/>
          <w:color w:val="000000" w:themeColor="text1"/>
          <w:sz w:val="24"/>
          <w:szCs w:val="24"/>
          <w:lang w:val="en"/>
        </w:rPr>
        <w:t xml:space="preserve"> access to lecture recordings aids their learning </w:t>
      </w:r>
      <w:r w:rsidR="1D0A6485" w:rsidRPr="1B7577B1">
        <w:rPr>
          <w:rFonts w:ascii="Times New Roman" w:eastAsia="Times New Roman" w:hAnsi="Times New Roman" w:cs="Times New Roman"/>
          <w:color w:val="000000" w:themeColor="text1"/>
          <w:sz w:val="24"/>
          <w:szCs w:val="24"/>
          <w:lang w:val="en"/>
        </w:rPr>
        <w:fldChar w:fldCharType="begin"/>
      </w:r>
      <w:r w:rsidR="00877FE3">
        <w:rPr>
          <w:rFonts w:ascii="Times New Roman" w:eastAsia="Times New Roman" w:hAnsi="Times New Roman" w:cs="Times New Roman"/>
          <w:color w:val="000000" w:themeColor="text1"/>
          <w:sz w:val="24"/>
          <w:szCs w:val="24"/>
          <w:lang w:val="en"/>
        </w:rPr>
        <w:instrText xml:space="preserve"> ADDIN ZOTERO_ITEM CSL_CITATION {"citationID":"uTAFJAZs","properties":{"formattedCitation":"(St. Clair &amp; Jensen, 2020)","plainCitation":"(St. Clair &amp; Jensen, 2020)","dontUpdate":true,"noteIndex":0},"citationItems":[{"id":15,"uris":["http://zotero.org/users/local/SRh9d10S/items/WIBTS9RQ"],"uri":["http://zotero.org/users/local/SRh9d10S/items/WIBTS9RQ"],"itemData":{"id":15,"type":"article-journal","abstract":"Cognitive scientists and psychology researchers have given growing attention to evidence of the testing effect, that is, the improvement of students' recall through memory-retrieval practice in the form of quizzes and exams. While laboratory experiments consistently show dramatic positive effects on learning through the testing effect, discipline-specific education researchers have sought to generalize these findings in real, instead of simulated classrooms. Our objective in this review was to survey recent findings on the testing effect in post-secondary biology education and synthesize how those findings may modulate learning in the post-secondary biology classroom. We found that: (a) Increased exam frequency increases the testing effect; (b) Corrective feedback on exams may enhance the testing effect; (c) Incentives, such as points, may decrease the positive outcome of learning through the testing effect, though little research in actual classrooms on this widely used practice is found; and (d) Individual differences in student achievement and preparation may moderate the effect. We consider how further research on the testing effect may be useful for instructors' decisions regarding its use.","container-title":"Bioscene: Journal of College Biology Teaching","ISSN":"1539-2422","issue":"2","language":"en","note":"publisher: Association of College and Biology Educators","page":"22-29","source":"ERIC","title":"Modulators of Test-Enhanced Learning in Post-Secondary Biology","volume":"46","author":[{"family":"St. Clair","given":"Bryn"},{"family":"Jensen","given":"Jamie L."}],"issued":{"date-parts":[["2020",12]]}}}],"schema":"https://github.com/citation-style-language/schema/raw/master/csl-citation.json"} </w:instrText>
      </w:r>
      <w:r w:rsidR="1D0A6485" w:rsidRPr="1B7577B1">
        <w:rPr>
          <w:rFonts w:ascii="Times New Roman" w:eastAsia="Times New Roman" w:hAnsi="Times New Roman" w:cs="Times New Roman"/>
          <w:color w:val="000000" w:themeColor="text1"/>
          <w:sz w:val="24"/>
          <w:szCs w:val="24"/>
          <w:lang w:val="en"/>
        </w:rPr>
        <w:fldChar w:fldCharType="separate"/>
      </w:r>
      <w:r w:rsidRPr="1B7577B1">
        <w:rPr>
          <w:rFonts w:ascii="Times New Roman" w:eastAsia="Times New Roman" w:hAnsi="Times New Roman" w:cs="Times New Roman"/>
          <w:noProof/>
          <w:color w:val="000000" w:themeColor="text1"/>
          <w:sz w:val="24"/>
          <w:szCs w:val="24"/>
          <w:lang w:val="en"/>
        </w:rPr>
        <w:t>(St. Clair &amp; Jense</w:t>
      </w:r>
      <w:r w:rsidR="1D0A6485" w:rsidRPr="1B7577B1">
        <w:rPr>
          <w:rFonts w:ascii="Times New Roman" w:eastAsia="Times New Roman" w:hAnsi="Times New Roman" w:cs="Times New Roman"/>
          <w:color w:val="000000" w:themeColor="text1"/>
          <w:sz w:val="24"/>
          <w:szCs w:val="24"/>
          <w:lang w:val="en"/>
        </w:rPr>
        <w:fldChar w:fldCharType="end"/>
      </w:r>
      <w:r w:rsidRPr="1B7577B1">
        <w:rPr>
          <w:rFonts w:ascii="Times New Roman" w:eastAsia="Times New Roman" w:hAnsi="Times New Roman" w:cs="Times New Roman"/>
          <w:noProof/>
          <w:color w:val="000000" w:themeColor="text1"/>
          <w:sz w:val="24"/>
          <w:szCs w:val="24"/>
          <w:lang w:val="en"/>
        </w:rPr>
        <w:t>n, 2020)</w:t>
      </w:r>
      <w:r w:rsidRPr="1B7577B1">
        <w:rPr>
          <w:rFonts w:ascii="Times New Roman" w:eastAsia="Times New Roman" w:hAnsi="Times New Roman" w:cs="Times New Roman"/>
          <w:color w:val="000000" w:themeColor="text1"/>
          <w:sz w:val="24"/>
          <w:szCs w:val="24"/>
          <w:lang w:val="en"/>
        </w:rPr>
        <w:t xml:space="preserve"> and helps to balance competing demands </w:t>
      </w:r>
      <w:r w:rsidR="1D0A6485" w:rsidRPr="1B7577B1">
        <w:rPr>
          <w:rFonts w:ascii="Times New Roman" w:eastAsia="Times New Roman" w:hAnsi="Times New Roman" w:cs="Times New Roman"/>
          <w:color w:val="000000" w:themeColor="text1"/>
          <w:sz w:val="24"/>
          <w:szCs w:val="24"/>
          <w:lang w:val="en"/>
        </w:rPr>
        <w:fldChar w:fldCharType="begin"/>
      </w:r>
      <w:r w:rsidR="1D0A6485" w:rsidRPr="1B7577B1">
        <w:rPr>
          <w:rFonts w:ascii="Times New Roman" w:eastAsia="Times New Roman" w:hAnsi="Times New Roman" w:cs="Times New Roman"/>
          <w:color w:val="000000" w:themeColor="text1"/>
          <w:sz w:val="24"/>
          <w:szCs w:val="24"/>
          <w:lang w:val="en"/>
        </w:rPr>
        <w:instrText xml:space="preserve"> ADDIN ZOTERO_ITEM CSL_CITATION {"citationID":"6GfEsoig","properties":{"formattedCitation":"(Nkomo &amp; Daniel, 2021b)","plainCitation":"(Nkomo &amp; Daniel, 2021b)","noteIndex":0},"citationItems":[{"id":13,"uris":["http://zotero.org/users/local/SRh9d10S/items/KQRJ6K7P"],"uri":["http://zotero.org/users/local/SRh9d10S/items/KQRJ6K7P"],"itemData":{"id":13,"type":"article-journal","abstract":"Lecture recordings are useful learning resources that can support flexible, remote and distance learning, especially during the Covid-19 pandemic. This study explored students’ experiences of engaging with recorded lectures and the extent to which such engagement contributes to enhanced learning. The research involved the deployment of a questionnaire to undergraduate and postgraduate students (n = 660) who had access to lecture recordings at a research intensive public university in New Zealand. Key findings revealed that students who accessed lecture recordings reported an enhanced learning experience. They stated that the availability of lecture recordings created an inclusive learning environment for students with learning disabilities and fostered flexible learning for those who would otherwise be unable to attend lectures either due to sickness or work commitments. Data also suggest that students utilised lecture recordings as supplementary learning resources rather than a substitute for regular lecture attendance. Our findings substantiated previous research studies and additionally demonstrated the various ways in which students engage with lecture recordings. Moreover, the use of sentiment analysis shows how multiple data can be triangulated to confirm or contest research findings. Finally, we believe this study adds to the voice that lecture recordings are vital resources that support students’ learning.","container-title":"TechTrends","DOI":"10.1007/s11528-020-00563-8","ISSN":"1559-7075","issue":"2","journalAbbreviation":"TechTrends","language":"en","page":"213-224","source":"Springer Link","title":"Sentiment Analysis of Student Engagement with Lecture Recording","volume":"65","author":[{"family":"Nkomo","given":"Larian M."},{"family":"Daniel","given":"Ben K."}],"issued":{"date-parts":[["2021",3,1]]}}}],"schema":"https://github.com/citation-style-language/schema/raw/master/csl-citation.json"} </w:instrText>
      </w:r>
      <w:r w:rsidR="1D0A6485" w:rsidRPr="1B7577B1">
        <w:rPr>
          <w:rFonts w:ascii="Times New Roman" w:eastAsia="Times New Roman" w:hAnsi="Times New Roman" w:cs="Times New Roman"/>
          <w:color w:val="000000" w:themeColor="text1"/>
          <w:sz w:val="24"/>
          <w:szCs w:val="24"/>
          <w:lang w:val="en"/>
        </w:rPr>
        <w:fldChar w:fldCharType="separate"/>
      </w:r>
      <w:r w:rsidRPr="1B7577B1">
        <w:rPr>
          <w:rFonts w:ascii="Times New Roman" w:eastAsia="Times New Roman" w:hAnsi="Times New Roman" w:cs="Times New Roman"/>
          <w:noProof/>
          <w:color w:val="000000" w:themeColor="text1"/>
          <w:sz w:val="24"/>
          <w:szCs w:val="24"/>
          <w:lang w:val="en"/>
        </w:rPr>
        <w:t>(Nkomo &amp; Daniel, 2021b)</w:t>
      </w:r>
      <w:r w:rsidR="1D0A6485" w:rsidRPr="1B7577B1">
        <w:rPr>
          <w:rFonts w:ascii="Times New Roman" w:eastAsia="Times New Roman" w:hAnsi="Times New Roman" w:cs="Times New Roman"/>
          <w:color w:val="000000" w:themeColor="text1"/>
          <w:sz w:val="24"/>
          <w:szCs w:val="24"/>
          <w:lang w:val="en"/>
        </w:rPr>
        <w:fldChar w:fldCharType="end"/>
      </w:r>
      <w:r w:rsidRPr="1B7577B1">
        <w:rPr>
          <w:rFonts w:ascii="Times New Roman" w:eastAsia="Times New Roman" w:hAnsi="Times New Roman" w:cs="Times New Roman"/>
          <w:color w:val="000000" w:themeColor="text1"/>
          <w:sz w:val="24"/>
          <w:szCs w:val="24"/>
          <w:lang w:val="en"/>
        </w:rPr>
        <w:t>.</w:t>
      </w:r>
    </w:p>
    <w:p w14:paraId="4A18BEFB" w14:textId="70C09037" w:rsidR="00132F50" w:rsidRPr="00055C57" w:rsidRDefault="1D0A6485" w:rsidP="3005DB5A">
      <w:pPr>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 xml:space="preserve">The sentiment analysis process is very sophisticated in analyzing the sentiment of qualitative responses. A sudden online shift to all academic activities is a huge stress factor, and only quantitative data will not correctly explain </w:t>
      </w:r>
      <w:r w:rsidR="00143D69">
        <w:rPr>
          <w:rFonts w:ascii="Times New Roman" w:eastAsia="Times New Roman" w:hAnsi="Times New Roman" w:cs="Times New Roman"/>
          <w:color w:val="000000" w:themeColor="text1"/>
          <w:sz w:val="24"/>
          <w:szCs w:val="24"/>
          <w:lang w:val="en"/>
        </w:rPr>
        <w:t>students'</w:t>
      </w:r>
      <w:r w:rsidRPr="1D0A6485">
        <w:rPr>
          <w:rFonts w:ascii="Times New Roman" w:eastAsia="Times New Roman" w:hAnsi="Times New Roman" w:cs="Times New Roman"/>
          <w:color w:val="000000" w:themeColor="text1"/>
          <w:sz w:val="24"/>
          <w:szCs w:val="24"/>
          <w:lang w:val="en"/>
        </w:rPr>
        <w:t xml:space="preserve"> lack of engagement in classes. Thus, sentiment analysis is used in this scenario. It can provide us with a helpful sentiment score of the qualitative data set, and we can use that information to reach a better-suited conclusion. </w:t>
      </w:r>
      <w:r w:rsidR="003F69F5">
        <w:rPr>
          <w:rFonts w:ascii="Times New Roman" w:eastAsia="Times New Roman" w:hAnsi="Times New Roman" w:cs="Times New Roman"/>
          <w:color w:val="000000" w:themeColor="text1"/>
          <w:sz w:val="24"/>
          <w:szCs w:val="24"/>
          <w:lang w:val="en"/>
        </w:rPr>
        <w:t xml:space="preserve">This process is </w:t>
      </w:r>
      <w:r w:rsidR="00143D69">
        <w:rPr>
          <w:rFonts w:ascii="Times New Roman" w:eastAsia="Times New Roman" w:hAnsi="Times New Roman" w:cs="Times New Roman"/>
          <w:color w:val="000000" w:themeColor="text1"/>
          <w:sz w:val="24"/>
          <w:szCs w:val="24"/>
          <w:lang w:val="en"/>
        </w:rPr>
        <w:t>fundamental</w:t>
      </w:r>
      <w:r w:rsidR="003F69F5">
        <w:rPr>
          <w:rFonts w:ascii="Times New Roman" w:eastAsia="Times New Roman" w:hAnsi="Times New Roman" w:cs="Times New Roman"/>
          <w:color w:val="000000" w:themeColor="text1"/>
          <w:sz w:val="24"/>
          <w:szCs w:val="24"/>
          <w:lang w:val="en"/>
        </w:rPr>
        <w:t xml:space="preserve"> when the respondents </w:t>
      </w:r>
      <w:r w:rsidR="00143D69">
        <w:rPr>
          <w:rFonts w:ascii="Times New Roman" w:eastAsia="Times New Roman" w:hAnsi="Times New Roman" w:cs="Times New Roman"/>
          <w:color w:val="000000" w:themeColor="text1"/>
          <w:sz w:val="24"/>
          <w:szCs w:val="24"/>
          <w:lang w:val="en"/>
        </w:rPr>
        <w:t>face a</w:t>
      </w:r>
      <w:r w:rsidR="003F69F5">
        <w:rPr>
          <w:rFonts w:ascii="Times New Roman" w:eastAsia="Times New Roman" w:hAnsi="Times New Roman" w:cs="Times New Roman"/>
          <w:color w:val="000000" w:themeColor="text1"/>
          <w:sz w:val="24"/>
          <w:szCs w:val="24"/>
          <w:lang w:val="en"/>
        </w:rPr>
        <w:t xml:space="preserve"> new challenge and </w:t>
      </w:r>
      <w:r w:rsidR="00143D69">
        <w:rPr>
          <w:rFonts w:ascii="Times New Roman" w:eastAsia="Times New Roman" w:hAnsi="Times New Roman" w:cs="Times New Roman"/>
          <w:color w:val="000000" w:themeColor="text1"/>
          <w:sz w:val="24"/>
          <w:szCs w:val="24"/>
          <w:lang w:val="en"/>
        </w:rPr>
        <w:t>are unsure</w:t>
      </w:r>
      <w:r w:rsidR="003F69F5">
        <w:rPr>
          <w:rFonts w:ascii="Times New Roman" w:eastAsia="Times New Roman" w:hAnsi="Times New Roman" w:cs="Times New Roman"/>
          <w:color w:val="000000" w:themeColor="text1"/>
          <w:sz w:val="24"/>
          <w:szCs w:val="24"/>
          <w:lang w:val="en"/>
        </w:rPr>
        <w:t xml:space="preserve"> how to express that </w:t>
      </w:r>
      <w:r w:rsidR="00143D69">
        <w:rPr>
          <w:rFonts w:ascii="Times New Roman" w:eastAsia="Times New Roman" w:hAnsi="Times New Roman" w:cs="Times New Roman"/>
          <w:color w:val="000000" w:themeColor="text1"/>
          <w:sz w:val="24"/>
          <w:szCs w:val="24"/>
          <w:lang w:val="en"/>
        </w:rPr>
        <w:t>quantitatively</w:t>
      </w:r>
      <w:r w:rsidR="003F69F5">
        <w:rPr>
          <w:rFonts w:ascii="Times New Roman" w:eastAsia="Times New Roman" w:hAnsi="Times New Roman" w:cs="Times New Roman"/>
          <w:color w:val="000000" w:themeColor="text1"/>
          <w:sz w:val="24"/>
          <w:szCs w:val="24"/>
          <w:lang w:val="en"/>
        </w:rPr>
        <w:t xml:space="preserve">. </w:t>
      </w:r>
    </w:p>
    <w:p w14:paraId="6E7CF7AF" w14:textId="0BAD1AC8" w:rsidR="00132F50" w:rsidRDefault="1D0A6485" w:rsidP="3005DB5A">
      <w:pPr>
        <w:jc w:val="both"/>
        <w:rPr>
          <w:rFonts w:ascii="Times New Roman" w:eastAsia="Times New Roman" w:hAnsi="Times New Roman" w:cs="Times New Roman"/>
          <w:color w:val="000000" w:themeColor="text1"/>
          <w:sz w:val="24"/>
          <w:szCs w:val="24"/>
          <w:lang w:val="en"/>
        </w:rPr>
      </w:pPr>
      <w:r w:rsidRPr="1D0A6485">
        <w:rPr>
          <w:rFonts w:ascii="Times New Roman" w:eastAsia="Times New Roman" w:hAnsi="Times New Roman" w:cs="Times New Roman"/>
          <w:color w:val="000000" w:themeColor="text1"/>
          <w:sz w:val="24"/>
          <w:szCs w:val="24"/>
          <w:lang w:val="en"/>
        </w:rPr>
        <w:t xml:space="preserve">Despite the growing usage of online lectures among students, experts have expressed conflicting sentiments about their widespread use </w:t>
      </w:r>
      <w:r w:rsidR="3005DB5A" w:rsidRPr="1D0A6485">
        <w:rPr>
          <w:rFonts w:ascii="Times New Roman" w:eastAsia="Times New Roman" w:hAnsi="Times New Roman" w:cs="Times New Roman"/>
          <w:color w:val="000000" w:themeColor="text1"/>
          <w:sz w:val="24"/>
          <w:szCs w:val="24"/>
          <w:lang w:val="en"/>
        </w:rPr>
        <w:fldChar w:fldCharType="begin"/>
      </w:r>
      <w:r w:rsidR="3005DB5A" w:rsidRPr="1D0A6485">
        <w:rPr>
          <w:rFonts w:ascii="Times New Roman" w:eastAsia="Times New Roman" w:hAnsi="Times New Roman" w:cs="Times New Roman"/>
          <w:color w:val="000000" w:themeColor="text1"/>
          <w:sz w:val="24"/>
          <w:szCs w:val="24"/>
          <w:lang w:val="en"/>
        </w:rPr>
        <w:instrText xml:space="preserve"> ADDIN ZOTERO_ITEM CSL_CITATION {"citationID":"596J30Xa","properties":{"formattedCitation":"(Edwards &amp; Clinton, 2019)","plainCitation":"(Edwards &amp; Clinton, 2019)","noteIndex":0},"citationItems":[{"id":18,"uris":["http://zotero.org/users/local/SRh9d10S/items/RXT9UND7"],"uri":["http://zotero.org/users/local/SRh9d10S/items/RXT9UND7"],"itemData":{"id":18,"type":"article-journal","abstract":"Lecture capture is widely used within higher education as a means of recording lecture material for online student viewing. However, there is some uncertainty around whether this is a uniformly positive development for students. The current study examines the impact of lecture capture introduction and usage in a compulsory second year research methods module in a undergraduate BSc degree. Data collected from a matched cohort before (N = 161) and after (N = 160) lecture capture introduction showed that attendance substantially dropped in three matched lectures after capture became available. Attendance, which predicts higher attainment (controlling for students’ previous grade and gender), mediates a negative relationship between lecture capture availability and attainment. Lecture capture viewing shows no significant relationship with attainment whilst factoring in lecture attendance; capture viewing also fails to compensate for the impact that low attendance has on attainment. Thus, the net effect of lecture capture introduction on the cohort is generally negative; the study serves as a useful example (that can be communicated students) of the pitfalls of an over-reliance on lecture capture as a replacement for lecture attendance.","container-title":"Higher Education","DOI":"10.1007/s10734-018-0275-9","ISSN":"1573-174X","issue":"3","journalAbbreviation":"High Educ","language":"en","page":"403-421","source":"Springer Link","title":"A study exploring the impact of lecture capture availability and lecture capture usage on student attendance and attainment","volume":"77","author":[{"family":"Edwards","given":"Martin R."},{"family":"Clinton","given":"Michael E."}],"issued":{"date-parts":[["2019",3,1]]}}}],"schema":"https://github.com/citation-style-language/schema/raw/master/csl-citation.json"} </w:instrText>
      </w:r>
      <w:r w:rsidR="3005DB5A" w:rsidRPr="1D0A6485">
        <w:rPr>
          <w:rFonts w:ascii="Times New Roman" w:eastAsia="Times New Roman" w:hAnsi="Times New Roman" w:cs="Times New Roman"/>
          <w:color w:val="000000" w:themeColor="text1"/>
          <w:sz w:val="24"/>
          <w:szCs w:val="24"/>
          <w:lang w:val="en"/>
        </w:rPr>
        <w:fldChar w:fldCharType="separate"/>
      </w:r>
      <w:r w:rsidRPr="1D0A6485">
        <w:rPr>
          <w:rFonts w:ascii="Times New Roman" w:eastAsia="Times New Roman" w:hAnsi="Times New Roman" w:cs="Times New Roman"/>
          <w:noProof/>
          <w:color w:val="000000" w:themeColor="text1"/>
          <w:sz w:val="24"/>
          <w:szCs w:val="24"/>
          <w:lang w:val="en"/>
        </w:rPr>
        <w:t>(Edwards &amp; Clinton, 2019)</w:t>
      </w:r>
      <w:r w:rsidR="3005DB5A" w:rsidRPr="1D0A6485">
        <w:rPr>
          <w:rFonts w:ascii="Times New Roman" w:eastAsia="Times New Roman" w:hAnsi="Times New Roman" w:cs="Times New Roman"/>
          <w:color w:val="000000" w:themeColor="text1"/>
          <w:sz w:val="24"/>
          <w:szCs w:val="24"/>
          <w:lang w:val="en"/>
        </w:rPr>
        <w:fldChar w:fldCharType="end"/>
      </w:r>
      <w:r w:rsidRPr="1D0A6485">
        <w:rPr>
          <w:rFonts w:ascii="Times New Roman" w:eastAsia="Times New Roman" w:hAnsi="Times New Roman" w:cs="Times New Roman"/>
          <w:color w:val="000000" w:themeColor="text1"/>
          <w:sz w:val="24"/>
          <w:szCs w:val="24"/>
          <w:lang w:val="en"/>
        </w:rPr>
        <w:t xml:space="preserve">. Many lecturers question the efficacy of </w:t>
      </w:r>
      <w:r w:rsidR="008A390F">
        <w:rPr>
          <w:rFonts w:ascii="Times New Roman" w:eastAsia="Times New Roman" w:hAnsi="Times New Roman" w:cs="Times New Roman"/>
          <w:color w:val="000000" w:themeColor="text1"/>
          <w:sz w:val="24"/>
          <w:szCs w:val="24"/>
          <w:lang w:val="en"/>
        </w:rPr>
        <w:t>o</w:t>
      </w:r>
      <w:r w:rsidRPr="1D0A6485">
        <w:rPr>
          <w:rFonts w:ascii="Times New Roman" w:eastAsia="Times New Roman" w:hAnsi="Times New Roman" w:cs="Times New Roman"/>
          <w:color w:val="000000" w:themeColor="text1"/>
          <w:sz w:val="24"/>
          <w:szCs w:val="24"/>
          <w:lang w:val="en"/>
        </w:rPr>
        <w:t xml:space="preserve">nline </w:t>
      </w:r>
      <w:r w:rsidR="008A390F">
        <w:rPr>
          <w:rFonts w:ascii="Times New Roman" w:eastAsia="Times New Roman" w:hAnsi="Times New Roman" w:cs="Times New Roman"/>
          <w:color w:val="000000" w:themeColor="text1"/>
          <w:sz w:val="24"/>
          <w:szCs w:val="24"/>
          <w:lang w:val="en"/>
        </w:rPr>
        <w:t>c</w:t>
      </w:r>
      <w:r w:rsidRPr="1D0A6485">
        <w:rPr>
          <w:rFonts w:ascii="Times New Roman" w:eastAsia="Times New Roman" w:hAnsi="Times New Roman" w:cs="Times New Roman"/>
          <w:color w:val="000000" w:themeColor="text1"/>
          <w:sz w:val="24"/>
          <w:szCs w:val="24"/>
          <w:lang w:val="en"/>
        </w:rPr>
        <w:t xml:space="preserve">lasses facilitating learning, claiming that using </w:t>
      </w:r>
      <w:r w:rsidR="008A390F">
        <w:rPr>
          <w:rFonts w:ascii="Times New Roman" w:eastAsia="Times New Roman" w:hAnsi="Times New Roman" w:cs="Times New Roman"/>
          <w:color w:val="000000" w:themeColor="text1"/>
          <w:sz w:val="24"/>
          <w:szCs w:val="24"/>
          <w:lang w:val="en"/>
        </w:rPr>
        <w:t>o</w:t>
      </w:r>
      <w:r w:rsidRPr="1D0A6485">
        <w:rPr>
          <w:rFonts w:ascii="Times New Roman" w:eastAsia="Times New Roman" w:hAnsi="Times New Roman" w:cs="Times New Roman"/>
          <w:color w:val="000000" w:themeColor="text1"/>
          <w:sz w:val="24"/>
          <w:szCs w:val="24"/>
          <w:lang w:val="en"/>
        </w:rPr>
        <w:t xml:space="preserve">nline </w:t>
      </w:r>
      <w:r w:rsidR="00143D69">
        <w:rPr>
          <w:rFonts w:ascii="Times New Roman" w:eastAsia="Times New Roman" w:hAnsi="Times New Roman" w:cs="Times New Roman"/>
          <w:color w:val="000000" w:themeColor="text1"/>
          <w:sz w:val="24"/>
          <w:szCs w:val="24"/>
          <w:lang w:val="en"/>
        </w:rPr>
        <w:t>classes</w:t>
      </w:r>
      <w:r w:rsidRPr="1D0A6485">
        <w:rPr>
          <w:rFonts w:ascii="Times New Roman" w:eastAsia="Times New Roman" w:hAnsi="Times New Roman" w:cs="Times New Roman"/>
          <w:color w:val="000000" w:themeColor="text1"/>
          <w:sz w:val="24"/>
          <w:szCs w:val="24"/>
          <w:lang w:val="en"/>
        </w:rPr>
        <w:t xml:space="preserve"> lowers live lecture interaction and inhibits academics from employing stories and comedy in their teaching </w:t>
      </w:r>
      <w:r w:rsidR="3005DB5A" w:rsidRPr="1D0A6485">
        <w:rPr>
          <w:rFonts w:ascii="Times New Roman" w:eastAsia="Times New Roman" w:hAnsi="Times New Roman" w:cs="Times New Roman"/>
          <w:color w:val="000000" w:themeColor="text1"/>
          <w:sz w:val="24"/>
          <w:szCs w:val="24"/>
          <w:lang w:val="en"/>
        </w:rPr>
        <w:fldChar w:fldCharType="begin"/>
      </w:r>
      <w:r w:rsidR="3005DB5A" w:rsidRPr="1D0A6485">
        <w:rPr>
          <w:rFonts w:ascii="Times New Roman" w:eastAsia="Times New Roman" w:hAnsi="Times New Roman" w:cs="Times New Roman"/>
          <w:color w:val="000000" w:themeColor="text1"/>
          <w:sz w:val="24"/>
          <w:szCs w:val="24"/>
          <w:lang w:val="en"/>
        </w:rPr>
        <w:instrText xml:space="preserve"> ADDIN ZOTERO_ITEM CSL_CITATION {"citationID":"9rd144Op","properties":{"formattedCitation":"(Joseph-Richard et al., 2018)","plainCitation":"(Joseph-Richard et al., 2018)","noteIndex":0},"citationItems":[{"id":20,"uris":["http://zotero.org/users/local/SRh9d10S/items/4PQDE2XX"],"uri":["http://zotero.org/users/local/SRh9d10S/items/4PQDE2XX"],"itemData":{"id":20,"type":"article-journal","abstract":"Lecture capture is used increasingly in the UK, and has become a normal feature of higher education. Most studies on the impact of lecture capture have focused on benefits to student learning, the flipped classroom or student non-attendance at lectures following its introduction. It is less clear how the use of lecture capture has impacted on lecturers’ own academic practice. In this study, we use a mixed-methods approach to explore the impact of this intrusive yet invisible technology on the quality of teaching. We have mapped our findings to the UK Professional Standards Framework (UKPSF). In doing so, our data paints a mixed picture of lecture capture's Janus-faced reality. On the one hand, it enhances lecturer self-awareness, planning and conscious ‘performance’; on the other hand, it crushes spontaneity, impairs interaction and breeds wariness through constant surveillance. While the Teaching Excellence Framework rewards institutions for providing state-of-the-art technology and lecture recording systems, our findings pose awkward questions as to whether lecture capture is making teaching more bland and instrumental, albeit neatly aligned to dimensions of the UKPSF. We provide contradictory evidence about lecture capture technology, embraced by students, yet tentatively adopted by most academics. The implications of our study are not straightforward, except to proceed with caution, valuing the benefits but ensuring that learning is not dehumanised through blind acceptance at the moment we press the record button.","container-title":"British Educational Research Journal","DOI":"10.1002/berj.3336","ISSN":"1469-3518","issue":"3","language":"en","note":"_eprint: https://bera-journals.onlinelibrary.wiley.com/doi/pdf/10.1002/berj.3336","page":"377-392","source":"Wiley Online Library","title":"Big brother or harbinger of best practice: Can lecture capture actually improve teaching?","title-short":"Big brother or harbinger of best practice","volume":"44","author":[{"family":"Joseph-Richard","given":"Paul"},{"family":"Jessop","given":"Tansy"},{"family":"Okafor","given":"Godwin"},{"family":"Almpanis","given":"Timos"},{"family":"Price","given":"Daran"}],"issued":{"date-parts":[["2018"]]}}}],"schema":"https://github.com/citation-style-language/schema/raw/master/csl-citation.json"} </w:instrText>
      </w:r>
      <w:r w:rsidR="3005DB5A" w:rsidRPr="1D0A6485">
        <w:rPr>
          <w:rFonts w:ascii="Times New Roman" w:eastAsia="Times New Roman" w:hAnsi="Times New Roman" w:cs="Times New Roman"/>
          <w:color w:val="000000" w:themeColor="text1"/>
          <w:sz w:val="24"/>
          <w:szCs w:val="24"/>
          <w:lang w:val="en"/>
        </w:rPr>
        <w:fldChar w:fldCharType="separate"/>
      </w:r>
      <w:r w:rsidRPr="1D0A6485">
        <w:rPr>
          <w:rFonts w:ascii="Times New Roman" w:eastAsia="Times New Roman" w:hAnsi="Times New Roman" w:cs="Times New Roman"/>
          <w:noProof/>
          <w:color w:val="000000" w:themeColor="text1"/>
          <w:sz w:val="24"/>
          <w:szCs w:val="24"/>
          <w:lang w:val="en"/>
        </w:rPr>
        <w:t>(Joseph-Richard et al., 2018)</w:t>
      </w:r>
      <w:r w:rsidR="3005DB5A" w:rsidRPr="1D0A6485">
        <w:rPr>
          <w:rFonts w:ascii="Times New Roman" w:eastAsia="Times New Roman" w:hAnsi="Times New Roman" w:cs="Times New Roman"/>
          <w:color w:val="000000" w:themeColor="text1"/>
          <w:sz w:val="24"/>
          <w:szCs w:val="24"/>
          <w:lang w:val="en"/>
        </w:rPr>
        <w:fldChar w:fldCharType="end"/>
      </w:r>
      <w:r w:rsidR="000518C1">
        <w:rPr>
          <w:rFonts w:ascii="Times New Roman" w:eastAsia="Times New Roman" w:hAnsi="Times New Roman" w:cs="Times New Roman"/>
          <w:color w:val="000000" w:themeColor="text1"/>
          <w:sz w:val="24"/>
          <w:szCs w:val="24"/>
          <w:lang w:val="en"/>
        </w:rPr>
        <w:t>.</w:t>
      </w:r>
      <w:r w:rsidR="003F69F5">
        <w:rPr>
          <w:rFonts w:ascii="Times New Roman" w:eastAsia="Times New Roman" w:hAnsi="Times New Roman" w:cs="Times New Roman"/>
          <w:color w:val="000000" w:themeColor="text1"/>
          <w:sz w:val="24"/>
          <w:szCs w:val="24"/>
          <w:lang w:val="en"/>
        </w:rPr>
        <w:t xml:space="preserve"> This can affect the engagement of students both directly and indirectly</w:t>
      </w:r>
      <w:r w:rsidR="00143D69">
        <w:rPr>
          <w:rFonts w:ascii="Times New Roman" w:eastAsia="Times New Roman" w:hAnsi="Times New Roman" w:cs="Times New Roman"/>
          <w:color w:val="000000" w:themeColor="text1"/>
          <w:sz w:val="24"/>
          <w:szCs w:val="24"/>
          <w:lang w:val="en"/>
        </w:rPr>
        <w:t>,</w:t>
      </w:r>
      <w:r w:rsidR="003F69F5">
        <w:rPr>
          <w:rFonts w:ascii="Times New Roman" w:eastAsia="Times New Roman" w:hAnsi="Times New Roman" w:cs="Times New Roman"/>
          <w:color w:val="000000" w:themeColor="text1"/>
          <w:sz w:val="24"/>
          <w:szCs w:val="24"/>
          <w:lang w:val="en"/>
        </w:rPr>
        <w:t xml:space="preserve"> and </w:t>
      </w:r>
      <w:r w:rsidR="00395369">
        <w:rPr>
          <w:rFonts w:ascii="Times New Roman" w:eastAsia="Times New Roman" w:hAnsi="Times New Roman" w:cs="Times New Roman"/>
          <w:color w:val="000000" w:themeColor="text1"/>
          <w:sz w:val="24"/>
          <w:szCs w:val="24"/>
          <w:lang w:val="en"/>
        </w:rPr>
        <w:t>extensive</w:t>
      </w:r>
      <w:r w:rsidR="003F69F5">
        <w:rPr>
          <w:rFonts w:ascii="Times New Roman" w:eastAsia="Times New Roman" w:hAnsi="Times New Roman" w:cs="Times New Roman"/>
          <w:color w:val="000000" w:themeColor="text1"/>
          <w:sz w:val="24"/>
          <w:szCs w:val="24"/>
          <w:lang w:val="en"/>
        </w:rPr>
        <w:t xml:space="preserve"> use </w:t>
      </w:r>
      <w:r w:rsidR="00395369">
        <w:rPr>
          <w:rFonts w:ascii="Times New Roman" w:eastAsia="Times New Roman" w:hAnsi="Times New Roman" w:cs="Times New Roman"/>
          <w:color w:val="000000" w:themeColor="text1"/>
          <w:sz w:val="24"/>
          <w:szCs w:val="24"/>
          <w:lang w:val="en"/>
        </w:rPr>
        <w:t>of this can affect the students long term understanding</w:t>
      </w:r>
    </w:p>
    <w:p w14:paraId="091BB0E3" w14:textId="423A34A4" w:rsidR="00877FE3" w:rsidRDefault="00877FE3" w:rsidP="00877FE3">
      <w:pPr>
        <w:jc w:val="both"/>
        <w:rPr>
          <w:rFonts w:ascii="Times New Roman" w:eastAsia="Times New Roman" w:hAnsi="Times New Roman" w:cs="Times New Roman"/>
          <w:color w:val="000000" w:themeColor="text1"/>
          <w:sz w:val="24"/>
          <w:szCs w:val="24"/>
        </w:rPr>
      </w:pPr>
      <w:r w:rsidRPr="00877FE3">
        <w:rPr>
          <w:rFonts w:ascii="Times New Roman" w:eastAsia="Times New Roman" w:hAnsi="Times New Roman" w:cs="Times New Roman"/>
          <w:color w:val="000000" w:themeColor="text1"/>
          <w:sz w:val="24"/>
          <w:szCs w:val="24"/>
          <w:lang w:val="en-BD"/>
        </w:rPr>
        <w:t xml:space="preserve">However, much engagement research on the student experience focuses on whole groups of students with certain qualities or within specific institutional settings. </w:t>
      </w:r>
      <w:r>
        <w:rPr>
          <w:rFonts w:ascii="Times New Roman" w:eastAsia="Times New Roman" w:hAnsi="Times New Roman" w:cs="Times New Roman"/>
          <w:color w:val="000000" w:themeColor="text1"/>
          <w:sz w:val="24"/>
          <w:szCs w:val="24"/>
          <w:lang w:val="en-BD"/>
        </w:rPr>
        <w:fldChar w:fldCharType="begin"/>
      </w:r>
      <w:r>
        <w:rPr>
          <w:rFonts w:ascii="Times New Roman" w:eastAsia="Times New Roman" w:hAnsi="Times New Roman" w:cs="Times New Roman"/>
          <w:color w:val="000000" w:themeColor="text1"/>
          <w:sz w:val="24"/>
          <w:szCs w:val="24"/>
          <w:lang w:val="en-BD"/>
        </w:rPr>
        <w:instrText xml:space="preserve"> ADDIN ZOTERO_ITEM CSL_CITATION {"citationID":"v0OH1ra0","properties":{"formattedCitation":"(Kuh, 2009)","plainCitation":"(Kuh, 2009)","noteIndex":0},"citationItems":[{"id":45,"uris":["http://zotero.org/users/local/SRh9d10S/items/ENW5GFSF"],"uri":["http://zotero.org/users/local/SRh9d10S/items/ENW5GFSF"],"itemData":{"id":45,"type":"article-journal","container-title":"Journal of College Student Development","DOI":"10.1353/csd.0.0099","ISSN":"1543-3382","issue":"6","note":"publisher: Johns Hopkins University Press","page":"683-706","source":"Project MUSE","title":"What Student Affairs Professionals Need to Know About Student Engagement","volume":"50","author":[{"family":"Kuh","given":"George D."}],"issued":{"date-parts":[["2009"]]}}}],"schema":"https://github.com/citation-style-language/schema/raw/master/csl-citation.json"} </w:instrText>
      </w:r>
      <w:r>
        <w:rPr>
          <w:rFonts w:ascii="Times New Roman" w:eastAsia="Times New Roman" w:hAnsi="Times New Roman" w:cs="Times New Roman"/>
          <w:color w:val="000000" w:themeColor="text1"/>
          <w:sz w:val="24"/>
          <w:szCs w:val="24"/>
          <w:lang w:val="en-BD"/>
        </w:rPr>
        <w:fldChar w:fldCharType="separate"/>
      </w:r>
      <w:r>
        <w:rPr>
          <w:rFonts w:ascii="Times New Roman" w:eastAsia="Times New Roman" w:hAnsi="Times New Roman" w:cs="Times New Roman"/>
          <w:noProof/>
          <w:color w:val="000000" w:themeColor="text1"/>
          <w:sz w:val="24"/>
          <w:szCs w:val="24"/>
          <w:lang w:val="en-BD"/>
        </w:rPr>
        <w:t>(Kuh, 2009)</w:t>
      </w:r>
      <w:r>
        <w:rPr>
          <w:rFonts w:ascii="Times New Roman" w:eastAsia="Times New Roman" w:hAnsi="Times New Roman" w:cs="Times New Roman"/>
          <w:color w:val="000000" w:themeColor="text1"/>
          <w:sz w:val="24"/>
          <w:szCs w:val="24"/>
          <w:lang w:val="en-BD"/>
        </w:rPr>
        <w:fldChar w:fldCharType="end"/>
      </w:r>
      <w:r>
        <w:rPr>
          <w:rFonts w:ascii="Times New Roman" w:eastAsia="Times New Roman" w:hAnsi="Times New Roman" w:cs="Times New Roman"/>
          <w:color w:val="000000" w:themeColor="text1"/>
          <w:sz w:val="24"/>
          <w:szCs w:val="24"/>
        </w:rPr>
        <w:t xml:space="preserve">. </w:t>
      </w:r>
      <w:r w:rsidRPr="00877FE3">
        <w:rPr>
          <w:rFonts w:ascii="Times New Roman" w:eastAsia="Times New Roman" w:hAnsi="Times New Roman" w:cs="Times New Roman"/>
          <w:color w:val="000000" w:themeColor="text1"/>
          <w:sz w:val="24"/>
          <w:szCs w:val="24"/>
          <w:lang w:val="en-BD"/>
        </w:rPr>
        <w:t>This focus on specific groups of students can also be seen in studies that attempt to explain patterns of participation among ethnic minorities and low-income students</w:t>
      </w:r>
      <w:r>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fldChar w:fldCharType="begin"/>
      </w:r>
      <w:r>
        <w:rPr>
          <w:rFonts w:ascii="Times New Roman" w:eastAsia="Times New Roman" w:hAnsi="Times New Roman" w:cs="Times New Roman"/>
          <w:color w:val="000000" w:themeColor="text1"/>
          <w:sz w:val="24"/>
          <w:szCs w:val="24"/>
        </w:rPr>
        <w:instrText xml:space="preserve"> ADDIN ZOTERO_ITEM CSL_CITATION {"citationID":"ATUSlXjO","properties":{"formattedCitation":"(Harper, 2009)","plainCitation":"(Harper, 2009)","noteIndex":0},"citationItems":[{"id":46,"uris":["http://zotero.org/users/local/SRh9d10S/items/3FX34IJJ"],"uri":["http://zotero.org/users/local/SRh9d10S/items/3FX34IJJ"],"itemData":{"id":46,"type":"article-journal","abstract":"In this article, race-conscious student engagement is offered as a method likely to compel more racial minority students to reflect on powerful learning opportunities, institutional enablers of achievement, and outcomes-productive experiences. This version of student engagement is defined, and the benefits it accrues for faculty members and institutions overall are highlighted. Current racial gaps in the engagement of undergraduates are also illuminated and discussed. (Contains 1 table.)","container-title":"Liberal Education","ISSN":"0024-1822","issue":"4","language":"en","note":"publisher: Association of American Colleges and Universities","page":"38-45","source":"ERIC","title":"Race-Conscious Student Engagement Practices and the Equitable Distribution of Enriching Educational Experiences","volume":"95","author":[{"family":"Harper","given":"Shaun R."}],"issued":{"date-parts":[["2009"]]}}}],"schema":"https://github.com/citation-style-language/schema/raw/master/csl-citation.json"} </w:instrText>
      </w:r>
      <w:r>
        <w:rPr>
          <w:rFonts w:ascii="Times New Roman" w:eastAsia="Times New Roman" w:hAnsi="Times New Roman" w:cs="Times New Roman"/>
          <w:color w:val="000000" w:themeColor="text1"/>
          <w:sz w:val="24"/>
          <w:szCs w:val="24"/>
        </w:rPr>
        <w:fldChar w:fldCharType="separate"/>
      </w:r>
      <w:r>
        <w:rPr>
          <w:rFonts w:ascii="Times New Roman" w:eastAsia="Times New Roman" w:hAnsi="Times New Roman" w:cs="Times New Roman"/>
          <w:noProof/>
          <w:color w:val="000000" w:themeColor="text1"/>
          <w:sz w:val="24"/>
          <w:szCs w:val="24"/>
        </w:rPr>
        <w:t>(Harper, 2009)</w:t>
      </w:r>
      <w:r>
        <w:rPr>
          <w:rFonts w:ascii="Times New Roman" w:eastAsia="Times New Roman" w:hAnsi="Times New Roman" w:cs="Times New Roman"/>
          <w:color w:val="000000" w:themeColor="text1"/>
          <w:sz w:val="24"/>
          <w:szCs w:val="24"/>
        </w:rPr>
        <w:fldChar w:fldCharType="end"/>
      </w:r>
      <w:r>
        <w:rPr>
          <w:rFonts w:ascii="Times New Roman" w:eastAsia="Times New Roman" w:hAnsi="Times New Roman" w:cs="Times New Roman"/>
          <w:color w:val="000000" w:themeColor="text1"/>
          <w:sz w:val="24"/>
          <w:szCs w:val="24"/>
        </w:rPr>
        <w:t xml:space="preserve"> .</w:t>
      </w:r>
    </w:p>
    <w:p w14:paraId="33439567" w14:textId="5249EEF6" w:rsidR="00877FE3" w:rsidRDefault="003F69F5" w:rsidP="3005DB5A">
      <w:pPr>
        <w:jc w:val="both"/>
        <w:rPr>
          <w:rFonts w:ascii="Times New Roman" w:eastAsia="Times New Roman" w:hAnsi="Times New Roman" w:cs="Times New Roman"/>
          <w:color w:val="000000" w:themeColor="text1"/>
          <w:sz w:val="24"/>
          <w:szCs w:val="24"/>
          <w:lang w:val="en-BD"/>
        </w:rPr>
      </w:pPr>
      <w:r w:rsidRPr="003F69F5">
        <w:rPr>
          <w:rFonts w:ascii="Times New Roman" w:eastAsia="Times New Roman" w:hAnsi="Times New Roman" w:cs="Times New Roman"/>
          <w:color w:val="000000" w:themeColor="text1"/>
          <w:sz w:val="24"/>
          <w:szCs w:val="24"/>
          <w:lang w:val="en-BD"/>
        </w:rPr>
        <w:t xml:space="preserve">Nevertheless, engagement research on the student experience focuses on whole groups of students with certain qualities or within specific institutional settings </w:t>
      </w:r>
      <w:r>
        <w:rPr>
          <w:rFonts w:ascii="Times New Roman" w:eastAsia="Times New Roman" w:hAnsi="Times New Roman" w:cs="Times New Roman"/>
          <w:color w:val="000000" w:themeColor="text1"/>
          <w:sz w:val="24"/>
          <w:szCs w:val="24"/>
          <w:lang w:val="en-BD"/>
        </w:rPr>
        <w:fldChar w:fldCharType="begin"/>
      </w:r>
      <w:r>
        <w:rPr>
          <w:rFonts w:ascii="Times New Roman" w:eastAsia="Times New Roman" w:hAnsi="Times New Roman" w:cs="Times New Roman"/>
          <w:color w:val="000000" w:themeColor="text1"/>
          <w:sz w:val="24"/>
          <w:szCs w:val="24"/>
          <w:lang w:val="en-BD"/>
        </w:rPr>
        <w:instrText xml:space="preserve"> ADDIN ZOTERO_TEMP </w:instrText>
      </w:r>
      <w:r>
        <w:rPr>
          <w:rFonts w:ascii="Times New Roman" w:eastAsia="Times New Roman" w:hAnsi="Times New Roman" w:cs="Times New Roman"/>
          <w:color w:val="000000" w:themeColor="text1"/>
          <w:sz w:val="24"/>
          <w:szCs w:val="24"/>
          <w:lang w:val="en-BD"/>
        </w:rPr>
        <w:fldChar w:fldCharType="separate"/>
      </w:r>
      <w:r>
        <w:rPr>
          <w:rFonts w:ascii="Times New Roman" w:eastAsia="Times New Roman" w:hAnsi="Times New Roman" w:cs="Times New Roman"/>
          <w:noProof/>
          <w:color w:val="000000" w:themeColor="text1"/>
          <w:sz w:val="24"/>
          <w:szCs w:val="24"/>
          <w:lang w:val="en-BD"/>
        </w:rPr>
        <w:t>{</w:t>
      </w:r>
      <w:r w:rsidRPr="003F69F5">
        <w:rPr>
          <w:rFonts w:ascii="Times New Roman" w:eastAsia="Times New Roman" w:hAnsi="Times New Roman" w:cs="Times New Roman"/>
          <w:noProof/>
          <w:color w:val="000000" w:themeColor="text1"/>
          <w:sz w:val="24"/>
          <w:szCs w:val="24"/>
          <w:highlight w:val="yellow"/>
          <w:lang w:val="en-BD"/>
        </w:rPr>
        <w:t>Citation}</w:t>
      </w:r>
      <w:r>
        <w:rPr>
          <w:rFonts w:ascii="Times New Roman" w:eastAsia="Times New Roman" w:hAnsi="Times New Roman" w:cs="Times New Roman"/>
          <w:color w:val="000000" w:themeColor="text1"/>
          <w:sz w:val="24"/>
          <w:szCs w:val="24"/>
          <w:lang w:val="en-BD"/>
        </w:rPr>
        <w:fldChar w:fldCharType="end"/>
      </w:r>
      <w:r w:rsidRPr="003F69F5">
        <w:rPr>
          <w:rFonts w:ascii="Times New Roman" w:eastAsia="Times New Roman" w:hAnsi="Times New Roman" w:cs="Times New Roman"/>
          <w:color w:val="000000" w:themeColor="text1"/>
          <w:sz w:val="24"/>
          <w:szCs w:val="24"/>
          <w:lang w:val="en-BD"/>
        </w:rPr>
        <w:t xml:space="preserve"> This focus on specific groups of students can also be seen in studies that attempt to explain patterns of participation among different demographics of students. </w:t>
      </w:r>
      <w:r w:rsidR="00377228" w:rsidRPr="00377228">
        <w:rPr>
          <w:rFonts w:ascii="Times New Roman" w:eastAsia="Times New Roman" w:hAnsi="Times New Roman" w:cs="Times New Roman"/>
          <w:color w:val="000000" w:themeColor="text1"/>
          <w:sz w:val="24"/>
          <w:szCs w:val="24"/>
          <w:lang w:val="en-BD"/>
        </w:rPr>
        <w:t xml:space="preserve">However, it is evident that these viewpoints only provide a partial explanation for student participation, as </w:t>
      </w:r>
      <w:r w:rsidR="00143D69">
        <w:rPr>
          <w:rFonts w:ascii="Times New Roman" w:eastAsia="Times New Roman" w:hAnsi="Times New Roman" w:cs="Times New Roman"/>
          <w:color w:val="000000" w:themeColor="text1"/>
          <w:sz w:val="24"/>
          <w:szCs w:val="24"/>
          <w:lang w:val="en-BD"/>
        </w:rPr>
        <w:t>"</w:t>
      </w:r>
      <w:r w:rsidR="00377228" w:rsidRPr="00377228">
        <w:rPr>
          <w:rFonts w:ascii="Times New Roman" w:eastAsia="Times New Roman" w:hAnsi="Times New Roman" w:cs="Times New Roman"/>
          <w:color w:val="000000" w:themeColor="text1"/>
          <w:sz w:val="24"/>
          <w:szCs w:val="24"/>
          <w:lang w:val="en-BD"/>
        </w:rPr>
        <w:t>the variance within any group of students</w:t>
      </w:r>
      <w:r w:rsidR="001E3935">
        <w:rPr>
          <w:rFonts w:ascii="Times New Roman" w:eastAsia="Times New Roman" w:hAnsi="Times New Roman" w:cs="Times New Roman"/>
          <w:color w:val="000000" w:themeColor="text1"/>
          <w:sz w:val="24"/>
          <w:szCs w:val="24"/>
        </w:rPr>
        <w:t xml:space="preserve"> </w:t>
      </w:r>
      <w:r w:rsidR="00377228" w:rsidRPr="00377228">
        <w:rPr>
          <w:rFonts w:ascii="Times New Roman" w:eastAsia="Times New Roman" w:hAnsi="Times New Roman" w:cs="Times New Roman"/>
          <w:color w:val="000000" w:themeColor="text1"/>
          <w:sz w:val="24"/>
          <w:szCs w:val="24"/>
          <w:lang w:val="en-BD"/>
        </w:rPr>
        <w:t>is usually always greater than the variance across the groups,</w:t>
      </w:r>
      <w:r w:rsidR="00143D69">
        <w:rPr>
          <w:rFonts w:ascii="Times New Roman" w:eastAsia="Times New Roman" w:hAnsi="Times New Roman" w:cs="Times New Roman"/>
          <w:color w:val="000000" w:themeColor="text1"/>
          <w:sz w:val="24"/>
          <w:szCs w:val="24"/>
          <w:lang w:val="en-BD"/>
        </w:rPr>
        <w:t>"</w:t>
      </w:r>
      <w:r w:rsidR="00377228" w:rsidRPr="00377228">
        <w:rPr>
          <w:rFonts w:ascii="Times New Roman" w:eastAsia="Times New Roman" w:hAnsi="Times New Roman" w:cs="Times New Roman"/>
          <w:color w:val="000000" w:themeColor="text1"/>
          <w:sz w:val="24"/>
          <w:szCs w:val="24"/>
          <w:lang w:val="en-BD"/>
        </w:rPr>
        <w:t xml:space="preserve"> as claimed</w:t>
      </w:r>
      <w:r w:rsidR="00377228">
        <w:rPr>
          <w:rFonts w:ascii="Times New Roman" w:eastAsia="Times New Roman" w:hAnsi="Times New Roman" w:cs="Times New Roman"/>
          <w:color w:val="000000" w:themeColor="text1"/>
          <w:sz w:val="24"/>
          <w:szCs w:val="24"/>
        </w:rPr>
        <w:t xml:space="preserve"> by </w:t>
      </w:r>
      <w:r w:rsidR="00377228">
        <w:rPr>
          <w:rFonts w:ascii="Times New Roman" w:eastAsia="Times New Roman" w:hAnsi="Times New Roman" w:cs="Times New Roman"/>
          <w:color w:val="000000" w:themeColor="text1"/>
          <w:sz w:val="24"/>
          <w:szCs w:val="24"/>
        </w:rPr>
        <w:fldChar w:fldCharType="begin"/>
      </w:r>
      <w:r w:rsidR="00377228">
        <w:rPr>
          <w:rFonts w:ascii="Times New Roman" w:eastAsia="Times New Roman" w:hAnsi="Times New Roman" w:cs="Times New Roman"/>
          <w:color w:val="000000" w:themeColor="text1"/>
          <w:sz w:val="24"/>
          <w:szCs w:val="24"/>
        </w:rPr>
        <w:instrText xml:space="preserve"> ADDIN ZOTERO_ITEM CSL_CITATION {"citationID":"pX0Eo0Gf","properties":{"formattedCitation":"(Kuh, 2009)","plainCitation":"(Kuh, 2009)","noteIndex":0},"citationItems":[{"id":45,"uris":["http://zotero.org/users/local/SRh9d10S/items/ENW5GFSF"],"uri":["http://zotero.org/users/local/SRh9d10S/items/ENW5GFSF"],"itemData":{"id":45,"type":"article-journal","container-title":"Journal of College Student Development","DOI":"10.1353/csd.0.0099","ISSN":"1543-3382","issue":"6","note":"publisher: Johns Hopkins University Press","page":"683-706","source":"Project MUSE","title":"What Student Affairs Professionals Need to Know About Student Engagement","volume":"50","author":[{"family":"Kuh","given":"George D."}],"issued":{"date-parts":[["2009"]]}}}],"schema":"https://github.com/citation-style-language/schema/raw/master/csl-citation.json"} </w:instrText>
      </w:r>
      <w:r w:rsidR="00377228">
        <w:rPr>
          <w:rFonts w:ascii="Times New Roman" w:eastAsia="Times New Roman" w:hAnsi="Times New Roman" w:cs="Times New Roman"/>
          <w:color w:val="000000" w:themeColor="text1"/>
          <w:sz w:val="24"/>
          <w:szCs w:val="24"/>
        </w:rPr>
        <w:fldChar w:fldCharType="separate"/>
      </w:r>
      <w:r w:rsidR="00377228">
        <w:rPr>
          <w:rFonts w:ascii="Times New Roman" w:eastAsia="Times New Roman" w:hAnsi="Times New Roman" w:cs="Times New Roman"/>
          <w:noProof/>
          <w:color w:val="000000" w:themeColor="text1"/>
          <w:sz w:val="24"/>
          <w:szCs w:val="24"/>
        </w:rPr>
        <w:t>(Kuh, 2009)</w:t>
      </w:r>
      <w:r w:rsidR="00377228">
        <w:rPr>
          <w:rFonts w:ascii="Times New Roman" w:eastAsia="Times New Roman" w:hAnsi="Times New Roman" w:cs="Times New Roman"/>
          <w:color w:val="000000" w:themeColor="text1"/>
          <w:sz w:val="24"/>
          <w:szCs w:val="24"/>
        </w:rPr>
        <w:fldChar w:fldCharType="end"/>
      </w:r>
      <w:r w:rsidR="00377228" w:rsidRPr="00377228">
        <w:rPr>
          <w:rFonts w:ascii="Times New Roman" w:eastAsia="Times New Roman" w:hAnsi="Times New Roman" w:cs="Times New Roman"/>
          <w:color w:val="000000" w:themeColor="text1"/>
          <w:sz w:val="24"/>
          <w:szCs w:val="24"/>
          <w:lang w:val="en-BD"/>
        </w:rPr>
        <w:t>. It is critical to investigate how individual students determine their engagement to get a more comprehensive picture of student engagement.</w:t>
      </w:r>
    </w:p>
    <w:p w14:paraId="79613D16" w14:textId="7F9D8C67" w:rsidR="008A390F" w:rsidRPr="008A390F" w:rsidRDefault="008A390F" w:rsidP="3005DB5A">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The remaining of this paper has six additional sections. Section two outlines the literature on student engagement during online lectures followed by methodology discussion on Section three. Section four critically examines the literature in light with the results of this study. Section five explains the policy implication followed by research limitations in Section six. The conclusions of this study are presented in Section seven.</w:t>
      </w:r>
    </w:p>
    <w:p w14:paraId="23F0A549" w14:textId="77777777" w:rsidR="008A390F" w:rsidRDefault="008A390F" w:rsidP="00762861">
      <w:pPr>
        <w:jc w:val="both"/>
        <w:rPr>
          <w:rFonts w:ascii="Times New Roman" w:eastAsia="Times New Roman" w:hAnsi="Times New Roman" w:cs="Times New Roman"/>
          <w:color w:val="000000" w:themeColor="text1"/>
          <w:sz w:val="24"/>
          <w:szCs w:val="24"/>
        </w:rPr>
      </w:pPr>
    </w:p>
    <w:p w14:paraId="341FCF88" w14:textId="5A204B2B" w:rsidR="00132F50" w:rsidRDefault="1D0A6485" w:rsidP="00762861">
      <w:pPr>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b/>
          <w:bCs/>
          <w:color w:val="000000" w:themeColor="text1"/>
          <w:sz w:val="24"/>
          <w:szCs w:val="24"/>
          <w:lang w:val="en"/>
        </w:rPr>
        <w:lastRenderedPageBreak/>
        <w:t>2. Literature review</w:t>
      </w:r>
    </w:p>
    <w:p w14:paraId="5E3C5E0E" w14:textId="6201B43D" w:rsidR="00143D69" w:rsidRPr="008A390F" w:rsidRDefault="1D0A6485" w:rsidP="00762861">
      <w:pPr>
        <w:jc w:val="both"/>
        <w:rPr>
          <w:rFonts w:ascii="Times New Roman" w:eastAsia="Times New Roman" w:hAnsi="Times New Roman" w:cs="Times New Roman"/>
          <w:color w:val="000000" w:themeColor="text1"/>
          <w:sz w:val="24"/>
          <w:szCs w:val="24"/>
          <w:lang w:val="en"/>
        </w:rPr>
      </w:pPr>
      <w:r w:rsidRPr="1D0A6485">
        <w:rPr>
          <w:rFonts w:ascii="Times New Roman" w:eastAsia="Times New Roman" w:hAnsi="Times New Roman" w:cs="Times New Roman"/>
          <w:color w:val="000000" w:themeColor="text1"/>
          <w:sz w:val="24"/>
          <w:szCs w:val="24"/>
          <w:lang w:val="en"/>
        </w:rPr>
        <w:t xml:space="preserve">The literature reveals that online lectures are used differently in different disciplines; for example, business, social sciences, and engineering lecturers have a more positive attitude toward lecture recording than lecturers in science disciplines. </w:t>
      </w:r>
      <w:r w:rsidR="00143D69" w:rsidRPr="00143D69">
        <w:rPr>
          <w:rFonts w:ascii="Times New Roman" w:eastAsia="Times New Roman" w:hAnsi="Times New Roman" w:cs="Times New Roman"/>
          <w:color w:val="000000" w:themeColor="text1"/>
          <w:sz w:val="24"/>
          <w:szCs w:val="24"/>
        </w:rPr>
        <w:t xml:space="preserve">The phrase </w:t>
      </w:r>
      <w:r w:rsidR="00143D69">
        <w:rPr>
          <w:rFonts w:ascii="Times New Roman" w:eastAsia="Times New Roman" w:hAnsi="Times New Roman" w:cs="Times New Roman"/>
          <w:color w:val="000000" w:themeColor="text1"/>
          <w:sz w:val="24"/>
          <w:szCs w:val="24"/>
        </w:rPr>
        <w:t>"</w:t>
      </w:r>
      <w:r w:rsidR="00143D69" w:rsidRPr="00143D69">
        <w:rPr>
          <w:rFonts w:ascii="Times New Roman" w:eastAsia="Times New Roman" w:hAnsi="Times New Roman" w:cs="Times New Roman"/>
          <w:color w:val="000000" w:themeColor="text1"/>
          <w:sz w:val="24"/>
          <w:szCs w:val="24"/>
        </w:rPr>
        <w:t>student engagement</w:t>
      </w:r>
      <w:r w:rsidR="00143D69">
        <w:rPr>
          <w:rFonts w:ascii="Times New Roman" w:eastAsia="Times New Roman" w:hAnsi="Times New Roman" w:cs="Times New Roman"/>
          <w:color w:val="000000" w:themeColor="text1"/>
          <w:sz w:val="24"/>
          <w:szCs w:val="24"/>
        </w:rPr>
        <w:t>"</w:t>
      </w:r>
      <w:r w:rsidR="00143D69" w:rsidRPr="00143D69">
        <w:rPr>
          <w:rFonts w:ascii="Times New Roman" w:eastAsia="Times New Roman" w:hAnsi="Times New Roman" w:cs="Times New Roman"/>
          <w:color w:val="000000" w:themeColor="text1"/>
          <w:sz w:val="24"/>
          <w:szCs w:val="24"/>
        </w:rPr>
        <w:t xml:space="preserve"> has its origins in a corpus of work concerned with student involvement</w:t>
      </w:r>
      <w:r w:rsidR="00143D69">
        <w:rPr>
          <w:rFonts w:ascii="Times New Roman" w:eastAsia="Times New Roman" w:hAnsi="Times New Roman" w:cs="Times New Roman"/>
          <w:color w:val="000000" w:themeColor="text1"/>
          <w:sz w:val="24"/>
          <w:szCs w:val="24"/>
        </w:rPr>
        <w:t>. It</w:t>
      </w:r>
      <w:r w:rsidR="00143D69" w:rsidRPr="00143D69">
        <w:rPr>
          <w:rFonts w:ascii="Times New Roman" w:eastAsia="Times New Roman" w:hAnsi="Times New Roman" w:cs="Times New Roman"/>
          <w:color w:val="000000" w:themeColor="text1"/>
          <w:sz w:val="24"/>
          <w:szCs w:val="24"/>
        </w:rPr>
        <w:t xml:space="preserve"> is now widely used, particularly in North America and Australasia, where </w:t>
      </w:r>
      <w:r w:rsidR="00143D69">
        <w:rPr>
          <w:rFonts w:ascii="Times New Roman" w:eastAsia="Times New Roman" w:hAnsi="Times New Roman" w:cs="Times New Roman"/>
          <w:color w:val="000000" w:themeColor="text1"/>
          <w:sz w:val="24"/>
          <w:szCs w:val="24"/>
        </w:rPr>
        <w:t>yearly large-scale national surveys have firmly established it</w:t>
      </w:r>
      <w:r w:rsidR="00143D69" w:rsidRPr="00143D69">
        <w:rPr>
          <w:rFonts w:ascii="Times New Roman" w:eastAsia="Times New Roman" w:hAnsi="Times New Roman" w:cs="Times New Roman"/>
          <w:color w:val="000000" w:themeColor="text1"/>
          <w:sz w:val="24"/>
          <w:szCs w:val="24"/>
        </w:rPr>
        <w:t>. The most prolific authors (in particular,</w:t>
      </w:r>
      <w:r w:rsidR="00143D69">
        <w:rPr>
          <w:rFonts w:ascii="Times New Roman" w:eastAsia="Times New Roman" w:hAnsi="Times New Roman" w:cs="Times New Roman"/>
          <w:color w:val="000000" w:themeColor="text1"/>
          <w:sz w:val="24"/>
          <w:szCs w:val="24"/>
        </w:rPr>
        <w:t xml:space="preserve"> </w:t>
      </w:r>
      <w:r w:rsidR="00143D69">
        <w:rPr>
          <w:rFonts w:ascii="Times New Roman" w:eastAsia="Times New Roman" w:hAnsi="Times New Roman" w:cs="Times New Roman"/>
          <w:color w:val="000000" w:themeColor="text1"/>
          <w:sz w:val="24"/>
          <w:szCs w:val="24"/>
        </w:rPr>
        <w:fldChar w:fldCharType="begin"/>
      </w:r>
      <w:r w:rsidR="00143D69">
        <w:rPr>
          <w:rFonts w:ascii="Times New Roman" w:eastAsia="Times New Roman" w:hAnsi="Times New Roman" w:cs="Times New Roman"/>
          <w:color w:val="000000" w:themeColor="text1"/>
          <w:sz w:val="24"/>
          <w:szCs w:val="24"/>
        </w:rPr>
        <w:instrText xml:space="preserve"> ADDIN ZOTERO_ITEM CSL_CITATION {"citationID":"c3G53XD4","properties":{"formattedCitation":"({\\i{}What the U.S. (and Rest of the World) Should Know About Higher Education in China: Change: The Magazine of Higher Learning: Vol 51, No 3}, n.d.)","plainCitation":"(What the U.S. (and Rest of the World) Should Know About Higher Education in China: Change: The Magazine of Higher Learning: Vol 51, No 3, n.d.)","noteIndex":0},"citationItems":[{"id":61,"uris":["http://zotero.org/users/local/SRh9d10S/items/9BW8NI8V"],"uri":["http://zotero.org/users/local/SRh9d10S/items/9BW8NI8V"],"itemData":{"id":61,"type":"webpage","title":"What the U.S. (and Rest of the World) Should Know About Higher Education in China: Change: The Magazine of Higher Learning: Vol 51, No 3","URL":"https://www.tandfonline.com/doi/abs/10.1080/00091383.2019.1606571","accessed":{"date-parts":[["2021",8,21]]}}}],"schema":"https://github.com/citation-style-language/schema/raw/master/csl-citation.json"} </w:instrText>
      </w:r>
      <w:r w:rsidR="00143D69">
        <w:rPr>
          <w:rFonts w:ascii="Times New Roman" w:eastAsia="Times New Roman" w:hAnsi="Times New Roman" w:cs="Times New Roman"/>
          <w:color w:val="000000" w:themeColor="text1"/>
          <w:sz w:val="24"/>
          <w:szCs w:val="24"/>
        </w:rPr>
        <w:fldChar w:fldCharType="separate"/>
      </w:r>
      <w:r w:rsidR="00143D69" w:rsidRPr="00143D69">
        <w:rPr>
          <w:rFonts w:ascii="Times New Roman" w:hAnsi="Times New Roman" w:cs="Times New Roman"/>
          <w:color w:val="000000"/>
          <w:sz w:val="24"/>
          <w:szCs w:val="24"/>
          <w:lang w:val="en-GB"/>
        </w:rPr>
        <w:t>(</w:t>
      </w:r>
      <w:r w:rsidR="00143D69" w:rsidRPr="00143D69">
        <w:rPr>
          <w:rFonts w:ascii="Times New Roman" w:hAnsi="Times New Roman" w:cs="Times New Roman"/>
          <w:i/>
          <w:iCs/>
          <w:color w:val="000000"/>
          <w:sz w:val="24"/>
          <w:szCs w:val="24"/>
          <w:lang w:val="en-GB"/>
        </w:rPr>
        <w:t>What the U.S. (and Rest of the World) Should Know About Higher Education in China: Change: The Magazine of Higher Learning: Vol 51, No 3</w:t>
      </w:r>
      <w:r w:rsidR="00143D69" w:rsidRPr="00143D69">
        <w:rPr>
          <w:rFonts w:ascii="Times New Roman" w:hAnsi="Times New Roman" w:cs="Times New Roman"/>
          <w:color w:val="000000"/>
          <w:sz w:val="24"/>
          <w:szCs w:val="24"/>
          <w:lang w:val="en-GB"/>
        </w:rPr>
        <w:t>, n.d.)</w:t>
      </w:r>
      <w:r w:rsidR="00143D69">
        <w:rPr>
          <w:rFonts w:ascii="Times New Roman" w:eastAsia="Times New Roman" w:hAnsi="Times New Roman" w:cs="Times New Roman"/>
          <w:color w:val="000000" w:themeColor="text1"/>
          <w:sz w:val="24"/>
          <w:szCs w:val="24"/>
        </w:rPr>
        <w:fldChar w:fldCharType="end"/>
      </w:r>
      <w:r w:rsidR="00143D69" w:rsidRPr="00143D69">
        <w:rPr>
          <w:rFonts w:ascii="Times New Roman" w:eastAsia="Times New Roman" w:hAnsi="Times New Roman" w:cs="Times New Roman"/>
          <w:color w:val="000000" w:themeColor="text1"/>
          <w:sz w:val="24"/>
          <w:szCs w:val="24"/>
        </w:rPr>
        <w:t xml:space="preserve"> have affiliations to the organizations that devised, executed, and supported these nationwide student engagement surveys, which are housed in universities or commercial businesses.</w:t>
      </w:r>
      <w:r w:rsidR="00143D69">
        <w:rPr>
          <w:rFonts w:ascii="Times New Roman" w:eastAsia="Times New Roman" w:hAnsi="Times New Roman" w:cs="Times New Roman"/>
          <w:color w:val="000000" w:themeColor="text1"/>
          <w:sz w:val="24"/>
          <w:szCs w:val="24"/>
        </w:rPr>
        <w:t xml:space="preserve"> </w:t>
      </w:r>
      <w:r w:rsidR="00143D69">
        <w:rPr>
          <w:rFonts w:ascii="Times New Roman" w:eastAsia="Times New Roman" w:hAnsi="Times New Roman" w:cs="Times New Roman"/>
          <w:color w:val="000000" w:themeColor="text1"/>
          <w:sz w:val="24"/>
          <w:szCs w:val="24"/>
        </w:rPr>
        <w:fldChar w:fldCharType="begin"/>
      </w:r>
      <w:r w:rsidR="00143D69">
        <w:rPr>
          <w:rFonts w:ascii="Times New Roman" w:eastAsia="Times New Roman" w:hAnsi="Times New Roman" w:cs="Times New Roman"/>
          <w:color w:val="000000" w:themeColor="text1"/>
          <w:sz w:val="24"/>
          <w:szCs w:val="24"/>
        </w:rPr>
        <w:instrText xml:space="preserve"> ADDIN ZOTERO_ITEM CSL_CITATION {"citationID":"LGc6TzLa","properties":{"formattedCitation":"(Trowler, n.d.)","plainCitation":"(Trowler, n.d.)","noteIndex":0},"citationItems":[{"id":60,"uris":["http://zotero.org/users/local/SRh9d10S/items/ICAEDVQH"],"uri":["http://zotero.org/users/local/SRh9d10S/items/ICAEDVQH"],"itemData":{"id":60,"type":"article-journal","language":"en","page":"75","source":"Zotero","title":"Student engagement literature review","author":[{"family":"Trowler","given":"Vicki"}]}}],"schema":"https://github.com/citation-style-language/schema/raw/master/csl-citation.json"} </w:instrText>
      </w:r>
      <w:r w:rsidR="00143D69">
        <w:rPr>
          <w:rFonts w:ascii="Times New Roman" w:eastAsia="Times New Roman" w:hAnsi="Times New Roman" w:cs="Times New Roman"/>
          <w:color w:val="000000" w:themeColor="text1"/>
          <w:sz w:val="24"/>
          <w:szCs w:val="24"/>
        </w:rPr>
        <w:fldChar w:fldCharType="separate"/>
      </w:r>
      <w:r w:rsidR="00143D69">
        <w:rPr>
          <w:rFonts w:ascii="Times New Roman" w:eastAsia="Times New Roman" w:hAnsi="Times New Roman" w:cs="Times New Roman"/>
          <w:noProof/>
          <w:color w:val="000000" w:themeColor="text1"/>
          <w:sz w:val="24"/>
          <w:szCs w:val="24"/>
        </w:rPr>
        <w:t>(Trowler, n.d.)</w:t>
      </w:r>
      <w:r w:rsidR="00143D69">
        <w:rPr>
          <w:rFonts w:ascii="Times New Roman" w:eastAsia="Times New Roman" w:hAnsi="Times New Roman" w:cs="Times New Roman"/>
          <w:color w:val="000000" w:themeColor="text1"/>
          <w:sz w:val="24"/>
          <w:szCs w:val="24"/>
        </w:rPr>
        <w:fldChar w:fldCharType="end"/>
      </w:r>
    </w:p>
    <w:p w14:paraId="053D94A0" w14:textId="057FFFD5" w:rsidR="00EC193F" w:rsidRDefault="1D0A6485" w:rsidP="00055C57">
      <w:pPr>
        <w:jc w:val="both"/>
        <w:rPr>
          <w:rFonts w:ascii="Times New Roman" w:eastAsia="Times New Roman" w:hAnsi="Times New Roman" w:cs="Times New Roman"/>
          <w:color w:val="000000" w:themeColor="text1"/>
          <w:sz w:val="24"/>
          <w:szCs w:val="24"/>
          <w:lang w:val="en"/>
        </w:rPr>
      </w:pPr>
      <w:r w:rsidRPr="1D0A6485">
        <w:rPr>
          <w:rFonts w:ascii="Times New Roman" w:eastAsia="Times New Roman" w:hAnsi="Times New Roman" w:cs="Times New Roman"/>
          <w:color w:val="000000" w:themeColor="text1"/>
          <w:sz w:val="24"/>
          <w:szCs w:val="24"/>
          <w:lang w:val="en"/>
        </w:rPr>
        <w:t xml:space="preserve">A variety of factors can influence </w:t>
      </w:r>
      <w:r w:rsidR="00143D69">
        <w:rPr>
          <w:rFonts w:ascii="Times New Roman" w:eastAsia="Times New Roman" w:hAnsi="Times New Roman" w:cs="Times New Roman"/>
          <w:color w:val="000000" w:themeColor="text1"/>
          <w:sz w:val="24"/>
          <w:szCs w:val="24"/>
          <w:lang w:val="en"/>
        </w:rPr>
        <w:t>students'</w:t>
      </w:r>
      <w:r w:rsidRPr="1D0A6485">
        <w:rPr>
          <w:rFonts w:ascii="Times New Roman" w:eastAsia="Times New Roman" w:hAnsi="Times New Roman" w:cs="Times New Roman"/>
          <w:color w:val="000000" w:themeColor="text1"/>
          <w:sz w:val="24"/>
          <w:szCs w:val="24"/>
          <w:lang w:val="en"/>
        </w:rPr>
        <w:t xml:space="preserve"> engagement with Online classes. For example,  </w:t>
      </w:r>
      <w:r w:rsidR="00C37C3D" w:rsidRPr="1D0A6485">
        <w:rPr>
          <w:rFonts w:ascii="Times New Roman" w:eastAsia="Times New Roman" w:hAnsi="Times New Roman" w:cs="Times New Roman"/>
          <w:color w:val="000000" w:themeColor="text1"/>
          <w:sz w:val="24"/>
          <w:szCs w:val="24"/>
          <w:lang w:val="en"/>
        </w:rPr>
        <w:fldChar w:fldCharType="begin"/>
      </w:r>
      <w:r w:rsidR="00877FE3">
        <w:rPr>
          <w:rFonts w:ascii="Times New Roman" w:eastAsia="Times New Roman" w:hAnsi="Times New Roman" w:cs="Times New Roman"/>
          <w:color w:val="000000" w:themeColor="text1"/>
          <w:sz w:val="24"/>
          <w:szCs w:val="24"/>
          <w:lang w:val="en"/>
        </w:rPr>
        <w:instrText xml:space="preserve"> ADDIN ZOTERO_ITEM CSL_CITATION {"citationID":"afN67IjJ","properties":{"formattedCitation":"(Visser et al., 2014)","plainCitation":"(Visser et al., 2014)","dontUpdate":true,"noteIndex":0},"citationItems":[{"id":25,"uris":["http://zotero.org/users/local/SRh9d10S/items/8Y2KP3UE"],"uri":["http://zotero.org/users/local/SRh9d10S/items/8Y2KP3UE"],"itemData":{"id":25,"type":"article-journal","abstract":"Objective\nData from the 2003 and 2007 National Survey of Children’s Health (NSCH) reflect the increasing prevalence of parent-reported attention-deficit/hyperactivity disorder (ADHD) diagnosis and treatment by health care providers. This report updates these prevalence estimates for 2011 and describes temporal trends.\nMethod\nWeighted analyses were conducted with 2011 NSCH data to estimate prevalence of parent-reported ADHD diagnosis, current ADHD, current medication treatment, ADHD severity, and mean age of diagnosis for U.S. children/adolescents aged 4 to 17 years and among demographic subgroups. A history of ADHD diagnosis (2003–2011), as well as current ADHD and medication treatment prevalence (2007–2011), were compared using prevalence ratios and 95% confidence intervals.\nResults\nIn 2011, 11% of children/adolescents aged 4 to 17 years had ever received an ADHD diagnosis (6.4 million children). Among those with a history of ADHD diagnosis, 83% were reported as currently having ADHD (8.8%); 69% of children with current ADHD were taking medication for ADHD (6.1%, 3.5 million children). A parent-reported history of ADHD increased by 42% from 2003 to 2011. Prevalence of a history of ADHD, current ADHD, medicated ADHD, and moderate/severe ADHD increased significantly from 2007 estimates. Prevalence of medicated ADHD increased by 28% from 2007 to 2011.\nConclusions\nApproximately 2 million more U.S. children/adolescents aged 4 to 17 years had been diagnosed with ADHD in 2011, compared to 2003. More than two-thirds of those with current ADHD were taking medication for treatment in 2011. This suggests an increasing burden of ADHD on the U.S. health care system. Efforts to further understand ADHD diagnostic and treatment patterns are warranted.","container-title":"Journal of the American Academy of Child &amp; Adolescent Psychiatry","DOI":"10.1016/j.jaac.2013.09.001","ISSN":"0890-8567","issue":"1","journalAbbreviation":"Journal of the American Academy of Child &amp; Adolescent Psychiatry","language":"en","page":"34-46.e2","source":"ScienceDirect","title":"Trends in the Parent-Report of Health Care Provider-Diagnosed and Medicated Attention-Deficit/Hyperactivity Disorder: United States, 2003–2011","title-short":"Trends in the Parent-Report of Health Care Provider-Diagnosed and Medicated Attention-Deficit/Hyperactivity Disorder","volume":"53","author":[{"family":"Visser","given":"Susanna N."},{"family":"Danielson","given":"Melissa L."},{"family":"Bitsko","given":"Rebecca H."},{"family":"Holbrook","given":"Joseph R."},{"family":"Kogan","given":"Michael D."},{"family":"Ghandour","given":"Reem M."},{"family":"Perou","given":"Ruth"},{"family":"Blumberg","given":"Stephen J."}],"issued":{"date-parts":[["2014",1,1]]}}}],"schema":"https://github.com/citation-style-language/schema/raw/master/csl-citation.json"} </w:instrText>
      </w:r>
      <w:r w:rsidR="00C37C3D" w:rsidRPr="1D0A6485">
        <w:rPr>
          <w:rFonts w:ascii="Times New Roman" w:eastAsia="Times New Roman" w:hAnsi="Times New Roman" w:cs="Times New Roman"/>
          <w:color w:val="000000" w:themeColor="text1"/>
          <w:sz w:val="24"/>
          <w:szCs w:val="24"/>
          <w:lang w:val="en"/>
        </w:rPr>
        <w:fldChar w:fldCharType="separate"/>
      </w:r>
      <w:r w:rsidRPr="1D0A6485">
        <w:rPr>
          <w:rFonts w:ascii="Times New Roman" w:eastAsia="Times New Roman" w:hAnsi="Times New Roman" w:cs="Times New Roman"/>
          <w:noProof/>
          <w:color w:val="000000" w:themeColor="text1"/>
          <w:sz w:val="24"/>
          <w:szCs w:val="24"/>
          <w:lang w:val="en"/>
        </w:rPr>
        <w:t xml:space="preserve">Visser et al. </w:t>
      </w:r>
      <w:r w:rsidR="00747F71">
        <w:rPr>
          <w:rFonts w:ascii="Times New Roman" w:eastAsia="Times New Roman" w:hAnsi="Times New Roman" w:cs="Times New Roman"/>
          <w:noProof/>
          <w:color w:val="000000" w:themeColor="text1"/>
          <w:sz w:val="24"/>
          <w:szCs w:val="24"/>
          <w:lang w:val="en"/>
        </w:rPr>
        <w:t>(</w:t>
      </w:r>
      <w:r w:rsidRPr="1D0A6485">
        <w:rPr>
          <w:rFonts w:ascii="Times New Roman" w:eastAsia="Times New Roman" w:hAnsi="Times New Roman" w:cs="Times New Roman"/>
          <w:noProof/>
          <w:color w:val="000000" w:themeColor="text1"/>
          <w:sz w:val="24"/>
          <w:szCs w:val="24"/>
          <w:lang w:val="en"/>
        </w:rPr>
        <w:t>2014)</w:t>
      </w:r>
      <w:r w:rsidR="00C37C3D" w:rsidRPr="1D0A6485">
        <w:rPr>
          <w:rFonts w:ascii="Times New Roman" w:eastAsia="Times New Roman" w:hAnsi="Times New Roman" w:cs="Times New Roman"/>
          <w:color w:val="000000" w:themeColor="text1"/>
          <w:sz w:val="24"/>
          <w:szCs w:val="24"/>
          <w:lang w:val="en"/>
        </w:rPr>
        <w:fldChar w:fldCharType="end"/>
      </w:r>
      <w:r w:rsidRPr="1D0A6485">
        <w:rPr>
          <w:rFonts w:ascii="Times New Roman" w:eastAsia="Times New Roman" w:hAnsi="Times New Roman" w:cs="Times New Roman"/>
          <w:color w:val="000000" w:themeColor="text1"/>
          <w:sz w:val="24"/>
          <w:szCs w:val="24"/>
          <w:lang w:val="en"/>
        </w:rPr>
        <w:t xml:space="preserve"> found that students are more likely to attend lectures in courses offered in a short amount of time, are primarily lecture-driven, and feature content not available in other media. </w:t>
      </w:r>
      <w:r w:rsidR="00C37C3D" w:rsidRPr="1D0A6485">
        <w:rPr>
          <w:rFonts w:ascii="Times New Roman" w:eastAsia="Times New Roman" w:hAnsi="Times New Roman" w:cs="Times New Roman"/>
          <w:color w:val="000000" w:themeColor="text1"/>
          <w:sz w:val="24"/>
          <w:szCs w:val="24"/>
          <w:lang w:val="en"/>
        </w:rPr>
        <w:fldChar w:fldCharType="begin"/>
      </w:r>
      <w:r w:rsidR="00877FE3">
        <w:rPr>
          <w:rFonts w:ascii="Times New Roman" w:eastAsia="Times New Roman" w:hAnsi="Times New Roman" w:cs="Times New Roman"/>
          <w:color w:val="000000" w:themeColor="text1"/>
          <w:sz w:val="24"/>
          <w:szCs w:val="24"/>
          <w:lang w:val="en"/>
        </w:rPr>
        <w:instrText xml:space="preserve"> ADDIN ZOTERO_ITEM CSL_CITATION {"citationID":"6D48vOEe","properties":{"formattedCitation":"(Edwards &amp; Clinton, 2019)","plainCitation":"(Edwards &amp; Clinton, 2019)","dontUpdate":true,"noteIndex":0},"citationItems":[{"id":18,"uris":["http://zotero.org/users/local/SRh9d10S/items/RXT9UND7"],"uri":["http://zotero.org/users/local/SRh9d10S/items/RXT9UND7"],"itemData":{"id":18,"type":"article-journal","abstract":"Lecture capture is widely used within higher education as a means of recording lecture material for online student viewing. However, there is some uncertainty around whether this is a uniformly positive development for students. The current study examines the impact of lecture capture introduction and usage in a compulsory second year research methods module in a undergraduate BSc degree. Data collected from a matched cohort before (N = 161) and after (N = 160) lecture capture introduction showed that attendance substantially dropped in three matched lectures after capture became available. Attendance, which predicts higher attainment (controlling for students’ previous grade and gender), mediates a negative relationship between lecture capture availability and attainment. Lecture capture viewing shows no significant relationship with attainment whilst factoring in lecture attendance; capture viewing also fails to compensate for the impact that low attendance has on attainment. Thus, the net effect of lecture capture introduction on the cohort is generally negative; the study serves as a useful example (that can be communicated students) of the pitfalls of an over-reliance on lecture capture as a replacement for lecture attendance.","container-title":"Higher Education","DOI":"10.1007/s10734-018-0275-9","ISSN":"1573-174X","issue":"3","journalAbbreviation":"High Educ","language":"en","page":"403-421","source":"Springer Link","title":"A study exploring the impact of lecture capture availability and lecture capture usage on student attendance and attainment","volume":"77","author":[{"family":"Edwards","given":"Martin R."},{"family":"Clinton","given":"Michael E."}],"issued":{"date-parts":[["2019",3,1]]}}}],"schema":"https://github.com/citation-style-language/schema/raw/master/csl-citation.json"} </w:instrText>
      </w:r>
      <w:r w:rsidR="00C37C3D" w:rsidRPr="1D0A6485">
        <w:rPr>
          <w:rFonts w:ascii="Times New Roman" w:eastAsia="Times New Roman" w:hAnsi="Times New Roman" w:cs="Times New Roman"/>
          <w:color w:val="000000" w:themeColor="text1"/>
          <w:sz w:val="24"/>
          <w:szCs w:val="24"/>
          <w:lang w:val="en"/>
        </w:rPr>
        <w:fldChar w:fldCharType="separate"/>
      </w:r>
      <w:r w:rsidRPr="1D0A6485">
        <w:rPr>
          <w:rFonts w:ascii="Times New Roman" w:eastAsia="Times New Roman" w:hAnsi="Times New Roman" w:cs="Times New Roman"/>
          <w:noProof/>
          <w:color w:val="000000" w:themeColor="text1"/>
          <w:sz w:val="24"/>
          <w:szCs w:val="24"/>
          <w:lang w:val="en"/>
        </w:rPr>
        <w:t xml:space="preserve">Edwards &amp; Clinton, </w:t>
      </w:r>
      <w:r w:rsidR="00C37C3D" w:rsidRPr="1D0A6485">
        <w:rPr>
          <w:rFonts w:ascii="Times New Roman" w:eastAsia="Times New Roman" w:hAnsi="Times New Roman" w:cs="Times New Roman"/>
          <w:color w:val="000000" w:themeColor="text1"/>
          <w:sz w:val="24"/>
          <w:szCs w:val="24"/>
          <w:lang w:val="en"/>
        </w:rPr>
        <w:fldChar w:fldCharType="end"/>
      </w:r>
      <w:r w:rsidR="00747F71">
        <w:rPr>
          <w:rFonts w:ascii="Times New Roman" w:eastAsia="Times New Roman" w:hAnsi="Times New Roman" w:cs="Times New Roman"/>
          <w:color w:val="000000" w:themeColor="text1"/>
          <w:sz w:val="24"/>
          <w:szCs w:val="24"/>
          <w:lang w:val="en"/>
        </w:rPr>
        <w:t>(</w:t>
      </w:r>
      <w:r w:rsidRPr="1D0A6485">
        <w:rPr>
          <w:rFonts w:ascii="Times New Roman" w:eastAsia="Times New Roman" w:hAnsi="Times New Roman" w:cs="Times New Roman"/>
          <w:noProof/>
          <w:color w:val="000000" w:themeColor="text1"/>
          <w:sz w:val="24"/>
          <w:szCs w:val="24"/>
          <w:lang w:val="en"/>
        </w:rPr>
        <w:t>2019)</w:t>
      </w:r>
      <w:r w:rsidRPr="1D0A6485">
        <w:rPr>
          <w:rFonts w:ascii="Times New Roman" w:eastAsia="Times New Roman" w:hAnsi="Times New Roman" w:cs="Times New Roman"/>
          <w:color w:val="000000" w:themeColor="text1"/>
          <w:sz w:val="24"/>
          <w:szCs w:val="24"/>
          <w:lang w:val="en"/>
        </w:rPr>
        <w:t xml:space="preserve"> investigated </w:t>
      </w:r>
      <w:r w:rsidR="00143D69">
        <w:rPr>
          <w:rFonts w:ascii="Times New Roman" w:eastAsia="Times New Roman" w:hAnsi="Times New Roman" w:cs="Times New Roman"/>
          <w:color w:val="000000" w:themeColor="text1"/>
          <w:sz w:val="24"/>
          <w:szCs w:val="24"/>
          <w:lang w:val="en"/>
        </w:rPr>
        <w:t>students'</w:t>
      </w:r>
      <w:r w:rsidRPr="1D0A6485">
        <w:rPr>
          <w:rFonts w:ascii="Times New Roman" w:eastAsia="Times New Roman" w:hAnsi="Times New Roman" w:cs="Times New Roman"/>
          <w:color w:val="000000" w:themeColor="text1"/>
          <w:sz w:val="24"/>
          <w:szCs w:val="24"/>
          <w:lang w:val="en"/>
        </w:rPr>
        <w:t xml:space="preserve"> interaction in Online Classes and their effects on learning outcomes in a recent study. </w:t>
      </w:r>
    </w:p>
    <w:p w14:paraId="6AB61C1D" w14:textId="08A4B8AA" w:rsidR="00EC193F" w:rsidRDefault="1D0A6485" w:rsidP="00055C57">
      <w:pPr>
        <w:jc w:val="both"/>
        <w:rPr>
          <w:rFonts w:ascii="Times New Roman" w:eastAsia="Times New Roman" w:hAnsi="Times New Roman" w:cs="Times New Roman"/>
          <w:color w:val="000000" w:themeColor="text1"/>
          <w:sz w:val="24"/>
          <w:szCs w:val="24"/>
          <w:lang w:val="en"/>
        </w:rPr>
      </w:pPr>
      <w:r w:rsidRPr="1D0A6485">
        <w:rPr>
          <w:rFonts w:ascii="Times New Roman" w:eastAsia="Times New Roman" w:hAnsi="Times New Roman" w:cs="Times New Roman"/>
          <w:color w:val="000000" w:themeColor="text1"/>
          <w:sz w:val="24"/>
          <w:szCs w:val="24"/>
          <w:lang w:val="en"/>
        </w:rPr>
        <w:t xml:space="preserve">When lecture recordings were made public, they discovered that attendance on Online Lectures had plummeted dramatically. They did find, however, that students frequently engage with Online Lectures differently. </w:t>
      </w:r>
      <w:r w:rsidR="4031B14C" w:rsidRPr="1D0A6485">
        <w:rPr>
          <w:rFonts w:ascii="Times New Roman" w:eastAsia="Times New Roman" w:hAnsi="Times New Roman" w:cs="Times New Roman"/>
          <w:color w:val="000000" w:themeColor="text1"/>
          <w:sz w:val="24"/>
          <w:szCs w:val="24"/>
          <w:lang w:val="en"/>
        </w:rPr>
        <w:fldChar w:fldCharType="begin"/>
      </w:r>
      <w:r w:rsidR="00877FE3">
        <w:rPr>
          <w:rFonts w:ascii="Times New Roman" w:eastAsia="Times New Roman" w:hAnsi="Times New Roman" w:cs="Times New Roman"/>
          <w:color w:val="000000" w:themeColor="text1"/>
          <w:sz w:val="24"/>
          <w:szCs w:val="24"/>
          <w:lang w:val="en"/>
        </w:rPr>
        <w:instrText xml:space="preserve"> ADDIN ZOTERO_ITEM CSL_CITATION {"citationID":"RgQpppaK","properties":{"formattedCitation":"(Ebbert &amp; Dutke, 2020)","plainCitation":"(Ebbert &amp; Dutke, 2020)","dontUpdate":true,"noteIndex":0},"citationItems":[{"id":30,"uris":["http://zotero.org/users/local/SRh9d10S/items/X2A38JP2"],"uri":["http://zotero.org/users/local/SRh9d10S/items/X2A38JP2"],"itemData":{"id":30,"type":"article-journal","abstract":"Students' usage of lecture recordings can be characterised by usage frequency, repetitiveness and selectivity in watching, lecture attendance, and social context and location in which students watch the lecture recordings. At the University of Münster (Germany), the lecture recording service was evaluated over three semesters. The data were combined and used for a cluster analysis with the aim of being able to describe the students' distinct usage patterns. The cluster analysis was performed using partitioning around medoids with Gower distance. Five clusters of students were identified, which differed mainly on the amount of lecture recordings watched, whether the lecture recordings were watched completely or partially, whether the recordings were watched once or multiple times, and the number of lectures the students missed. The five clusters are interpreted as representing different ways of utilising lecture recordings. The clustering provides a basis for investigating the usage of lecture recordings in the context of different approaches to learning and learning strategies.","container-title":"Research in Learning Technology","DOI":"10.25304/rlt.v28.2258","ISSN":"2156-7069","language":"en","note":"publisher: Association for Learning Technology","source":"ERIC","title":"Patterns in Students' Usage of Lecture Recordings: A Cluster Analysis of Self-Report Data","title-short":"Patterns in Students' Usage of Lecture Recordings","URL":"https://eric.ed.gov/?id=EJ1244344","volume":"28","author":[{"family":"Ebbert","given":"Daniel"},{"family":"Dutke","given":"Stephan"}],"accessed":{"date-parts":[["2021",8,13]]},"issued":{"date-parts":[["2020"]]}}}],"schema":"https://github.com/citation-style-language/schema/raw/master/csl-citation.json"} </w:instrText>
      </w:r>
      <w:r w:rsidR="4031B14C" w:rsidRPr="1D0A6485">
        <w:rPr>
          <w:rFonts w:ascii="Times New Roman" w:eastAsia="Times New Roman" w:hAnsi="Times New Roman" w:cs="Times New Roman"/>
          <w:color w:val="000000" w:themeColor="text1"/>
          <w:sz w:val="24"/>
          <w:szCs w:val="24"/>
          <w:lang w:val="en"/>
        </w:rPr>
        <w:fldChar w:fldCharType="separate"/>
      </w:r>
      <w:r w:rsidRPr="1D0A6485">
        <w:rPr>
          <w:rFonts w:ascii="Times New Roman" w:eastAsia="Times New Roman" w:hAnsi="Times New Roman" w:cs="Times New Roman"/>
          <w:noProof/>
          <w:color w:val="000000" w:themeColor="text1"/>
          <w:sz w:val="24"/>
          <w:szCs w:val="24"/>
          <w:lang w:val="en"/>
        </w:rPr>
        <w:t xml:space="preserve">Ebbert &amp; Dutke, </w:t>
      </w:r>
      <w:r w:rsidR="00747F71">
        <w:rPr>
          <w:rFonts w:ascii="Times New Roman" w:eastAsia="Times New Roman" w:hAnsi="Times New Roman" w:cs="Times New Roman"/>
          <w:noProof/>
          <w:color w:val="000000" w:themeColor="text1"/>
          <w:sz w:val="24"/>
          <w:szCs w:val="24"/>
          <w:lang w:val="en"/>
        </w:rPr>
        <w:t>(</w:t>
      </w:r>
      <w:r w:rsidRPr="1D0A6485">
        <w:rPr>
          <w:rFonts w:ascii="Times New Roman" w:eastAsia="Times New Roman" w:hAnsi="Times New Roman" w:cs="Times New Roman"/>
          <w:noProof/>
          <w:color w:val="000000" w:themeColor="text1"/>
          <w:sz w:val="24"/>
          <w:szCs w:val="24"/>
          <w:lang w:val="en"/>
        </w:rPr>
        <w:t>2020)</w:t>
      </w:r>
      <w:r w:rsidR="4031B14C" w:rsidRPr="1D0A6485">
        <w:rPr>
          <w:rFonts w:ascii="Times New Roman" w:eastAsia="Times New Roman" w:hAnsi="Times New Roman" w:cs="Times New Roman"/>
          <w:color w:val="000000" w:themeColor="text1"/>
          <w:sz w:val="24"/>
          <w:szCs w:val="24"/>
          <w:lang w:val="en"/>
        </w:rPr>
        <w:fldChar w:fldCharType="end"/>
      </w:r>
      <w:r w:rsidRPr="1D0A6485">
        <w:rPr>
          <w:rFonts w:ascii="Times New Roman" w:eastAsia="Times New Roman" w:hAnsi="Times New Roman" w:cs="Times New Roman"/>
          <w:color w:val="000000" w:themeColor="text1"/>
          <w:sz w:val="24"/>
          <w:szCs w:val="24"/>
          <w:lang w:val="en"/>
        </w:rPr>
        <w:t xml:space="preserve"> backed this up by stating that students who employ deep learning use lecture recordings as supplemental learning tools and are highly engaged in their studies.</w:t>
      </w:r>
      <w:r w:rsidR="00800F00">
        <w:rPr>
          <w:rFonts w:ascii="Times New Roman" w:eastAsia="Times New Roman" w:hAnsi="Times New Roman" w:cs="Times New Roman"/>
          <w:color w:val="000000" w:themeColor="text1"/>
          <w:sz w:val="24"/>
          <w:szCs w:val="24"/>
          <w:lang w:val="en"/>
        </w:rPr>
        <w:t xml:space="preserve"> </w:t>
      </w:r>
      <w:r w:rsidRPr="1D0A6485">
        <w:rPr>
          <w:rFonts w:ascii="Times New Roman" w:eastAsia="Times New Roman" w:hAnsi="Times New Roman" w:cs="Times New Roman"/>
          <w:color w:val="000000" w:themeColor="text1"/>
          <w:sz w:val="24"/>
          <w:szCs w:val="24"/>
          <w:lang w:val="en"/>
        </w:rPr>
        <w:t>However, the curriculum developed with online lectures in mind can have a greater engagement rate than conventional methods that are just online. This provides an excellent outline of how the low engagement score and somewhat negative sentiment can be mitigated</w:t>
      </w:r>
      <w:r w:rsidR="00BF581F">
        <w:rPr>
          <w:rFonts w:ascii="Times New Roman" w:eastAsia="Times New Roman" w:hAnsi="Times New Roman" w:cs="Times New Roman"/>
          <w:color w:val="000000" w:themeColor="text1"/>
          <w:sz w:val="24"/>
          <w:szCs w:val="24"/>
          <w:lang w:val="en"/>
        </w:rPr>
        <w:t>.</w:t>
      </w:r>
    </w:p>
    <w:p w14:paraId="23E5C6E9" w14:textId="1F86F863" w:rsidR="00BF581F" w:rsidRPr="00055C57" w:rsidRDefault="00143D69" w:rsidP="00055C57">
      <w:pPr>
        <w:jc w:val="both"/>
        <w:rPr>
          <w:rFonts w:ascii="Times New Roman" w:eastAsia="Times New Roman" w:hAnsi="Times New Roman" w:cs="Times New Roman"/>
          <w:color w:val="000000" w:themeColor="text1"/>
          <w:sz w:val="24"/>
          <w:szCs w:val="24"/>
        </w:rPr>
      </w:pPr>
      <w:r w:rsidRPr="00143D69">
        <w:rPr>
          <w:rFonts w:ascii="Times New Roman" w:eastAsia="Times New Roman" w:hAnsi="Times New Roman" w:cs="Times New Roman"/>
          <w:color w:val="000000" w:themeColor="text1"/>
          <w:sz w:val="24"/>
          <w:szCs w:val="24"/>
        </w:rPr>
        <w:t xml:space="preserve">A more comprehensive picture would thus necessitate a thorough examination of the areas mentioned above that are potentially related to student engagement (including, but not limited to, student feedback, student representation, student approaches to learning, institutional organization, learning spaces, architectural design, and learning development), as well as the literature tagged as </w:t>
      </w:r>
      <w:r>
        <w:rPr>
          <w:rFonts w:ascii="Times New Roman" w:eastAsia="Times New Roman" w:hAnsi="Times New Roman" w:cs="Times New Roman"/>
          <w:color w:val="000000" w:themeColor="text1"/>
          <w:sz w:val="24"/>
          <w:szCs w:val="24"/>
        </w:rPr>
        <w:t>"</w:t>
      </w:r>
      <w:r w:rsidRPr="00143D69">
        <w:rPr>
          <w:rFonts w:ascii="Times New Roman" w:eastAsia="Times New Roman" w:hAnsi="Times New Roman" w:cs="Times New Roman"/>
          <w:color w:val="000000" w:themeColor="text1"/>
          <w:sz w:val="24"/>
          <w:szCs w:val="24"/>
        </w:rPr>
        <w:t>student engagement.</w:t>
      </w:r>
      <w:r>
        <w:rPr>
          <w:rFonts w:ascii="Times New Roman" w:eastAsia="Times New Roman" w:hAnsi="Times New Roman" w:cs="Times New Roman"/>
          <w:color w:val="000000" w:themeColor="text1"/>
          <w:sz w:val="24"/>
          <w:szCs w:val="24"/>
        </w:rPr>
        <w:t xml:space="preserve">" </w:t>
      </w:r>
      <w:r w:rsidRPr="00143D69">
        <w:rPr>
          <w:rFonts w:ascii="Times New Roman" w:eastAsia="Times New Roman" w:hAnsi="Times New Roman" w:cs="Times New Roman"/>
          <w:color w:val="000000" w:themeColor="text1"/>
          <w:sz w:val="24"/>
          <w:szCs w:val="24"/>
        </w:rPr>
        <w:t xml:space="preserve">This, however, was outside the scope of this project and would be a massive undertaking. As a result, our assessment focuses on publications </w:t>
      </w:r>
      <w:r>
        <w:rPr>
          <w:rFonts w:ascii="Times New Roman" w:eastAsia="Times New Roman" w:hAnsi="Times New Roman" w:cs="Times New Roman"/>
          <w:color w:val="000000" w:themeColor="text1"/>
          <w:sz w:val="24"/>
          <w:szCs w:val="24"/>
        </w:rPr>
        <w:t>behind</w:t>
      </w:r>
      <w:r w:rsidRPr="00143D69">
        <w:rPr>
          <w:rFonts w:ascii="Times New Roman" w:eastAsia="Times New Roman" w:hAnsi="Times New Roman" w:cs="Times New Roman"/>
          <w:color w:val="000000" w:themeColor="text1"/>
          <w:sz w:val="24"/>
          <w:szCs w:val="24"/>
        </w:rPr>
        <w:t xml:space="preserve"> student engagement by their authors rather than any publication that substantively addresses issues within our definition.</w:t>
      </w:r>
      <w:r>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fldChar w:fldCharType="begin"/>
      </w:r>
      <w:r>
        <w:rPr>
          <w:rFonts w:ascii="Times New Roman" w:eastAsia="Times New Roman" w:hAnsi="Times New Roman" w:cs="Times New Roman"/>
          <w:color w:val="000000" w:themeColor="text1"/>
          <w:sz w:val="24"/>
          <w:szCs w:val="24"/>
        </w:rPr>
        <w:instrText xml:space="preserve"> ADDIN ZOTERO_ITEM CSL_CITATION {"citationID":"uMj06BFL","properties":{"formattedCitation":"(Trowler, n.d.)","plainCitation":"(Trowler, n.d.)","noteIndex":0},"citationItems":[{"id":60,"uris":["http://zotero.org/users/local/SRh9d10S/items/ICAEDVQH"],"uri":["http://zotero.org/users/local/SRh9d10S/items/ICAEDVQH"],"itemData":{"id":60,"type":"article-journal","language":"en","page":"75","source":"Zotero","title":"Student engagement literature review","author":[{"family":"Trowler","given":"Vicki"}]}}],"schema":"https://github.com/citation-style-language/schema/raw/master/csl-citation.json"} </w:instrText>
      </w:r>
      <w:r>
        <w:rPr>
          <w:rFonts w:ascii="Times New Roman" w:eastAsia="Times New Roman" w:hAnsi="Times New Roman" w:cs="Times New Roman"/>
          <w:color w:val="000000" w:themeColor="text1"/>
          <w:sz w:val="24"/>
          <w:szCs w:val="24"/>
        </w:rPr>
        <w:fldChar w:fldCharType="separate"/>
      </w:r>
      <w:r>
        <w:rPr>
          <w:rFonts w:ascii="Times New Roman" w:eastAsia="Times New Roman" w:hAnsi="Times New Roman" w:cs="Times New Roman"/>
          <w:noProof/>
          <w:color w:val="000000" w:themeColor="text1"/>
          <w:sz w:val="24"/>
          <w:szCs w:val="24"/>
        </w:rPr>
        <w:t>(Trowler, n.d.)</w:t>
      </w:r>
      <w:r>
        <w:rPr>
          <w:rFonts w:ascii="Times New Roman" w:eastAsia="Times New Roman" w:hAnsi="Times New Roman" w:cs="Times New Roman"/>
          <w:color w:val="000000" w:themeColor="text1"/>
          <w:sz w:val="24"/>
          <w:szCs w:val="24"/>
        </w:rPr>
        <w:fldChar w:fldCharType="end"/>
      </w:r>
      <w:r>
        <w:rPr>
          <w:rFonts w:ascii="Times New Roman" w:eastAsia="Times New Roman" w:hAnsi="Times New Roman" w:cs="Times New Roman"/>
          <w:color w:val="000000" w:themeColor="text1"/>
          <w:sz w:val="24"/>
          <w:szCs w:val="24"/>
        </w:rPr>
        <w:t xml:space="preserve"> </w:t>
      </w:r>
    </w:p>
    <w:p w14:paraId="3382455A" w14:textId="66D4B4FD" w:rsidR="00132F50" w:rsidRDefault="1D0A6485" w:rsidP="00762861">
      <w:pPr>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b/>
          <w:bCs/>
          <w:color w:val="000000" w:themeColor="text1"/>
          <w:sz w:val="24"/>
          <w:szCs w:val="24"/>
          <w:lang w:val="en"/>
        </w:rPr>
        <w:t xml:space="preserve">3. Methodology </w:t>
      </w:r>
    </w:p>
    <w:p w14:paraId="51477041" w14:textId="731E66D3" w:rsidR="00132F50" w:rsidRDefault="1D0A6485" w:rsidP="0D7ACBD8">
      <w:pPr>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 xml:space="preserve">This study is based on primary data. A survey research approach guided the investigation, including an online structured questionnaire with closed and open-ended questions. The quantitative data was utilized to explain the qualitative measures and provide context for the </w:t>
      </w:r>
      <w:r w:rsidR="00143D69">
        <w:rPr>
          <w:rFonts w:ascii="Times New Roman" w:eastAsia="Times New Roman" w:hAnsi="Times New Roman" w:cs="Times New Roman"/>
          <w:color w:val="000000" w:themeColor="text1"/>
          <w:sz w:val="24"/>
          <w:szCs w:val="24"/>
          <w:lang w:val="en"/>
        </w:rPr>
        <w:t>results'</w:t>
      </w:r>
      <w:r w:rsidRPr="1D0A6485">
        <w:rPr>
          <w:rFonts w:ascii="Times New Roman" w:eastAsia="Times New Roman" w:hAnsi="Times New Roman" w:cs="Times New Roman"/>
          <w:color w:val="000000" w:themeColor="text1"/>
          <w:sz w:val="24"/>
          <w:szCs w:val="24"/>
          <w:lang w:val="en"/>
        </w:rPr>
        <w:t xml:space="preserve"> interpretation (n = 263). Profiles of university-wide courses that provided students with access to recorded lecture materials were used in the recruitment process. Following ethical approval, academic staff responsible for different courses were asked to email students to participate in an online survey on the importance of online classes. A total of 263 students took part in the survey freely. </w:t>
      </w:r>
    </w:p>
    <w:p w14:paraId="305D26D6" w14:textId="04D883C7" w:rsidR="00132F50" w:rsidRDefault="1D0A6485" w:rsidP="0D7ACBD8">
      <w:pPr>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lastRenderedPageBreak/>
        <w:t xml:space="preserve">The azure machine learning (AML) has been used to analyze the </w:t>
      </w:r>
      <w:r w:rsidR="00143D69">
        <w:rPr>
          <w:rFonts w:ascii="Times New Roman" w:eastAsia="Times New Roman" w:hAnsi="Times New Roman" w:cs="Times New Roman"/>
          <w:color w:val="000000" w:themeColor="text1"/>
          <w:sz w:val="24"/>
          <w:szCs w:val="24"/>
          <w:lang w:val="en"/>
        </w:rPr>
        <w:t>respondents'</w:t>
      </w:r>
      <w:r w:rsidRPr="1D0A6485">
        <w:rPr>
          <w:rFonts w:ascii="Times New Roman" w:eastAsia="Times New Roman" w:hAnsi="Times New Roman" w:cs="Times New Roman"/>
          <w:color w:val="000000" w:themeColor="text1"/>
          <w:sz w:val="24"/>
          <w:szCs w:val="24"/>
          <w:lang w:val="en"/>
        </w:rPr>
        <w:t xml:space="preserve"> sentiment of the qualitative data. This study uses AML because it collects vast and reliable data compared to any other similar lexicons. AML presents its results into percentage scores. The cumulative scores calculated from each response indicate the sentiment of the given dataset. The description of the AML percentile method is shown below.</w:t>
      </w:r>
    </w:p>
    <w:p w14:paraId="4739AE9B" w14:textId="7D9A8566" w:rsidR="00132F50" w:rsidRDefault="1D0A6485" w:rsidP="1D0A6485">
      <w:pPr>
        <w:pStyle w:val="ListParagraph"/>
        <w:numPr>
          <w:ilvl w:val="0"/>
          <w:numId w:val="2"/>
        </w:numPr>
        <w:jc w:val="both"/>
        <w:rPr>
          <w:rFonts w:eastAsiaTheme="minorEastAsia"/>
          <w:color w:val="000000" w:themeColor="text1"/>
          <w:sz w:val="24"/>
          <w:szCs w:val="24"/>
          <w:lang w:val="en"/>
        </w:rPr>
      </w:pPr>
      <w:r w:rsidRPr="1D0A6485">
        <w:rPr>
          <w:rFonts w:ascii="Times New Roman" w:eastAsia="Times New Roman" w:hAnsi="Times New Roman" w:cs="Times New Roman"/>
          <w:color w:val="000000" w:themeColor="text1"/>
          <w:sz w:val="24"/>
          <w:szCs w:val="24"/>
          <w:lang w:val="en"/>
        </w:rPr>
        <w:t>A score between 0% and 49% is treated as unfavorable, while 0% being the most negative sentiment and 49% being the least.</w:t>
      </w:r>
    </w:p>
    <w:p w14:paraId="48E90612" w14:textId="77777777" w:rsidR="00EF3B32" w:rsidRPr="00EF3B32" w:rsidRDefault="1D0A6485" w:rsidP="00EF3B32">
      <w:pPr>
        <w:pStyle w:val="ListParagraph"/>
        <w:numPr>
          <w:ilvl w:val="0"/>
          <w:numId w:val="2"/>
        </w:numPr>
        <w:jc w:val="both"/>
        <w:rPr>
          <w:color w:val="000000" w:themeColor="text1"/>
          <w:sz w:val="24"/>
          <w:szCs w:val="24"/>
          <w:lang w:val="en"/>
        </w:rPr>
      </w:pPr>
      <w:r w:rsidRPr="1D0A6485">
        <w:rPr>
          <w:rFonts w:ascii="Times New Roman" w:eastAsia="Times New Roman" w:hAnsi="Times New Roman" w:cs="Times New Roman"/>
          <w:color w:val="000000" w:themeColor="text1"/>
          <w:sz w:val="24"/>
          <w:szCs w:val="24"/>
          <w:lang w:val="en"/>
        </w:rPr>
        <w:t>A score of 50% represents a neutral sentiment.</w:t>
      </w:r>
    </w:p>
    <w:p w14:paraId="76B0F975" w14:textId="022BFE8F" w:rsidR="00002B91" w:rsidRPr="00EF3B32" w:rsidRDefault="1D0A6485" w:rsidP="00EF3B32">
      <w:pPr>
        <w:pStyle w:val="ListParagraph"/>
        <w:numPr>
          <w:ilvl w:val="0"/>
          <w:numId w:val="2"/>
        </w:numPr>
        <w:jc w:val="both"/>
        <w:rPr>
          <w:color w:val="000000" w:themeColor="text1"/>
          <w:sz w:val="24"/>
          <w:szCs w:val="24"/>
          <w:lang w:val="en"/>
        </w:rPr>
      </w:pPr>
      <w:r w:rsidRPr="00EF3B32">
        <w:rPr>
          <w:rFonts w:ascii="Times New Roman" w:eastAsia="Times New Roman" w:hAnsi="Times New Roman" w:cs="Times New Roman"/>
          <w:color w:val="000000" w:themeColor="text1"/>
          <w:sz w:val="24"/>
          <w:szCs w:val="24"/>
          <w:lang w:val="en"/>
        </w:rPr>
        <w:t>A score between 51% and 100% represents positive while 51% being the least favorable and 100% being the most positive</w:t>
      </w:r>
      <w:r w:rsidR="00EF3B32">
        <w:rPr>
          <w:rFonts w:ascii="Times New Roman" w:eastAsia="Times New Roman" w:hAnsi="Times New Roman" w:cs="Times New Roman"/>
          <w:color w:val="000000" w:themeColor="text1"/>
          <w:sz w:val="24"/>
          <w:szCs w:val="24"/>
          <w:lang w:val="en"/>
        </w:rPr>
        <w:t>.</w:t>
      </w:r>
    </w:p>
    <w:p w14:paraId="46B6E6F4" w14:textId="77777777" w:rsidR="00EF3B32" w:rsidRDefault="00EF3B32" w:rsidP="00EF3B32">
      <w:pPr>
        <w:ind w:left="720"/>
        <w:jc w:val="both"/>
        <w:rPr>
          <w:rFonts w:ascii="Times New Roman" w:eastAsia="Times New Roman" w:hAnsi="Times New Roman" w:cs="Times New Roman"/>
          <w:b/>
          <w:bCs/>
          <w:color w:val="0E101A"/>
          <w:sz w:val="24"/>
          <w:szCs w:val="24"/>
          <w:lang w:val="en"/>
        </w:rPr>
      </w:pPr>
    </w:p>
    <w:p w14:paraId="02E90B6A" w14:textId="43BD0D60" w:rsidR="00132F50" w:rsidRPr="00EF3B32" w:rsidRDefault="1D0A6485" w:rsidP="00EF3B32">
      <w:pPr>
        <w:ind w:left="720"/>
        <w:jc w:val="both"/>
        <w:rPr>
          <w:rFonts w:ascii="Times New Roman" w:eastAsia="Times New Roman" w:hAnsi="Times New Roman" w:cs="Times New Roman"/>
          <w:color w:val="0E101A"/>
          <w:sz w:val="24"/>
          <w:szCs w:val="24"/>
        </w:rPr>
      </w:pPr>
      <w:r w:rsidRPr="00EF3B32">
        <w:rPr>
          <w:rFonts w:ascii="Times New Roman" w:eastAsia="Times New Roman" w:hAnsi="Times New Roman" w:cs="Times New Roman"/>
          <w:b/>
          <w:bCs/>
          <w:color w:val="0E101A"/>
          <w:sz w:val="24"/>
          <w:szCs w:val="24"/>
          <w:lang w:val="en"/>
        </w:rPr>
        <w:t>Measures:</w:t>
      </w:r>
    </w:p>
    <w:p w14:paraId="57452E3F" w14:textId="68FA4280" w:rsidR="00094100" w:rsidRDefault="1D0A6485" w:rsidP="00094100">
      <w:pPr>
        <w:jc w:val="both"/>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Demographic information was gathered from students and their opinions on the value of Online Classes in their learning. The survey included both closed-ended and open-ended items graded on a 5-point Likert scale.</w:t>
      </w:r>
    </w:p>
    <w:p w14:paraId="51AF7CE7" w14:textId="5F54E795" w:rsidR="00132F50" w:rsidRDefault="1D0A6485" w:rsidP="00094100">
      <w:pPr>
        <w:jc w:val="both"/>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Because the survey was sent to students from various academic divisions and levels across various academic institutions, the experiences of those who replied varied, as did their personal views about Online classes; thus, the data analysis is mainly focused on self-reported experiences.</w:t>
      </w:r>
    </w:p>
    <w:p w14:paraId="2DA9B88B" w14:textId="77777777" w:rsidR="00094100" w:rsidRDefault="00094100" w:rsidP="00094100">
      <w:pPr>
        <w:jc w:val="both"/>
      </w:pPr>
    </w:p>
    <w:p w14:paraId="56C26237" w14:textId="77777777" w:rsidR="007D3437" w:rsidRDefault="007D3437">
      <w:pPr>
        <w:rPr>
          <w:rFonts w:ascii="Times New Roman" w:eastAsia="Times New Roman" w:hAnsi="Times New Roman" w:cs="Times New Roman"/>
          <w:color w:val="0E101A"/>
          <w:sz w:val="24"/>
          <w:szCs w:val="24"/>
          <w:lang w:val="en"/>
        </w:rPr>
      </w:pPr>
      <w:r>
        <w:rPr>
          <w:rFonts w:ascii="Times New Roman" w:eastAsia="Times New Roman" w:hAnsi="Times New Roman" w:cs="Times New Roman"/>
          <w:color w:val="0E101A"/>
          <w:sz w:val="24"/>
          <w:szCs w:val="24"/>
          <w:lang w:val="en"/>
        </w:rPr>
        <w:br w:type="page"/>
      </w:r>
    </w:p>
    <w:p w14:paraId="09AEED6C" w14:textId="65D92737" w:rsidR="4031B14C" w:rsidRDefault="1D0A6485" w:rsidP="00094100">
      <w:pPr>
        <w:jc w:val="both"/>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lastRenderedPageBreak/>
        <w:t>Table 1: Demographic statistics of respondents (Age, gender, Academic stage, division, and level)</w:t>
      </w:r>
    </w:p>
    <w:tbl>
      <w:tblPr>
        <w:tblStyle w:val="TableGrid"/>
        <w:tblW w:w="0" w:type="auto"/>
        <w:tblLayout w:type="fixed"/>
        <w:tblLook w:val="04A0" w:firstRow="1" w:lastRow="0" w:firstColumn="1" w:lastColumn="0" w:noHBand="0" w:noVBand="1"/>
      </w:tblPr>
      <w:tblGrid>
        <w:gridCol w:w="4665"/>
        <w:gridCol w:w="4665"/>
      </w:tblGrid>
      <w:tr w:rsidR="4031B14C" w14:paraId="33720D66" w14:textId="77777777" w:rsidTr="1D0A6485">
        <w:tc>
          <w:tcPr>
            <w:tcW w:w="4665" w:type="dxa"/>
            <w:tcBorders>
              <w:top w:val="nil"/>
              <w:left w:val="nil"/>
              <w:bottom w:val="nil"/>
              <w:right w:val="nil"/>
            </w:tcBorders>
          </w:tcPr>
          <w:tbl>
            <w:tblPr>
              <w:tblStyle w:val="TableGrid"/>
              <w:tblW w:w="0" w:type="auto"/>
              <w:tblLayout w:type="fixed"/>
              <w:tblLook w:val="04A0" w:firstRow="1" w:lastRow="0" w:firstColumn="1" w:lastColumn="0" w:noHBand="0" w:noVBand="1"/>
            </w:tblPr>
            <w:tblGrid>
              <w:gridCol w:w="2400"/>
              <w:gridCol w:w="1980"/>
              <w:gridCol w:w="60"/>
            </w:tblGrid>
            <w:tr w:rsidR="4031B14C" w14:paraId="66B990FA" w14:textId="77777777" w:rsidTr="1D0A6485">
              <w:trPr>
                <w:gridAfter w:val="1"/>
                <w:wAfter w:w="60" w:type="dxa"/>
                <w:trHeight w:val="300"/>
              </w:trPr>
              <w:tc>
                <w:tcPr>
                  <w:tcW w:w="2400" w:type="dxa"/>
                </w:tcPr>
                <w:p w14:paraId="06C2F7EF" w14:textId="59A1B784" w:rsidR="4031B14C" w:rsidRDefault="1D0A6485" w:rsidP="4031B14C">
                  <w:pPr>
                    <w:ind w:firstLine="360"/>
                    <w:rPr>
                      <w:rFonts w:ascii="Times New Roman" w:eastAsia="Times New Roman" w:hAnsi="Times New Roman" w:cs="Times New Roman"/>
                      <w:color w:val="0E101A"/>
                      <w:sz w:val="24"/>
                      <w:szCs w:val="24"/>
                    </w:rPr>
                  </w:pPr>
                  <w:r w:rsidRPr="1D0A6485">
                    <w:rPr>
                      <w:rFonts w:ascii="Times New Roman" w:eastAsia="Times New Roman" w:hAnsi="Times New Roman" w:cs="Times New Roman"/>
                      <w:b/>
                      <w:bCs/>
                      <w:color w:val="0E101A"/>
                      <w:sz w:val="24"/>
                      <w:szCs w:val="24"/>
                      <w:lang w:val="en"/>
                    </w:rPr>
                    <w:t>Gender</w:t>
                  </w:r>
                </w:p>
              </w:tc>
              <w:tc>
                <w:tcPr>
                  <w:tcW w:w="1980" w:type="dxa"/>
                </w:tcPr>
                <w:p w14:paraId="53BEF91B" w14:textId="67AD9591" w:rsidR="4031B14C" w:rsidRDefault="1D0A6485" w:rsidP="4031B14C">
                  <w:pPr>
                    <w:ind w:firstLine="360"/>
                    <w:jc w:val="right"/>
                    <w:rPr>
                      <w:rFonts w:ascii="Times New Roman" w:eastAsia="Times New Roman" w:hAnsi="Times New Roman" w:cs="Times New Roman"/>
                      <w:color w:val="0E101A"/>
                      <w:sz w:val="24"/>
                      <w:szCs w:val="24"/>
                    </w:rPr>
                  </w:pPr>
                  <w:r w:rsidRPr="1D0A6485">
                    <w:rPr>
                      <w:rFonts w:ascii="Times New Roman" w:eastAsia="Times New Roman" w:hAnsi="Times New Roman" w:cs="Times New Roman"/>
                      <w:b/>
                      <w:bCs/>
                      <w:color w:val="0E101A"/>
                      <w:sz w:val="24"/>
                      <w:szCs w:val="24"/>
                      <w:lang w:val="en"/>
                    </w:rPr>
                    <w:t>Frequency (%)</w:t>
                  </w:r>
                </w:p>
              </w:tc>
            </w:tr>
            <w:tr w:rsidR="4031B14C" w14:paraId="184C84DD" w14:textId="77777777" w:rsidTr="1D0A6485">
              <w:trPr>
                <w:gridAfter w:val="1"/>
                <w:wAfter w:w="60" w:type="dxa"/>
                <w:trHeight w:val="300"/>
              </w:trPr>
              <w:tc>
                <w:tcPr>
                  <w:tcW w:w="2400" w:type="dxa"/>
                </w:tcPr>
                <w:p w14:paraId="67C8D8B7" w14:textId="20F44BBC" w:rsidR="4031B14C" w:rsidRDefault="1D0A6485" w:rsidP="003A6899">
                  <w:pPr>
                    <w:ind w:left="64" w:firstLine="283"/>
                    <w:jc w:val="both"/>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Male</w:t>
                  </w:r>
                </w:p>
              </w:tc>
              <w:tc>
                <w:tcPr>
                  <w:tcW w:w="1980" w:type="dxa"/>
                </w:tcPr>
                <w:p w14:paraId="3BD3F495" w14:textId="577D85D5" w:rsidR="4031B14C" w:rsidRDefault="1D0A6485" w:rsidP="4031B14C">
                  <w:pPr>
                    <w:ind w:firstLine="360"/>
                    <w:jc w:val="right"/>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202 (76.8%)</w:t>
                  </w:r>
                </w:p>
              </w:tc>
            </w:tr>
            <w:tr w:rsidR="4031B14C" w14:paraId="7279AA19" w14:textId="77777777" w:rsidTr="1D0A6485">
              <w:trPr>
                <w:gridAfter w:val="1"/>
                <w:wAfter w:w="60" w:type="dxa"/>
                <w:trHeight w:val="300"/>
              </w:trPr>
              <w:tc>
                <w:tcPr>
                  <w:tcW w:w="2400" w:type="dxa"/>
                </w:tcPr>
                <w:p w14:paraId="2EA4260E" w14:textId="4DB99C93" w:rsidR="4031B14C" w:rsidRDefault="1D0A6485" w:rsidP="003A6899">
                  <w:pPr>
                    <w:ind w:left="64" w:firstLine="283"/>
                    <w:jc w:val="both"/>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Female</w:t>
                  </w:r>
                </w:p>
              </w:tc>
              <w:tc>
                <w:tcPr>
                  <w:tcW w:w="1980" w:type="dxa"/>
                </w:tcPr>
                <w:p w14:paraId="0D1FB56B" w14:textId="7CE75E5D" w:rsidR="4031B14C" w:rsidRDefault="1D0A6485" w:rsidP="4031B14C">
                  <w:pPr>
                    <w:ind w:firstLine="360"/>
                    <w:jc w:val="right"/>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61 (23.2%)</w:t>
                  </w:r>
                </w:p>
              </w:tc>
            </w:tr>
            <w:tr w:rsidR="4031B14C" w14:paraId="43482053" w14:textId="77777777" w:rsidTr="1D0A6485">
              <w:trPr>
                <w:gridAfter w:val="1"/>
                <w:wAfter w:w="60" w:type="dxa"/>
                <w:trHeight w:val="300"/>
              </w:trPr>
              <w:tc>
                <w:tcPr>
                  <w:tcW w:w="2400" w:type="dxa"/>
                </w:tcPr>
                <w:p w14:paraId="312AF1C3" w14:textId="6093FEB1" w:rsidR="4031B14C" w:rsidRDefault="1D0A6485" w:rsidP="4031B14C">
                  <w:pPr>
                    <w:ind w:firstLine="360"/>
                    <w:jc w:val="both"/>
                    <w:rPr>
                      <w:rFonts w:ascii="Times New Roman" w:eastAsia="Times New Roman" w:hAnsi="Times New Roman" w:cs="Times New Roman"/>
                      <w:color w:val="0E101A"/>
                      <w:sz w:val="24"/>
                      <w:szCs w:val="24"/>
                    </w:rPr>
                  </w:pPr>
                  <w:r w:rsidRPr="1D0A6485">
                    <w:rPr>
                      <w:rFonts w:ascii="Times New Roman" w:eastAsia="Times New Roman" w:hAnsi="Times New Roman" w:cs="Times New Roman"/>
                      <w:b/>
                      <w:bCs/>
                      <w:color w:val="0E101A"/>
                      <w:sz w:val="24"/>
                      <w:szCs w:val="24"/>
                      <w:lang w:val="en"/>
                    </w:rPr>
                    <w:t>Age group</w:t>
                  </w:r>
                </w:p>
              </w:tc>
              <w:tc>
                <w:tcPr>
                  <w:tcW w:w="1980" w:type="dxa"/>
                </w:tcPr>
                <w:p w14:paraId="14EA9031" w14:textId="715E266E" w:rsidR="4031B14C" w:rsidRDefault="4031B14C" w:rsidP="4031B14C">
                  <w:pPr>
                    <w:ind w:firstLine="360"/>
                    <w:jc w:val="right"/>
                    <w:rPr>
                      <w:rFonts w:ascii="Times New Roman" w:eastAsia="Times New Roman" w:hAnsi="Times New Roman" w:cs="Times New Roman"/>
                      <w:color w:val="0E101A"/>
                      <w:sz w:val="24"/>
                      <w:szCs w:val="24"/>
                    </w:rPr>
                  </w:pPr>
                </w:p>
              </w:tc>
            </w:tr>
            <w:tr w:rsidR="4031B14C" w14:paraId="43D73CE6" w14:textId="77777777" w:rsidTr="1D0A6485">
              <w:trPr>
                <w:gridAfter w:val="1"/>
                <w:wAfter w:w="60" w:type="dxa"/>
                <w:trHeight w:val="300"/>
              </w:trPr>
              <w:tc>
                <w:tcPr>
                  <w:tcW w:w="2400" w:type="dxa"/>
                </w:tcPr>
                <w:p w14:paraId="1DC4280D" w14:textId="2E3B124D" w:rsidR="4031B14C" w:rsidRDefault="1D0A6485" w:rsidP="003A6899">
                  <w:pPr>
                    <w:ind w:left="206" w:firstLine="141"/>
                    <w:jc w:val="both"/>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17-18</w:t>
                  </w:r>
                </w:p>
              </w:tc>
              <w:tc>
                <w:tcPr>
                  <w:tcW w:w="1980" w:type="dxa"/>
                </w:tcPr>
                <w:p w14:paraId="732B647A" w14:textId="2B44749C" w:rsidR="4031B14C" w:rsidRDefault="1D0A6485" w:rsidP="4031B14C">
                  <w:pPr>
                    <w:ind w:firstLine="360"/>
                    <w:jc w:val="right"/>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19 (7.2%)</w:t>
                  </w:r>
                </w:p>
              </w:tc>
            </w:tr>
            <w:tr w:rsidR="4031B14C" w14:paraId="68DF94D0" w14:textId="77777777" w:rsidTr="1D0A6485">
              <w:trPr>
                <w:gridAfter w:val="1"/>
                <w:wAfter w:w="60" w:type="dxa"/>
                <w:trHeight w:val="300"/>
              </w:trPr>
              <w:tc>
                <w:tcPr>
                  <w:tcW w:w="2400" w:type="dxa"/>
                </w:tcPr>
                <w:p w14:paraId="498D7649" w14:textId="71FC3F55" w:rsidR="4031B14C" w:rsidRDefault="1D0A6485" w:rsidP="003A6899">
                  <w:pPr>
                    <w:ind w:left="206" w:firstLine="141"/>
                    <w:jc w:val="both"/>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19-20</w:t>
                  </w:r>
                </w:p>
              </w:tc>
              <w:tc>
                <w:tcPr>
                  <w:tcW w:w="1980" w:type="dxa"/>
                </w:tcPr>
                <w:p w14:paraId="356ADE47" w14:textId="27850919" w:rsidR="4031B14C" w:rsidRDefault="1D0A6485" w:rsidP="4031B14C">
                  <w:pPr>
                    <w:ind w:firstLine="360"/>
                    <w:jc w:val="right"/>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49 (18.6%)</w:t>
                  </w:r>
                </w:p>
              </w:tc>
            </w:tr>
            <w:tr w:rsidR="4031B14C" w14:paraId="5841E3E6" w14:textId="77777777" w:rsidTr="1D0A6485">
              <w:trPr>
                <w:gridAfter w:val="1"/>
                <w:wAfter w:w="60" w:type="dxa"/>
                <w:trHeight w:val="300"/>
              </w:trPr>
              <w:tc>
                <w:tcPr>
                  <w:tcW w:w="2400" w:type="dxa"/>
                </w:tcPr>
                <w:p w14:paraId="0DEEC550" w14:textId="66F8E666" w:rsidR="4031B14C" w:rsidRDefault="1D0A6485" w:rsidP="003A6899">
                  <w:pPr>
                    <w:ind w:left="206" w:firstLine="141"/>
                    <w:jc w:val="both"/>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21-22</w:t>
                  </w:r>
                </w:p>
              </w:tc>
              <w:tc>
                <w:tcPr>
                  <w:tcW w:w="1980" w:type="dxa"/>
                </w:tcPr>
                <w:p w14:paraId="5B5A834F" w14:textId="32751D80" w:rsidR="4031B14C" w:rsidRDefault="1D0A6485" w:rsidP="4031B14C">
                  <w:pPr>
                    <w:ind w:firstLine="360"/>
                    <w:jc w:val="right"/>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110 (41.9%)</w:t>
                  </w:r>
                </w:p>
              </w:tc>
            </w:tr>
            <w:tr w:rsidR="4031B14C" w14:paraId="655C3EAB" w14:textId="77777777" w:rsidTr="1D0A6485">
              <w:trPr>
                <w:gridAfter w:val="1"/>
                <w:wAfter w:w="60" w:type="dxa"/>
                <w:trHeight w:val="300"/>
              </w:trPr>
              <w:tc>
                <w:tcPr>
                  <w:tcW w:w="2400" w:type="dxa"/>
                </w:tcPr>
                <w:p w14:paraId="36B1BAA5" w14:textId="5BFF4767" w:rsidR="4031B14C" w:rsidRDefault="1D0A6485" w:rsidP="003A6899">
                  <w:pPr>
                    <w:ind w:left="206" w:firstLine="141"/>
                    <w:jc w:val="both"/>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23-24</w:t>
                  </w:r>
                </w:p>
              </w:tc>
              <w:tc>
                <w:tcPr>
                  <w:tcW w:w="1980" w:type="dxa"/>
                </w:tcPr>
                <w:p w14:paraId="40891E9B" w14:textId="1F65722E" w:rsidR="4031B14C" w:rsidRDefault="1D0A6485" w:rsidP="4031B14C">
                  <w:pPr>
                    <w:ind w:firstLine="360"/>
                    <w:jc w:val="right"/>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76 (28.9%)</w:t>
                  </w:r>
                </w:p>
              </w:tc>
            </w:tr>
            <w:tr w:rsidR="4031B14C" w14:paraId="2A69DD2F" w14:textId="77777777" w:rsidTr="1D0A6485">
              <w:trPr>
                <w:gridAfter w:val="1"/>
                <w:wAfter w:w="60" w:type="dxa"/>
                <w:trHeight w:val="300"/>
              </w:trPr>
              <w:tc>
                <w:tcPr>
                  <w:tcW w:w="2400" w:type="dxa"/>
                </w:tcPr>
                <w:p w14:paraId="4DE9146C" w14:textId="6D0757D4" w:rsidR="4031B14C" w:rsidRDefault="1D0A6485" w:rsidP="003A6899">
                  <w:pPr>
                    <w:ind w:left="206" w:firstLine="141"/>
                    <w:jc w:val="both"/>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25+</w:t>
                  </w:r>
                </w:p>
              </w:tc>
              <w:tc>
                <w:tcPr>
                  <w:tcW w:w="1980" w:type="dxa"/>
                </w:tcPr>
                <w:p w14:paraId="18CE0A50" w14:textId="5BF67F1E" w:rsidR="4031B14C" w:rsidRDefault="1D0A6485" w:rsidP="4031B14C">
                  <w:pPr>
                    <w:ind w:firstLine="360"/>
                    <w:jc w:val="right"/>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9 (3.4%)</w:t>
                  </w:r>
                </w:p>
              </w:tc>
            </w:tr>
            <w:tr w:rsidR="4031B14C" w14:paraId="416B7320" w14:textId="77777777" w:rsidTr="1D0A6485">
              <w:tc>
                <w:tcPr>
                  <w:tcW w:w="2400" w:type="dxa"/>
                </w:tcPr>
                <w:p w14:paraId="4A209BFE" w14:textId="00CE3367" w:rsidR="4031B14C" w:rsidRDefault="1D0A6485" w:rsidP="4031B14C">
                  <w:pPr>
                    <w:ind w:firstLine="360"/>
                    <w:rPr>
                      <w:rFonts w:ascii="Times New Roman" w:eastAsia="Times New Roman" w:hAnsi="Times New Roman" w:cs="Times New Roman"/>
                      <w:color w:val="0E101A"/>
                      <w:sz w:val="24"/>
                      <w:szCs w:val="24"/>
                    </w:rPr>
                  </w:pPr>
                  <w:r w:rsidRPr="1D0A6485">
                    <w:rPr>
                      <w:rFonts w:ascii="Times New Roman" w:eastAsia="Times New Roman" w:hAnsi="Times New Roman" w:cs="Times New Roman"/>
                      <w:b/>
                      <w:bCs/>
                      <w:color w:val="0E101A"/>
                      <w:sz w:val="24"/>
                      <w:szCs w:val="24"/>
                      <w:lang w:val="en"/>
                    </w:rPr>
                    <w:t>Academic Stage</w:t>
                  </w:r>
                </w:p>
              </w:tc>
              <w:tc>
                <w:tcPr>
                  <w:tcW w:w="2040" w:type="dxa"/>
                  <w:gridSpan w:val="2"/>
                </w:tcPr>
                <w:p w14:paraId="29FB6E2F" w14:textId="6D98E811" w:rsidR="4031B14C" w:rsidRDefault="1D0A6485" w:rsidP="4031B14C">
                  <w:pPr>
                    <w:ind w:firstLine="360"/>
                    <w:jc w:val="right"/>
                    <w:rPr>
                      <w:rFonts w:ascii="Times New Roman" w:eastAsia="Times New Roman" w:hAnsi="Times New Roman" w:cs="Times New Roman"/>
                      <w:color w:val="0E101A"/>
                      <w:sz w:val="24"/>
                      <w:szCs w:val="24"/>
                    </w:rPr>
                  </w:pPr>
                  <w:r w:rsidRPr="1D0A6485">
                    <w:rPr>
                      <w:rFonts w:ascii="Times New Roman" w:eastAsia="Times New Roman" w:hAnsi="Times New Roman" w:cs="Times New Roman"/>
                      <w:b/>
                      <w:bCs/>
                      <w:color w:val="0E101A"/>
                      <w:sz w:val="24"/>
                      <w:szCs w:val="24"/>
                      <w:lang w:val="en"/>
                    </w:rPr>
                    <w:t>Frequency (%)</w:t>
                  </w:r>
                </w:p>
              </w:tc>
            </w:tr>
            <w:tr w:rsidR="4031B14C" w14:paraId="54F6679D" w14:textId="77777777" w:rsidTr="1D0A6485">
              <w:tc>
                <w:tcPr>
                  <w:tcW w:w="2400" w:type="dxa"/>
                </w:tcPr>
                <w:p w14:paraId="68F8D50F" w14:textId="7AE5C334" w:rsidR="4031B14C" w:rsidRDefault="1D0A6485" w:rsidP="4031B14C">
                  <w:pPr>
                    <w:ind w:firstLine="360"/>
                    <w:jc w:val="both"/>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Under-Graduation</w:t>
                  </w:r>
                </w:p>
              </w:tc>
              <w:tc>
                <w:tcPr>
                  <w:tcW w:w="2040" w:type="dxa"/>
                  <w:gridSpan w:val="2"/>
                </w:tcPr>
                <w:p w14:paraId="65B174E3" w14:textId="406BC13A" w:rsidR="4031B14C" w:rsidRDefault="4031B14C" w:rsidP="4031B14C">
                  <w:pPr>
                    <w:ind w:firstLine="360"/>
                    <w:jc w:val="right"/>
                    <w:rPr>
                      <w:rFonts w:ascii="Times New Roman" w:eastAsia="Times New Roman" w:hAnsi="Times New Roman" w:cs="Times New Roman"/>
                      <w:color w:val="0E101A"/>
                      <w:sz w:val="24"/>
                      <w:szCs w:val="24"/>
                    </w:rPr>
                  </w:pPr>
                </w:p>
              </w:tc>
            </w:tr>
            <w:tr w:rsidR="4031B14C" w14:paraId="3A4D8B60" w14:textId="77777777" w:rsidTr="1D0A6485">
              <w:tc>
                <w:tcPr>
                  <w:tcW w:w="2400" w:type="dxa"/>
                </w:tcPr>
                <w:p w14:paraId="35DB4FE3" w14:textId="2772D2D2" w:rsidR="4031B14C" w:rsidRDefault="1D0A6485" w:rsidP="4031B14C">
                  <w:pPr>
                    <w:ind w:left="720" w:firstLine="360"/>
                    <w:jc w:val="both"/>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1</w:t>
                  </w:r>
                  <w:r w:rsidRPr="1D0A6485">
                    <w:rPr>
                      <w:rFonts w:ascii="Times New Roman" w:eastAsia="Times New Roman" w:hAnsi="Times New Roman" w:cs="Times New Roman"/>
                      <w:color w:val="0E101A"/>
                      <w:sz w:val="24"/>
                      <w:szCs w:val="24"/>
                      <w:vertAlign w:val="superscript"/>
                      <w:lang w:val="en"/>
                    </w:rPr>
                    <w:t>st</w:t>
                  </w:r>
                  <w:r w:rsidRPr="1D0A6485">
                    <w:rPr>
                      <w:rFonts w:ascii="Times New Roman" w:eastAsia="Times New Roman" w:hAnsi="Times New Roman" w:cs="Times New Roman"/>
                      <w:color w:val="0E101A"/>
                      <w:sz w:val="24"/>
                      <w:szCs w:val="24"/>
                      <w:lang w:val="en"/>
                    </w:rPr>
                    <w:t xml:space="preserve"> year</w:t>
                  </w:r>
                </w:p>
              </w:tc>
              <w:tc>
                <w:tcPr>
                  <w:tcW w:w="2040" w:type="dxa"/>
                  <w:gridSpan w:val="2"/>
                </w:tcPr>
                <w:p w14:paraId="55105D1E" w14:textId="2CF6E623" w:rsidR="4031B14C" w:rsidRDefault="1D0A6485" w:rsidP="4031B14C">
                  <w:pPr>
                    <w:ind w:firstLine="360"/>
                    <w:jc w:val="right"/>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46</w:t>
                  </w:r>
                </w:p>
              </w:tc>
            </w:tr>
            <w:tr w:rsidR="4031B14C" w14:paraId="71F9DD3E" w14:textId="77777777" w:rsidTr="1D0A6485">
              <w:tc>
                <w:tcPr>
                  <w:tcW w:w="2400" w:type="dxa"/>
                </w:tcPr>
                <w:p w14:paraId="42D18A72" w14:textId="1FA1DF16" w:rsidR="4031B14C" w:rsidRDefault="1D0A6485" w:rsidP="4031B14C">
                  <w:pPr>
                    <w:ind w:left="720" w:firstLine="360"/>
                    <w:jc w:val="both"/>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2</w:t>
                  </w:r>
                  <w:r w:rsidRPr="1D0A6485">
                    <w:rPr>
                      <w:rFonts w:ascii="Times New Roman" w:eastAsia="Times New Roman" w:hAnsi="Times New Roman" w:cs="Times New Roman"/>
                      <w:color w:val="0E101A"/>
                      <w:sz w:val="24"/>
                      <w:szCs w:val="24"/>
                      <w:vertAlign w:val="superscript"/>
                      <w:lang w:val="en"/>
                    </w:rPr>
                    <w:t>nd</w:t>
                  </w:r>
                  <w:r w:rsidRPr="1D0A6485">
                    <w:rPr>
                      <w:rFonts w:ascii="Times New Roman" w:eastAsia="Times New Roman" w:hAnsi="Times New Roman" w:cs="Times New Roman"/>
                      <w:color w:val="0E101A"/>
                      <w:sz w:val="24"/>
                      <w:szCs w:val="24"/>
                      <w:lang w:val="en"/>
                    </w:rPr>
                    <w:t xml:space="preserve"> year</w:t>
                  </w:r>
                </w:p>
              </w:tc>
              <w:tc>
                <w:tcPr>
                  <w:tcW w:w="2040" w:type="dxa"/>
                  <w:gridSpan w:val="2"/>
                </w:tcPr>
                <w:p w14:paraId="3AB5F3FD" w14:textId="6E6BC89D" w:rsidR="4031B14C" w:rsidRDefault="1D0A6485" w:rsidP="4031B14C">
                  <w:pPr>
                    <w:ind w:firstLine="360"/>
                    <w:jc w:val="right"/>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106</w:t>
                  </w:r>
                </w:p>
              </w:tc>
            </w:tr>
            <w:tr w:rsidR="4031B14C" w14:paraId="6CB3924E" w14:textId="77777777" w:rsidTr="1D0A6485">
              <w:tc>
                <w:tcPr>
                  <w:tcW w:w="2400" w:type="dxa"/>
                </w:tcPr>
                <w:p w14:paraId="4C896D8F" w14:textId="18DB8EAC" w:rsidR="4031B14C" w:rsidRDefault="1D0A6485" w:rsidP="4031B14C">
                  <w:pPr>
                    <w:ind w:left="720" w:firstLine="360"/>
                    <w:jc w:val="both"/>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3</w:t>
                  </w:r>
                  <w:r w:rsidRPr="1D0A6485">
                    <w:rPr>
                      <w:rFonts w:ascii="Times New Roman" w:eastAsia="Times New Roman" w:hAnsi="Times New Roman" w:cs="Times New Roman"/>
                      <w:color w:val="0E101A"/>
                      <w:sz w:val="24"/>
                      <w:szCs w:val="24"/>
                      <w:vertAlign w:val="superscript"/>
                      <w:lang w:val="en"/>
                    </w:rPr>
                    <w:t>rd</w:t>
                  </w:r>
                  <w:r w:rsidRPr="1D0A6485">
                    <w:rPr>
                      <w:rFonts w:ascii="Times New Roman" w:eastAsia="Times New Roman" w:hAnsi="Times New Roman" w:cs="Times New Roman"/>
                      <w:color w:val="0E101A"/>
                      <w:sz w:val="24"/>
                      <w:szCs w:val="24"/>
                      <w:lang w:val="en"/>
                    </w:rPr>
                    <w:t xml:space="preserve"> year</w:t>
                  </w:r>
                </w:p>
              </w:tc>
              <w:tc>
                <w:tcPr>
                  <w:tcW w:w="2040" w:type="dxa"/>
                  <w:gridSpan w:val="2"/>
                </w:tcPr>
                <w:p w14:paraId="2448077F" w14:textId="44ECF389" w:rsidR="4031B14C" w:rsidRDefault="1D0A6485" w:rsidP="4031B14C">
                  <w:pPr>
                    <w:ind w:firstLine="360"/>
                    <w:jc w:val="right"/>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80</w:t>
                  </w:r>
                </w:p>
              </w:tc>
            </w:tr>
            <w:tr w:rsidR="4031B14C" w14:paraId="2DE0E761" w14:textId="77777777" w:rsidTr="1D0A6485">
              <w:tc>
                <w:tcPr>
                  <w:tcW w:w="2400" w:type="dxa"/>
                </w:tcPr>
                <w:p w14:paraId="39AB78EA" w14:textId="59AA68B9" w:rsidR="4031B14C" w:rsidRDefault="1D0A6485" w:rsidP="4031B14C">
                  <w:pPr>
                    <w:ind w:left="720" w:firstLine="360"/>
                    <w:jc w:val="both"/>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4</w:t>
                  </w:r>
                  <w:r w:rsidRPr="1D0A6485">
                    <w:rPr>
                      <w:rFonts w:ascii="Times New Roman" w:eastAsia="Times New Roman" w:hAnsi="Times New Roman" w:cs="Times New Roman"/>
                      <w:color w:val="0E101A"/>
                      <w:sz w:val="24"/>
                      <w:szCs w:val="24"/>
                      <w:vertAlign w:val="superscript"/>
                      <w:lang w:val="en"/>
                    </w:rPr>
                    <w:t>th</w:t>
                  </w:r>
                  <w:r w:rsidRPr="1D0A6485">
                    <w:rPr>
                      <w:rFonts w:ascii="Times New Roman" w:eastAsia="Times New Roman" w:hAnsi="Times New Roman" w:cs="Times New Roman"/>
                      <w:color w:val="0E101A"/>
                      <w:sz w:val="24"/>
                      <w:szCs w:val="24"/>
                      <w:lang w:val="en"/>
                    </w:rPr>
                    <w:t xml:space="preserve"> year</w:t>
                  </w:r>
                </w:p>
              </w:tc>
              <w:tc>
                <w:tcPr>
                  <w:tcW w:w="2040" w:type="dxa"/>
                  <w:gridSpan w:val="2"/>
                </w:tcPr>
                <w:p w14:paraId="2D82DB18" w14:textId="1B0C9B45" w:rsidR="4031B14C" w:rsidRDefault="1D0A6485" w:rsidP="4031B14C">
                  <w:pPr>
                    <w:ind w:firstLine="360"/>
                    <w:jc w:val="right"/>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25</w:t>
                  </w:r>
                </w:p>
              </w:tc>
            </w:tr>
            <w:tr w:rsidR="4031B14C" w14:paraId="63D3ED45" w14:textId="77777777" w:rsidTr="1D0A6485">
              <w:tc>
                <w:tcPr>
                  <w:tcW w:w="2400" w:type="dxa"/>
                </w:tcPr>
                <w:p w14:paraId="030DB92F" w14:textId="7BA20934" w:rsidR="4031B14C" w:rsidRDefault="1D0A6485" w:rsidP="4031B14C">
                  <w:pPr>
                    <w:ind w:firstLine="360"/>
                    <w:jc w:val="both"/>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Post-Graduation</w:t>
                  </w:r>
                </w:p>
              </w:tc>
              <w:tc>
                <w:tcPr>
                  <w:tcW w:w="2040" w:type="dxa"/>
                  <w:gridSpan w:val="2"/>
                </w:tcPr>
                <w:p w14:paraId="66CD4EF0" w14:textId="0F81CF5B" w:rsidR="4031B14C" w:rsidRDefault="4031B14C" w:rsidP="4031B14C">
                  <w:pPr>
                    <w:ind w:firstLine="360"/>
                    <w:jc w:val="right"/>
                    <w:rPr>
                      <w:rFonts w:ascii="Times New Roman" w:eastAsia="Times New Roman" w:hAnsi="Times New Roman" w:cs="Times New Roman"/>
                      <w:color w:val="0E101A"/>
                      <w:sz w:val="24"/>
                      <w:szCs w:val="24"/>
                    </w:rPr>
                  </w:pPr>
                </w:p>
              </w:tc>
            </w:tr>
            <w:tr w:rsidR="4031B14C" w14:paraId="1D9F67A8" w14:textId="77777777" w:rsidTr="1D0A6485">
              <w:tc>
                <w:tcPr>
                  <w:tcW w:w="2400" w:type="dxa"/>
                </w:tcPr>
                <w:p w14:paraId="694FFB57" w14:textId="7DF313DE" w:rsidR="4031B14C" w:rsidRDefault="1D0A6485" w:rsidP="4031B14C">
                  <w:pPr>
                    <w:ind w:left="720" w:firstLine="360"/>
                    <w:jc w:val="both"/>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MBA</w:t>
                  </w:r>
                </w:p>
              </w:tc>
              <w:tc>
                <w:tcPr>
                  <w:tcW w:w="2040" w:type="dxa"/>
                  <w:gridSpan w:val="2"/>
                </w:tcPr>
                <w:p w14:paraId="6A520A76" w14:textId="470C802D" w:rsidR="4031B14C" w:rsidRDefault="1D0A6485" w:rsidP="4031B14C">
                  <w:pPr>
                    <w:ind w:firstLine="360"/>
                    <w:jc w:val="right"/>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3</w:t>
                  </w:r>
                </w:p>
              </w:tc>
            </w:tr>
            <w:tr w:rsidR="4031B14C" w14:paraId="2C633BA5" w14:textId="77777777" w:rsidTr="1D0A6485">
              <w:tc>
                <w:tcPr>
                  <w:tcW w:w="2400" w:type="dxa"/>
                </w:tcPr>
                <w:p w14:paraId="46481FBD" w14:textId="116A8930" w:rsidR="4031B14C" w:rsidRDefault="1D0A6485" w:rsidP="4031B14C">
                  <w:pPr>
                    <w:ind w:left="720" w:firstLine="360"/>
                    <w:jc w:val="both"/>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MSS</w:t>
                  </w:r>
                </w:p>
              </w:tc>
              <w:tc>
                <w:tcPr>
                  <w:tcW w:w="2040" w:type="dxa"/>
                  <w:gridSpan w:val="2"/>
                </w:tcPr>
                <w:p w14:paraId="117C0D87" w14:textId="72503684" w:rsidR="4031B14C" w:rsidRDefault="1D0A6485" w:rsidP="4031B14C">
                  <w:pPr>
                    <w:ind w:firstLine="360"/>
                    <w:jc w:val="right"/>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1</w:t>
                  </w:r>
                </w:p>
              </w:tc>
            </w:tr>
            <w:tr w:rsidR="4031B14C" w14:paraId="45AA3AE9" w14:textId="77777777" w:rsidTr="1D0A6485">
              <w:tc>
                <w:tcPr>
                  <w:tcW w:w="2400" w:type="dxa"/>
                </w:tcPr>
                <w:p w14:paraId="5C9518C7" w14:textId="0326CB8C" w:rsidR="4031B14C" w:rsidRDefault="1D0A6485" w:rsidP="4031B14C">
                  <w:pPr>
                    <w:ind w:firstLine="360"/>
                    <w:jc w:val="both"/>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PhD</w:t>
                  </w:r>
                </w:p>
              </w:tc>
              <w:tc>
                <w:tcPr>
                  <w:tcW w:w="2040" w:type="dxa"/>
                  <w:gridSpan w:val="2"/>
                </w:tcPr>
                <w:p w14:paraId="172D41BF" w14:textId="68BBA3AA" w:rsidR="4031B14C" w:rsidRDefault="1D0A6485" w:rsidP="4031B14C">
                  <w:pPr>
                    <w:ind w:firstLine="360"/>
                    <w:jc w:val="right"/>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2</w:t>
                  </w:r>
                </w:p>
              </w:tc>
            </w:tr>
          </w:tbl>
          <w:p w14:paraId="6F7C9CA5" w14:textId="1D3668F0" w:rsidR="4031B14C" w:rsidRDefault="4031B14C" w:rsidP="4031B14C">
            <w:pPr>
              <w:ind w:firstLine="360"/>
              <w:jc w:val="both"/>
              <w:rPr>
                <w:rFonts w:ascii="Cambria" w:eastAsia="Cambria" w:hAnsi="Cambria" w:cs="Cambria"/>
                <w:color w:val="0E101A"/>
              </w:rPr>
            </w:pPr>
          </w:p>
          <w:p w14:paraId="68B835D9" w14:textId="0D57C39D" w:rsidR="4031B14C" w:rsidRDefault="4031B14C" w:rsidP="4031B14C">
            <w:pPr>
              <w:ind w:firstLine="360"/>
              <w:jc w:val="both"/>
              <w:rPr>
                <w:rFonts w:ascii="Cambria" w:eastAsia="Cambria" w:hAnsi="Cambria" w:cs="Cambria"/>
                <w:color w:val="0E101A"/>
              </w:rPr>
            </w:pPr>
          </w:p>
        </w:tc>
        <w:tc>
          <w:tcPr>
            <w:tcW w:w="4665" w:type="dxa"/>
            <w:tcBorders>
              <w:top w:val="nil"/>
              <w:left w:val="nil"/>
              <w:bottom w:val="nil"/>
              <w:right w:val="nil"/>
            </w:tcBorders>
          </w:tcPr>
          <w:tbl>
            <w:tblPr>
              <w:tblStyle w:val="TableGrid"/>
              <w:tblW w:w="0" w:type="auto"/>
              <w:tblLayout w:type="fixed"/>
              <w:tblLook w:val="04A0" w:firstRow="1" w:lastRow="0" w:firstColumn="1" w:lastColumn="0" w:noHBand="0" w:noVBand="1"/>
            </w:tblPr>
            <w:tblGrid>
              <w:gridCol w:w="2235"/>
              <w:gridCol w:w="2190"/>
            </w:tblGrid>
            <w:tr w:rsidR="4031B14C" w14:paraId="582B7628" w14:textId="77777777" w:rsidTr="1D0A6485">
              <w:trPr>
                <w:trHeight w:val="465"/>
              </w:trPr>
              <w:tc>
                <w:tcPr>
                  <w:tcW w:w="2235" w:type="dxa"/>
                </w:tcPr>
                <w:p w14:paraId="5C876FF3" w14:textId="2D711540" w:rsidR="4031B14C" w:rsidRDefault="1D0A6485" w:rsidP="4031B14C">
                  <w:pPr>
                    <w:ind w:firstLine="360"/>
                    <w:jc w:val="both"/>
                    <w:rPr>
                      <w:rFonts w:ascii="Times New Roman" w:eastAsia="Times New Roman" w:hAnsi="Times New Roman" w:cs="Times New Roman"/>
                      <w:color w:val="0E101A"/>
                      <w:sz w:val="24"/>
                      <w:szCs w:val="24"/>
                    </w:rPr>
                  </w:pPr>
                  <w:r w:rsidRPr="1D0A6485">
                    <w:rPr>
                      <w:rFonts w:ascii="Times New Roman" w:eastAsia="Times New Roman" w:hAnsi="Times New Roman" w:cs="Times New Roman"/>
                      <w:b/>
                      <w:bCs/>
                      <w:color w:val="0E101A"/>
                      <w:sz w:val="24"/>
                      <w:szCs w:val="24"/>
                      <w:lang w:val="en"/>
                    </w:rPr>
                    <w:t xml:space="preserve">Academic Division </w:t>
                  </w:r>
                </w:p>
              </w:tc>
              <w:tc>
                <w:tcPr>
                  <w:tcW w:w="2190" w:type="dxa"/>
                </w:tcPr>
                <w:p w14:paraId="69F435D3" w14:textId="33F2B246" w:rsidR="4031B14C" w:rsidRDefault="1D0A6485" w:rsidP="4031B14C">
                  <w:pPr>
                    <w:ind w:firstLine="360"/>
                    <w:jc w:val="right"/>
                    <w:rPr>
                      <w:rFonts w:ascii="Times New Roman" w:eastAsia="Times New Roman" w:hAnsi="Times New Roman" w:cs="Times New Roman"/>
                      <w:color w:val="0E101A"/>
                      <w:sz w:val="24"/>
                      <w:szCs w:val="24"/>
                    </w:rPr>
                  </w:pPr>
                  <w:r w:rsidRPr="1D0A6485">
                    <w:rPr>
                      <w:rFonts w:ascii="Times New Roman" w:eastAsia="Times New Roman" w:hAnsi="Times New Roman" w:cs="Times New Roman"/>
                      <w:b/>
                      <w:bCs/>
                      <w:color w:val="0E101A"/>
                      <w:sz w:val="24"/>
                      <w:szCs w:val="24"/>
                      <w:lang w:val="en"/>
                    </w:rPr>
                    <w:t>Frequency (%)</w:t>
                  </w:r>
                </w:p>
                <w:p w14:paraId="1A218A41" w14:textId="7CB0F0EA" w:rsidR="4031B14C" w:rsidRDefault="4031B14C" w:rsidP="4031B14C">
                  <w:pPr>
                    <w:ind w:firstLine="360"/>
                    <w:jc w:val="right"/>
                    <w:rPr>
                      <w:rFonts w:ascii="Times New Roman" w:eastAsia="Times New Roman" w:hAnsi="Times New Roman" w:cs="Times New Roman"/>
                      <w:color w:val="0E101A"/>
                      <w:sz w:val="24"/>
                      <w:szCs w:val="24"/>
                    </w:rPr>
                  </w:pPr>
                </w:p>
              </w:tc>
            </w:tr>
            <w:tr w:rsidR="4031B14C" w14:paraId="03A22CAE" w14:textId="77777777" w:rsidTr="1D0A6485">
              <w:trPr>
                <w:trHeight w:val="300"/>
              </w:trPr>
              <w:tc>
                <w:tcPr>
                  <w:tcW w:w="2235" w:type="dxa"/>
                </w:tcPr>
                <w:p w14:paraId="6B7212D5" w14:textId="38B1000B" w:rsidR="4031B14C" w:rsidRDefault="1D0A6485" w:rsidP="003A6899">
                  <w:pPr>
                    <w:ind w:left="80"/>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Science</w:t>
                  </w:r>
                </w:p>
              </w:tc>
              <w:tc>
                <w:tcPr>
                  <w:tcW w:w="2190" w:type="dxa"/>
                </w:tcPr>
                <w:p w14:paraId="4359D358" w14:textId="5D519CF0" w:rsidR="4031B14C" w:rsidRDefault="1D0A6485" w:rsidP="4031B14C">
                  <w:pPr>
                    <w:ind w:firstLine="360"/>
                    <w:jc w:val="right"/>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105 (39.93%)</w:t>
                  </w:r>
                </w:p>
              </w:tc>
            </w:tr>
            <w:tr w:rsidR="4031B14C" w14:paraId="29A6E7E5" w14:textId="77777777" w:rsidTr="1D0A6485">
              <w:trPr>
                <w:trHeight w:val="300"/>
              </w:trPr>
              <w:tc>
                <w:tcPr>
                  <w:tcW w:w="2235" w:type="dxa"/>
                </w:tcPr>
                <w:p w14:paraId="597269E3" w14:textId="3111B719" w:rsidR="4031B14C" w:rsidRDefault="1D0A6485" w:rsidP="003A6899">
                  <w:pPr>
                    <w:ind w:left="80"/>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Business</w:t>
                  </w:r>
                </w:p>
              </w:tc>
              <w:tc>
                <w:tcPr>
                  <w:tcW w:w="2190" w:type="dxa"/>
                </w:tcPr>
                <w:p w14:paraId="77511395" w14:textId="65DBE7A3" w:rsidR="4031B14C" w:rsidRDefault="1D0A6485" w:rsidP="4031B14C">
                  <w:pPr>
                    <w:ind w:firstLine="360"/>
                    <w:jc w:val="right"/>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124 (47.15%)</w:t>
                  </w:r>
                </w:p>
              </w:tc>
            </w:tr>
            <w:tr w:rsidR="4031B14C" w14:paraId="427911D1" w14:textId="77777777" w:rsidTr="1D0A6485">
              <w:trPr>
                <w:trHeight w:val="300"/>
              </w:trPr>
              <w:tc>
                <w:tcPr>
                  <w:tcW w:w="2235" w:type="dxa"/>
                </w:tcPr>
                <w:p w14:paraId="5A449044" w14:textId="4C7E2DD4" w:rsidR="4031B14C" w:rsidRDefault="1D0A6485" w:rsidP="003A6899">
                  <w:pPr>
                    <w:ind w:left="80"/>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Humanities</w:t>
                  </w:r>
                </w:p>
              </w:tc>
              <w:tc>
                <w:tcPr>
                  <w:tcW w:w="2190" w:type="dxa"/>
                </w:tcPr>
                <w:p w14:paraId="6D82F26B" w14:textId="7414C43C" w:rsidR="4031B14C" w:rsidRDefault="1D0A6485" w:rsidP="4031B14C">
                  <w:pPr>
                    <w:ind w:firstLine="360"/>
                    <w:jc w:val="right"/>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27 (10.27%)</w:t>
                  </w:r>
                </w:p>
              </w:tc>
            </w:tr>
            <w:tr w:rsidR="4031B14C" w14:paraId="75D28C3C" w14:textId="77777777" w:rsidTr="1D0A6485">
              <w:trPr>
                <w:trHeight w:val="300"/>
              </w:trPr>
              <w:tc>
                <w:tcPr>
                  <w:tcW w:w="2235" w:type="dxa"/>
                </w:tcPr>
                <w:p w14:paraId="151746A0" w14:textId="409024D1" w:rsidR="4031B14C" w:rsidRDefault="1D0A6485" w:rsidP="003A6899">
                  <w:pPr>
                    <w:ind w:left="80"/>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Social Science</w:t>
                  </w:r>
                </w:p>
              </w:tc>
              <w:tc>
                <w:tcPr>
                  <w:tcW w:w="2190" w:type="dxa"/>
                </w:tcPr>
                <w:p w14:paraId="023AF265" w14:textId="5D123416" w:rsidR="4031B14C" w:rsidRDefault="1D0A6485" w:rsidP="4031B14C">
                  <w:pPr>
                    <w:ind w:firstLine="360"/>
                    <w:jc w:val="right"/>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3 (1.14%)</w:t>
                  </w:r>
                </w:p>
              </w:tc>
            </w:tr>
            <w:tr w:rsidR="4031B14C" w14:paraId="5FF83ED0" w14:textId="77777777" w:rsidTr="1D0A6485">
              <w:trPr>
                <w:trHeight w:val="300"/>
              </w:trPr>
              <w:tc>
                <w:tcPr>
                  <w:tcW w:w="2235" w:type="dxa"/>
                </w:tcPr>
                <w:p w14:paraId="2201D7FD" w14:textId="4E153D63" w:rsidR="4031B14C" w:rsidRDefault="1D0A6485" w:rsidP="003A6899">
                  <w:pPr>
                    <w:ind w:left="80"/>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Bachelor of Fine Arts</w:t>
                  </w:r>
                </w:p>
              </w:tc>
              <w:tc>
                <w:tcPr>
                  <w:tcW w:w="2190" w:type="dxa"/>
                </w:tcPr>
                <w:p w14:paraId="2D4C6E85" w14:textId="7B8BF7F4" w:rsidR="4031B14C" w:rsidRDefault="1D0A6485" w:rsidP="4031B14C">
                  <w:pPr>
                    <w:ind w:firstLine="360"/>
                    <w:jc w:val="right"/>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2 (0.8%)</w:t>
                  </w:r>
                </w:p>
              </w:tc>
            </w:tr>
            <w:tr w:rsidR="4031B14C" w14:paraId="73B22CB3" w14:textId="77777777" w:rsidTr="1D0A6485">
              <w:trPr>
                <w:trHeight w:val="300"/>
              </w:trPr>
              <w:tc>
                <w:tcPr>
                  <w:tcW w:w="2235" w:type="dxa"/>
                </w:tcPr>
                <w:p w14:paraId="6ACFDC71" w14:textId="187AA8F5" w:rsidR="4031B14C" w:rsidRDefault="1D0A6485" w:rsidP="003A6899">
                  <w:pPr>
                    <w:ind w:left="80"/>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Engineering</w:t>
                  </w:r>
                </w:p>
              </w:tc>
              <w:tc>
                <w:tcPr>
                  <w:tcW w:w="2190" w:type="dxa"/>
                </w:tcPr>
                <w:p w14:paraId="1166DD26" w14:textId="472850EC" w:rsidR="4031B14C" w:rsidRDefault="1D0A6485" w:rsidP="4031B14C">
                  <w:pPr>
                    <w:ind w:firstLine="360"/>
                    <w:jc w:val="right"/>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1 (0.38%)</w:t>
                  </w:r>
                </w:p>
              </w:tc>
            </w:tr>
            <w:tr w:rsidR="4031B14C" w14:paraId="51B524FC" w14:textId="77777777" w:rsidTr="1D0A6485">
              <w:trPr>
                <w:trHeight w:val="300"/>
              </w:trPr>
              <w:tc>
                <w:tcPr>
                  <w:tcW w:w="2235" w:type="dxa"/>
                </w:tcPr>
                <w:p w14:paraId="2069B38B" w14:textId="53D06B56" w:rsidR="4031B14C" w:rsidRDefault="1D0A6485" w:rsidP="003A6899">
                  <w:pPr>
                    <w:ind w:left="80"/>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LLB</w:t>
                  </w:r>
                </w:p>
              </w:tc>
              <w:tc>
                <w:tcPr>
                  <w:tcW w:w="2190" w:type="dxa"/>
                </w:tcPr>
                <w:p w14:paraId="19FC7390" w14:textId="5CBB66B1" w:rsidR="4031B14C" w:rsidRDefault="1D0A6485" w:rsidP="4031B14C">
                  <w:pPr>
                    <w:ind w:firstLine="360"/>
                    <w:jc w:val="right"/>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1 (0.38%)</w:t>
                  </w:r>
                </w:p>
              </w:tc>
            </w:tr>
          </w:tbl>
          <w:p w14:paraId="02F381DE" w14:textId="669E3691" w:rsidR="4031B14C" w:rsidRDefault="4031B14C" w:rsidP="4031B14C">
            <w:pPr>
              <w:ind w:firstLine="360"/>
              <w:jc w:val="both"/>
              <w:rPr>
                <w:rFonts w:ascii="Times New Roman" w:eastAsia="Times New Roman" w:hAnsi="Times New Roman" w:cs="Times New Roman"/>
                <w:color w:val="0E101A"/>
                <w:sz w:val="24"/>
                <w:szCs w:val="24"/>
              </w:rPr>
            </w:pPr>
          </w:p>
          <w:p w14:paraId="445DD55A" w14:textId="7710B247" w:rsidR="4031B14C" w:rsidRDefault="4031B14C" w:rsidP="4031B14C">
            <w:pPr>
              <w:ind w:firstLine="360"/>
              <w:jc w:val="both"/>
              <w:rPr>
                <w:rFonts w:ascii="Times New Roman" w:eastAsia="Times New Roman" w:hAnsi="Times New Roman" w:cs="Times New Roman"/>
                <w:color w:val="0E101A"/>
                <w:sz w:val="24"/>
                <w:szCs w:val="24"/>
              </w:rPr>
            </w:pPr>
          </w:p>
          <w:tbl>
            <w:tblPr>
              <w:tblStyle w:val="TableGrid"/>
              <w:tblW w:w="0" w:type="auto"/>
              <w:tblLayout w:type="fixed"/>
              <w:tblLook w:val="04A0" w:firstRow="1" w:lastRow="0" w:firstColumn="1" w:lastColumn="0" w:noHBand="0" w:noVBand="1"/>
            </w:tblPr>
            <w:tblGrid>
              <w:gridCol w:w="2430"/>
              <w:gridCol w:w="1995"/>
            </w:tblGrid>
            <w:tr w:rsidR="4031B14C" w14:paraId="064CC080" w14:textId="77777777" w:rsidTr="1D0A6485">
              <w:trPr>
                <w:trHeight w:val="300"/>
              </w:trPr>
              <w:tc>
                <w:tcPr>
                  <w:tcW w:w="2430" w:type="dxa"/>
                </w:tcPr>
                <w:p w14:paraId="146E6C4D" w14:textId="4BB38708" w:rsidR="4031B14C" w:rsidRDefault="1D0A6485" w:rsidP="4031B14C">
                  <w:pPr>
                    <w:ind w:firstLine="360"/>
                    <w:rPr>
                      <w:rFonts w:ascii="Times New Roman" w:eastAsia="Times New Roman" w:hAnsi="Times New Roman" w:cs="Times New Roman"/>
                      <w:color w:val="0E101A"/>
                      <w:sz w:val="24"/>
                      <w:szCs w:val="24"/>
                    </w:rPr>
                  </w:pPr>
                  <w:r w:rsidRPr="1D0A6485">
                    <w:rPr>
                      <w:rFonts w:ascii="Times New Roman" w:eastAsia="Times New Roman" w:hAnsi="Times New Roman" w:cs="Times New Roman"/>
                      <w:b/>
                      <w:bCs/>
                      <w:color w:val="0E101A"/>
                      <w:sz w:val="24"/>
                      <w:szCs w:val="24"/>
                      <w:lang w:val="en"/>
                    </w:rPr>
                    <w:t>Academic Level</w:t>
                  </w:r>
                </w:p>
              </w:tc>
              <w:tc>
                <w:tcPr>
                  <w:tcW w:w="1995" w:type="dxa"/>
                </w:tcPr>
                <w:p w14:paraId="53F391A2" w14:textId="00053580" w:rsidR="4031B14C" w:rsidRDefault="1D0A6485" w:rsidP="4031B14C">
                  <w:pPr>
                    <w:ind w:firstLine="360"/>
                    <w:jc w:val="right"/>
                    <w:rPr>
                      <w:rFonts w:ascii="Times New Roman" w:eastAsia="Times New Roman" w:hAnsi="Times New Roman" w:cs="Times New Roman"/>
                      <w:color w:val="0E101A"/>
                      <w:sz w:val="24"/>
                      <w:szCs w:val="24"/>
                    </w:rPr>
                  </w:pPr>
                  <w:r w:rsidRPr="1D0A6485">
                    <w:rPr>
                      <w:rFonts w:ascii="Times New Roman" w:eastAsia="Times New Roman" w:hAnsi="Times New Roman" w:cs="Times New Roman"/>
                      <w:b/>
                      <w:bCs/>
                      <w:color w:val="0E101A"/>
                      <w:sz w:val="24"/>
                      <w:szCs w:val="24"/>
                      <w:lang w:val="en"/>
                    </w:rPr>
                    <w:t>Frequency (%)</w:t>
                  </w:r>
                </w:p>
              </w:tc>
            </w:tr>
            <w:tr w:rsidR="4031B14C" w14:paraId="1CAF78DC" w14:textId="77777777" w:rsidTr="1D0A6485">
              <w:trPr>
                <w:trHeight w:val="300"/>
              </w:trPr>
              <w:tc>
                <w:tcPr>
                  <w:tcW w:w="2430" w:type="dxa"/>
                </w:tcPr>
                <w:p w14:paraId="7ED2F698" w14:textId="5D8D39A9" w:rsidR="4031B14C" w:rsidRDefault="1D0A6485" w:rsidP="4031B14C">
                  <w:pPr>
                    <w:ind w:firstLine="360"/>
                    <w:jc w:val="both"/>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Under graduation (BBA, BSc or equivalent)</w:t>
                  </w:r>
                </w:p>
              </w:tc>
              <w:tc>
                <w:tcPr>
                  <w:tcW w:w="1995" w:type="dxa"/>
                </w:tcPr>
                <w:p w14:paraId="416D3EA7" w14:textId="760709A2" w:rsidR="4031B14C" w:rsidRDefault="1D0A6485" w:rsidP="4031B14C">
                  <w:pPr>
                    <w:ind w:firstLine="360"/>
                    <w:jc w:val="right"/>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205(77.9%)</w:t>
                  </w:r>
                </w:p>
              </w:tc>
            </w:tr>
            <w:tr w:rsidR="4031B14C" w14:paraId="6BF6E8E2" w14:textId="77777777" w:rsidTr="1D0A6485">
              <w:trPr>
                <w:trHeight w:val="300"/>
              </w:trPr>
              <w:tc>
                <w:tcPr>
                  <w:tcW w:w="2430" w:type="dxa"/>
                </w:tcPr>
                <w:p w14:paraId="1696CB28" w14:textId="307535A4" w:rsidR="4031B14C" w:rsidRDefault="1D0A6485" w:rsidP="4031B14C">
                  <w:pPr>
                    <w:ind w:firstLine="360"/>
                    <w:jc w:val="both"/>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Post-Graduation (MBA, MSC or equivalent)</w:t>
                  </w:r>
                </w:p>
              </w:tc>
              <w:tc>
                <w:tcPr>
                  <w:tcW w:w="1995" w:type="dxa"/>
                </w:tcPr>
                <w:p w14:paraId="35861383" w14:textId="5038520B" w:rsidR="4031B14C" w:rsidRDefault="1D0A6485" w:rsidP="4031B14C">
                  <w:pPr>
                    <w:ind w:firstLine="360"/>
                    <w:jc w:val="right"/>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54(20.5%)</w:t>
                  </w:r>
                </w:p>
              </w:tc>
            </w:tr>
            <w:tr w:rsidR="4031B14C" w14:paraId="7C6B3A16" w14:textId="77777777" w:rsidTr="1D0A6485">
              <w:trPr>
                <w:trHeight w:val="300"/>
              </w:trPr>
              <w:tc>
                <w:tcPr>
                  <w:tcW w:w="2430" w:type="dxa"/>
                </w:tcPr>
                <w:p w14:paraId="2949060A" w14:textId="2342F130" w:rsidR="4031B14C" w:rsidRDefault="1D0A6485" w:rsidP="4031B14C">
                  <w:pPr>
                    <w:ind w:firstLine="360"/>
                    <w:jc w:val="both"/>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PhD</w:t>
                  </w:r>
                </w:p>
              </w:tc>
              <w:tc>
                <w:tcPr>
                  <w:tcW w:w="1995" w:type="dxa"/>
                </w:tcPr>
                <w:p w14:paraId="7D6F6334" w14:textId="60550BB1" w:rsidR="4031B14C" w:rsidRDefault="1D0A6485" w:rsidP="4031B14C">
                  <w:pPr>
                    <w:ind w:firstLine="360"/>
                    <w:jc w:val="right"/>
                    <w:rPr>
                      <w:rFonts w:ascii="Times New Roman" w:eastAsia="Times New Roman" w:hAnsi="Times New Roman" w:cs="Times New Roman"/>
                      <w:color w:val="0E101A"/>
                      <w:sz w:val="24"/>
                      <w:szCs w:val="24"/>
                    </w:rPr>
                  </w:pPr>
                  <w:r w:rsidRPr="1D0A6485">
                    <w:rPr>
                      <w:rFonts w:ascii="Times New Roman" w:eastAsia="Times New Roman" w:hAnsi="Times New Roman" w:cs="Times New Roman"/>
                      <w:color w:val="0E101A"/>
                      <w:sz w:val="24"/>
                      <w:szCs w:val="24"/>
                      <w:lang w:val="en"/>
                    </w:rPr>
                    <w:t>4(1.5%)</w:t>
                  </w:r>
                </w:p>
              </w:tc>
            </w:tr>
          </w:tbl>
          <w:p w14:paraId="6A549D51" w14:textId="0D267DE6" w:rsidR="4031B14C" w:rsidRDefault="4031B14C" w:rsidP="4031B14C">
            <w:pPr>
              <w:ind w:firstLine="360"/>
              <w:jc w:val="both"/>
              <w:rPr>
                <w:rFonts w:ascii="Cambria" w:eastAsia="Cambria" w:hAnsi="Cambria" w:cs="Cambria"/>
                <w:color w:val="0E101A"/>
              </w:rPr>
            </w:pPr>
          </w:p>
          <w:p w14:paraId="41D7A71A" w14:textId="2FCF1ACA" w:rsidR="4031B14C" w:rsidRDefault="4031B14C" w:rsidP="4031B14C">
            <w:pPr>
              <w:ind w:firstLine="360"/>
              <w:jc w:val="both"/>
              <w:rPr>
                <w:rFonts w:ascii="Cambria" w:eastAsia="Cambria" w:hAnsi="Cambria" w:cs="Cambria"/>
                <w:color w:val="0E101A"/>
              </w:rPr>
            </w:pPr>
          </w:p>
          <w:p w14:paraId="745AACF7" w14:textId="05FEB037" w:rsidR="4031B14C" w:rsidRDefault="4031B14C" w:rsidP="4031B14C">
            <w:pPr>
              <w:ind w:firstLine="360"/>
              <w:jc w:val="both"/>
              <w:rPr>
                <w:rFonts w:ascii="Cambria" w:eastAsia="Cambria" w:hAnsi="Cambria" w:cs="Cambria"/>
                <w:color w:val="0E101A"/>
              </w:rPr>
            </w:pPr>
          </w:p>
        </w:tc>
      </w:tr>
    </w:tbl>
    <w:p w14:paraId="1B7000A3" w14:textId="5E9EE736" w:rsidR="4031B14C" w:rsidRDefault="1D0A6485" w:rsidP="00762861">
      <w:pPr>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b/>
          <w:bCs/>
          <w:color w:val="000000" w:themeColor="text1"/>
          <w:lang w:val="en"/>
        </w:rPr>
        <w:t xml:space="preserve">4. </w:t>
      </w:r>
      <w:r w:rsidRPr="1D0A6485">
        <w:rPr>
          <w:rFonts w:ascii="Times New Roman" w:eastAsia="Times New Roman" w:hAnsi="Times New Roman" w:cs="Times New Roman"/>
          <w:b/>
          <w:bCs/>
          <w:color w:val="000000" w:themeColor="text1"/>
          <w:sz w:val="24"/>
          <w:szCs w:val="24"/>
          <w:lang w:val="en"/>
        </w:rPr>
        <w:t>Results and analysis</w:t>
      </w:r>
    </w:p>
    <w:p w14:paraId="40773160" w14:textId="3F8F2958" w:rsidR="4031B14C" w:rsidRDefault="1D0A6485" w:rsidP="00762861">
      <w:pPr>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The demographic differences among the respondents in terms of gender, age group, academic divisions, stage, and</w:t>
      </w:r>
      <w:r w:rsidR="00002B91">
        <w:rPr>
          <w:rFonts w:ascii="Times New Roman" w:eastAsia="Times New Roman" w:hAnsi="Times New Roman" w:cs="Times New Roman"/>
          <w:color w:val="000000" w:themeColor="text1"/>
          <w:sz w:val="24"/>
          <w:szCs w:val="24"/>
          <w:lang w:val="en"/>
        </w:rPr>
        <w:t xml:space="preserve"> </w:t>
      </w:r>
      <w:r w:rsidRPr="1D0A6485">
        <w:rPr>
          <w:rFonts w:ascii="Times New Roman" w:eastAsia="Times New Roman" w:hAnsi="Times New Roman" w:cs="Times New Roman"/>
          <w:color w:val="000000" w:themeColor="text1"/>
          <w:sz w:val="24"/>
          <w:szCs w:val="24"/>
          <w:lang w:val="en"/>
        </w:rPr>
        <w:t>level</w:t>
      </w:r>
      <w:r w:rsidR="00002B91">
        <w:rPr>
          <w:rFonts w:ascii="Times New Roman" w:eastAsia="Times New Roman" w:hAnsi="Times New Roman" w:cs="Times New Roman"/>
          <w:color w:val="000000" w:themeColor="text1"/>
          <w:sz w:val="24"/>
          <w:szCs w:val="24"/>
          <w:lang w:val="en"/>
        </w:rPr>
        <w:t xml:space="preserve"> </w:t>
      </w:r>
      <w:r w:rsidRPr="1D0A6485">
        <w:rPr>
          <w:rFonts w:ascii="Times New Roman" w:eastAsia="Times New Roman" w:hAnsi="Times New Roman" w:cs="Times New Roman"/>
          <w:color w:val="000000" w:themeColor="text1"/>
          <w:sz w:val="24"/>
          <w:szCs w:val="24"/>
          <w:lang w:val="en"/>
        </w:rPr>
        <w:t xml:space="preserve">demonstrate a wide variety in response (Table 1) and, thus, advocates for a robust </w:t>
      </w:r>
      <w:r w:rsidR="00002B91">
        <w:rPr>
          <w:rFonts w:ascii="Times New Roman" w:eastAsia="Times New Roman" w:hAnsi="Times New Roman" w:cs="Times New Roman"/>
          <w:color w:val="000000" w:themeColor="text1"/>
          <w:sz w:val="24"/>
          <w:szCs w:val="24"/>
          <w:lang w:val="en"/>
        </w:rPr>
        <w:t>outcome</w:t>
      </w:r>
      <w:r w:rsidR="00002B91" w:rsidRPr="1D0A6485">
        <w:rPr>
          <w:rFonts w:ascii="Times New Roman" w:eastAsia="Times New Roman" w:hAnsi="Times New Roman" w:cs="Times New Roman"/>
          <w:color w:val="000000" w:themeColor="text1"/>
          <w:sz w:val="24"/>
          <w:szCs w:val="24"/>
          <w:lang w:val="en"/>
        </w:rPr>
        <w:t>.</w:t>
      </w:r>
      <w:r w:rsidR="00002B91">
        <w:rPr>
          <w:rFonts w:ascii="Times New Roman" w:eastAsia="Times New Roman" w:hAnsi="Times New Roman" w:cs="Times New Roman"/>
          <w:color w:val="000000" w:themeColor="text1"/>
          <w:sz w:val="24"/>
          <w:szCs w:val="24"/>
          <w:lang w:val="en"/>
        </w:rPr>
        <w:t xml:space="preserve"> The majority</w:t>
      </w:r>
      <w:r w:rsidRPr="1D0A6485">
        <w:rPr>
          <w:rFonts w:ascii="Times New Roman" w:eastAsia="Times New Roman" w:hAnsi="Times New Roman" w:cs="Times New Roman"/>
          <w:color w:val="000000" w:themeColor="text1"/>
          <w:sz w:val="24"/>
          <w:szCs w:val="24"/>
          <w:lang w:val="en"/>
        </w:rPr>
        <w:t xml:space="preserve"> of the respondents opined that online lecturing could be a supplementary tool for education during this intermediate period of Covid-19 but not the replacement. They stated different scenarios explaining the limitations of online lectures at this stage. One respondent reported-</w:t>
      </w:r>
    </w:p>
    <w:p w14:paraId="37C9C425" w14:textId="0FBD6546" w:rsidR="4031B14C" w:rsidRPr="00002B91" w:rsidRDefault="00143D69" w:rsidP="1D0A6485">
      <w:pPr>
        <w:jc w:val="both"/>
        <w:rPr>
          <w:rFonts w:ascii="Times New Roman" w:eastAsia="Times New Roman" w:hAnsi="Times New Roman" w:cs="Times New Roman"/>
          <w:i/>
          <w:iCs/>
          <w:color w:val="000000" w:themeColor="text1"/>
          <w:sz w:val="24"/>
          <w:szCs w:val="24"/>
        </w:rPr>
      </w:pPr>
      <w:r>
        <w:rPr>
          <w:rFonts w:ascii="Times New Roman" w:eastAsia="Times New Roman" w:hAnsi="Times New Roman" w:cs="Times New Roman"/>
          <w:i/>
          <w:iCs/>
          <w:color w:val="000000" w:themeColor="text1"/>
          <w:sz w:val="24"/>
          <w:szCs w:val="24"/>
          <w:lang w:val="en"/>
        </w:rPr>
        <w:t>"</w:t>
      </w:r>
      <w:r w:rsidR="00EF3B32" w:rsidRPr="00002B91">
        <w:rPr>
          <w:rFonts w:ascii="Times New Roman" w:eastAsia="Times New Roman" w:hAnsi="Times New Roman" w:cs="Times New Roman"/>
          <w:i/>
          <w:iCs/>
          <w:color w:val="000000" w:themeColor="text1"/>
          <w:sz w:val="24"/>
          <w:szCs w:val="24"/>
          <w:lang w:val="en"/>
        </w:rPr>
        <w:t>Online</w:t>
      </w:r>
      <w:r w:rsidR="1D0A6485" w:rsidRPr="00002B91">
        <w:rPr>
          <w:rFonts w:ascii="Times New Roman" w:eastAsia="Times New Roman" w:hAnsi="Times New Roman" w:cs="Times New Roman"/>
          <w:i/>
          <w:iCs/>
          <w:color w:val="000000" w:themeColor="text1"/>
          <w:sz w:val="24"/>
          <w:szCs w:val="24"/>
          <w:lang w:val="en"/>
        </w:rPr>
        <w:t xml:space="preserve"> c</w:t>
      </w:r>
      <w:r w:rsidR="00002B91" w:rsidRPr="00002B91">
        <w:rPr>
          <w:rFonts w:ascii="Times New Roman" w:eastAsia="Times New Roman" w:hAnsi="Times New Roman" w:cs="Times New Roman"/>
          <w:i/>
          <w:iCs/>
          <w:color w:val="000000" w:themeColor="text1"/>
          <w:sz w:val="24"/>
          <w:szCs w:val="24"/>
          <w:lang w:val="en"/>
        </w:rPr>
        <w:t xml:space="preserve">lasses </w:t>
      </w:r>
      <w:r>
        <w:rPr>
          <w:rFonts w:ascii="Times New Roman" w:eastAsia="Times New Roman" w:hAnsi="Times New Roman" w:cs="Times New Roman"/>
          <w:i/>
          <w:iCs/>
          <w:color w:val="000000" w:themeColor="text1"/>
          <w:sz w:val="24"/>
          <w:szCs w:val="24"/>
          <w:lang w:val="en"/>
        </w:rPr>
        <w:t>don't</w:t>
      </w:r>
      <w:r w:rsidR="1D0A6485" w:rsidRPr="00002B91">
        <w:rPr>
          <w:rFonts w:ascii="Times New Roman" w:eastAsia="Times New Roman" w:hAnsi="Times New Roman" w:cs="Times New Roman"/>
          <w:i/>
          <w:iCs/>
          <w:color w:val="000000" w:themeColor="text1"/>
          <w:sz w:val="24"/>
          <w:szCs w:val="24"/>
          <w:lang w:val="en"/>
        </w:rPr>
        <w:t xml:space="preserve"> offer the same immediate and regular access to instructors and classmates as traditional face-to-face classes.</w:t>
      </w:r>
      <w:r>
        <w:rPr>
          <w:rFonts w:ascii="Times New Roman" w:eastAsia="Times New Roman" w:hAnsi="Times New Roman" w:cs="Times New Roman"/>
          <w:i/>
          <w:iCs/>
          <w:color w:val="000000" w:themeColor="text1"/>
          <w:sz w:val="24"/>
          <w:szCs w:val="24"/>
          <w:lang w:val="en"/>
        </w:rPr>
        <w:t>"</w:t>
      </w:r>
      <w:r w:rsidR="1D0A6485" w:rsidRPr="00002B91">
        <w:rPr>
          <w:rFonts w:ascii="Times New Roman" w:eastAsia="Times New Roman" w:hAnsi="Times New Roman" w:cs="Times New Roman"/>
          <w:i/>
          <w:iCs/>
          <w:color w:val="000000" w:themeColor="text1"/>
          <w:sz w:val="24"/>
          <w:szCs w:val="24"/>
          <w:lang w:val="en"/>
        </w:rPr>
        <w:t xml:space="preserve"> </w:t>
      </w:r>
    </w:p>
    <w:p w14:paraId="4CAE2987" w14:textId="4B4C61A7" w:rsidR="4031B14C" w:rsidRDefault="1D0A6485" w:rsidP="00762861">
      <w:pPr>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 xml:space="preserve">Despite the above direct oppositions by the respondents, this study found mixed sentiment from </w:t>
      </w:r>
      <w:r w:rsidR="00EF3B32" w:rsidRPr="1D0A6485">
        <w:rPr>
          <w:rFonts w:ascii="Times New Roman" w:eastAsia="Times New Roman" w:hAnsi="Times New Roman" w:cs="Times New Roman"/>
          <w:color w:val="000000" w:themeColor="text1"/>
          <w:sz w:val="24"/>
          <w:szCs w:val="24"/>
          <w:lang w:val="en"/>
        </w:rPr>
        <w:t>the respondents</w:t>
      </w:r>
      <w:r w:rsidR="00EF3B32">
        <w:rPr>
          <w:rFonts w:ascii="Times New Roman" w:eastAsia="Times New Roman" w:hAnsi="Times New Roman" w:cs="Times New Roman"/>
          <w:color w:val="000000" w:themeColor="text1"/>
          <w:sz w:val="24"/>
          <w:szCs w:val="24"/>
          <w:lang w:val="en"/>
        </w:rPr>
        <w:t>,</w:t>
      </w:r>
      <w:r w:rsidRPr="1D0A6485">
        <w:rPr>
          <w:rFonts w:ascii="Times New Roman" w:eastAsia="Times New Roman" w:hAnsi="Times New Roman" w:cs="Times New Roman"/>
          <w:color w:val="000000" w:themeColor="text1"/>
          <w:sz w:val="24"/>
          <w:szCs w:val="24"/>
          <w:lang w:val="en"/>
        </w:rPr>
        <w:t xml:space="preserve"> which are explained in the later sections.</w:t>
      </w:r>
    </w:p>
    <w:p w14:paraId="5C8BFE4D" w14:textId="324D1711" w:rsidR="4031B14C" w:rsidRDefault="4031B14C" w:rsidP="4031B14C">
      <w:pPr>
        <w:ind w:firstLine="360"/>
        <w:jc w:val="both"/>
        <w:rPr>
          <w:rFonts w:ascii="Times New Roman" w:eastAsia="Times New Roman" w:hAnsi="Times New Roman" w:cs="Times New Roman"/>
          <w:color w:val="000000" w:themeColor="text1"/>
          <w:sz w:val="24"/>
          <w:szCs w:val="24"/>
        </w:rPr>
      </w:pPr>
    </w:p>
    <w:p w14:paraId="527AC1B0" w14:textId="4A6566F6" w:rsidR="00800F00" w:rsidRDefault="00800F00" w:rsidP="4031B14C">
      <w:pPr>
        <w:ind w:firstLine="360"/>
        <w:jc w:val="both"/>
        <w:rPr>
          <w:rFonts w:ascii="Times New Roman" w:eastAsia="Times New Roman" w:hAnsi="Times New Roman" w:cs="Times New Roman"/>
          <w:color w:val="000000" w:themeColor="text1"/>
          <w:sz w:val="24"/>
          <w:szCs w:val="24"/>
        </w:rPr>
      </w:pPr>
    </w:p>
    <w:p w14:paraId="2F2BC608" w14:textId="77777777" w:rsidR="00800F00" w:rsidRDefault="00800F00" w:rsidP="4031B14C">
      <w:pPr>
        <w:ind w:firstLine="360"/>
        <w:jc w:val="both"/>
        <w:rPr>
          <w:rFonts w:ascii="Times New Roman" w:eastAsia="Times New Roman" w:hAnsi="Times New Roman" w:cs="Times New Roman"/>
          <w:color w:val="000000" w:themeColor="text1"/>
          <w:sz w:val="24"/>
          <w:szCs w:val="24"/>
        </w:rPr>
      </w:pPr>
    </w:p>
    <w:p w14:paraId="4E7F4C80" w14:textId="3562A65E" w:rsidR="4031B14C" w:rsidRDefault="1D0A6485" w:rsidP="00762861">
      <w:pPr>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b/>
          <w:bCs/>
          <w:color w:val="000000" w:themeColor="text1"/>
          <w:sz w:val="24"/>
          <w:szCs w:val="24"/>
          <w:lang w:val="en"/>
        </w:rPr>
        <w:lastRenderedPageBreak/>
        <w:t>Q1. Do you think that online classes have made you less likely to attend class? And to what extent?</w:t>
      </w:r>
    </w:p>
    <w:p w14:paraId="0FB76EE9" w14:textId="737E9680" w:rsidR="4031B14C" w:rsidRDefault="1D0A6485" w:rsidP="00762861">
      <w:pPr>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 xml:space="preserve">Online classes have </w:t>
      </w:r>
      <w:r w:rsidR="00EF3B32" w:rsidRPr="1D0A6485">
        <w:rPr>
          <w:rFonts w:ascii="Times New Roman" w:eastAsia="Times New Roman" w:hAnsi="Times New Roman" w:cs="Times New Roman"/>
          <w:color w:val="000000" w:themeColor="text1"/>
          <w:sz w:val="24"/>
          <w:szCs w:val="24"/>
          <w:lang w:val="en"/>
        </w:rPr>
        <w:t>dramatica</w:t>
      </w:r>
      <w:r w:rsidR="00EF3B32">
        <w:rPr>
          <w:rFonts w:ascii="Times New Roman" w:eastAsia="Times New Roman" w:hAnsi="Times New Roman" w:cs="Times New Roman"/>
          <w:color w:val="000000" w:themeColor="text1"/>
          <w:sz w:val="24"/>
          <w:szCs w:val="24"/>
          <w:lang w:val="en"/>
        </w:rPr>
        <w:t>l</w:t>
      </w:r>
      <w:r w:rsidR="00EF3B32" w:rsidRPr="1D0A6485">
        <w:rPr>
          <w:rFonts w:ascii="Times New Roman" w:eastAsia="Times New Roman" w:hAnsi="Times New Roman" w:cs="Times New Roman"/>
          <w:color w:val="000000" w:themeColor="text1"/>
          <w:sz w:val="24"/>
          <w:szCs w:val="24"/>
          <w:lang w:val="en"/>
        </w:rPr>
        <w:t>ly</w:t>
      </w:r>
      <w:r w:rsidR="00EF3B32">
        <w:rPr>
          <w:rFonts w:ascii="Times New Roman" w:eastAsia="Times New Roman" w:hAnsi="Times New Roman" w:cs="Times New Roman"/>
          <w:color w:val="000000" w:themeColor="text1"/>
          <w:sz w:val="24"/>
          <w:szCs w:val="24"/>
          <w:lang w:val="en"/>
        </w:rPr>
        <w:t xml:space="preserve"> ov</w:t>
      </w:r>
      <w:r w:rsidRPr="1D0A6485">
        <w:rPr>
          <w:rFonts w:ascii="Times New Roman" w:eastAsia="Times New Roman" w:hAnsi="Times New Roman" w:cs="Times New Roman"/>
          <w:color w:val="000000" w:themeColor="text1"/>
          <w:sz w:val="24"/>
          <w:szCs w:val="24"/>
          <w:lang w:val="en"/>
        </w:rPr>
        <w:t xml:space="preserve">ertaken conventional physical classes as the covid-19 pandemic has forced us to stay apart and practice social distances. This has </w:t>
      </w:r>
      <w:r w:rsidR="00EF3B32">
        <w:rPr>
          <w:rFonts w:ascii="Times New Roman" w:eastAsia="Times New Roman" w:hAnsi="Times New Roman" w:cs="Times New Roman"/>
          <w:color w:val="000000" w:themeColor="text1"/>
          <w:sz w:val="24"/>
          <w:szCs w:val="24"/>
          <w:lang w:val="en"/>
        </w:rPr>
        <w:t xml:space="preserve">a </w:t>
      </w:r>
      <w:r w:rsidRPr="1D0A6485">
        <w:rPr>
          <w:rFonts w:ascii="Times New Roman" w:eastAsia="Times New Roman" w:hAnsi="Times New Roman" w:cs="Times New Roman"/>
          <w:color w:val="000000" w:themeColor="text1"/>
          <w:sz w:val="24"/>
          <w:szCs w:val="24"/>
          <w:lang w:val="en"/>
        </w:rPr>
        <w:t xml:space="preserve">long-tail </w:t>
      </w:r>
      <w:r w:rsidR="00EF3B32">
        <w:rPr>
          <w:rFonts w:ascii="Times New Roman" w:eastAsia="Times New Roman" w:hAnsi="Times New Roman" w:cs="Times New Roman"/>
          <w:color w:val="000000" w:themeColor="text1"/>
          <w:sz w:val="24"/>
          <w:szCs w:val="24"/>
          <w:lang w:val="en"/>
        </w:rPr>
        <w:t>im</w:t>
      </w:r>
      <w:r w:rsidRPr="1D0A6485">
        <w:rPr>
          <w:rFonts w:ascii="Times New Roman" w:eastAsia="Times New Roman" w:hAnsi="Times New Roman" w:cs="Times New Roman"/>
          <w:color w:val="000000" w:themeColor="text1"/>
          <w:sz w:val="24"/>
          <w:szCs w:val="24"/>
          <w:lang w:val="en"/>
        </w:rPr>
        <w:t xml:space="preserve">pact </w:t>
      </w:r>
      <w:r w:rsidR="00EF3B32">
        <w:rPr>
          <w:rFonts w:ascii="Times New Roman" w:eastAsia="Times New Roman" w:hAnsi="Times New Roman" w:cs="Times New Roman"/>
          <w:color w:val="000000" w:themeColor="text1"/>
          <w:sz w:val="24"/>
          <w:szCs w:val="24"/>
          <w:lang w:val="en"/>
        </w:rPr>
        <w:t>on</w:t>
      </w:r>
      <w:r w:rsidRPr="1D0A6485">
        <w:rPr>
          <w:rFonts w:ascii="Times New Roman" w:eastAsia="Times New Roman" w:hAnsi="Times New Roman" w:cs="Times New Roman"/>
          <w:color w:val="000000" w:themeColor="text1"/>
          <w:sz w:val="24"/>
          <w:szCs w:val="24"/>
          <w:lang w:val="en"/>
        </w:rPr>
        <w:t xml:space="preserve"> daily activities </w:t>
      </w:r>
      <w:r w:rsidR="00500D14">
        <w:rPr>
          <w:rFonts w:ascii="Times New Roman" w:eastAsia="Times New Roman" w:hAnsi="Times New Roman" w:cs="Times New Roman"/>
          <w:color w:val="000000" w:themeColor="text1"/>
          <w:sz w:val="24"/>
          <w:szCs w:val="24"/>
          <w:lang w:val="en"/>
        </w:rPr>
        <w:t>for</w:t>
      </w:r>
      <w:r w:rsidRPr="1D0A6485">
        <w:rPr>
          <w:rFonts w:ascii="Times New Roman" w:eastAsia="Times New Roman" w:hAnsi="Times New Roman" w:cs="Times New Roman"/>
          <w:color w:val="000000" w:themeColor="text1"/>
          <w:sz w:val="24"/>
          <w:szCs w:val="24"/>
          <w:lang w:val="en"/>
        </w:rPr>
        <w:t xml:space="preserve"> people of all walks. Students have been facing difficulties due to this change. Sudden change in the way of participating in classes has both positive and negative impacts. Carefully analyzing curated feedback of the 140 participants, the overall impact of this online class situation </w:t>
      </w:r>
      <w:r w:rsidR="00EF3B32">
        <w:rPr>
          <w:rFonts w:ascii="Times New Roman" w:eastAsia="Times New Roman" w:hAnsi="Times New Roman" w:cs="Times New Roman"/>
          <w:color w:val="000000" w:themeColor="text1"/>
          <w:sz w:val="24"/>
          <w:szCs w:val="24"/>
          <w:lang w:val="en"/>
        </w:rPr>
        <w:t>paints a negative picture.</w:t>
      </w:r>
      <w:r w:rsidRPr="1D0A6485">
        <w:rPr>
          <w:rFonts w:ascii="Times New Roman" w:eastAsia="Times New Roman" w:hAnsi="Times New Roman" w:cs="Times New Roman"/>
          <w:color w:val="000000" w:themeColor="text1"/>
          <w:sz w:val="24"/>
          <w:szCs w:val="24"/>
          <w:lang w:val="en"/>
        </w:rPr>
        <w:t xml:space="preserve"> Table 2 presents the summary of the responses.</w:t>
      </w:r>
    </w:p>
    <w:p w14:paraId="0CD8CF20" w14:textId="58528C03" w:rsidR="4031B14C" w:rsidRDefault="4031B14C" w:rsidP="4031B14C">
      <w:pPr>
        <w:ind w:firstLine="360"/>
        <w:jc w:val="both"/>
        <w:rPr>
          <w:rFonts w:ascii="Times New Roman" w:eastAsia="Times New Roman" w:hAnsi="Times New Roman" w:cs="Times New Roman"/>
          <w:color w:val="202124"/>
          <w:sz w:val="24"/>
          <w:szCs w:val="24"/>
        </w:rPr>
      </w:pPr>
    </w:p>
    <w:p w14:paraId="79258F0B" w14:textId="397AF697" w:rsidR="4031B14C" w:rsidRDefault="1D0A6485" w:rsidP="00762861">
      <w:pPr>
        <w:jc w:val="both"/>
        <w:rPr>
          <w:rFonts w:ascii="Times New Roman" w:eastAsia="Times New Roman" w:hAnsi="Times New Roman" w:cs="Times New Roman"/>
          <w:color w:val="202124"/>
          <w:sz w:val="24"/>
          <w:szCs w:val="24"/>
        </w:rPr>
      </w:pPr>
      <w:r w:rsidRPr="1D0A6485">
        <w:rPr>
          <w:rFonts w:ascii="Times New Roman" w:eastAsia="Times New Roman" w:hAnsi="Times New Roman" w:cs="Times New Roman"/>
          <w:color w:val="202124"/>
          <w:sz w:val="24"/>
          <w:szCs w:val="24"/>
          <w:lang w:val="en"/>
        </w:rPr>
        <w:t>Table 2:  Sentiment analysis summary for Q1</w:t>
      </w:r>
    </w:p>
    <w:tbl>
      <w:tblPr>
        <w:tblW w:w="0" w:type="auto"/>
        <w:tblLayout w:type="fixed"/>
        <w:tblLook w:val="04A0" w:firstRow="1" w:lastRow="0" w:firstColumn="1" w:lastColumn="0" w:noHBand="0" w:noVBand="1"/>
      </w:tblPr>
      <w:tblGrid>
        <w:gridCol w:w="2730"/>
        <w:gridCol w:w="3450"/>
        <w:gridCol w:w="3150"/>
      </w:tblGrid>
      <w:tr w:rsidR="4031B14C" w14:paraId="127FEAF1" w14:textId="77777777" w:rsidTr="1D0A6485">
        <w:trPr>
          <w:trHeight w:val="300"/>
        </w:trPr>
        <w:tc>
          <w:tcPr>
            <w:tcW w:w="2730" w:type="dxa"/>
            <w:tcBorders>
              <w:top w:val="single" w:sz="6" w:space="0" w:color="305496"/>
              <w:left w:val="nil"/>
              <w:bottom w:val="nil"/>
              <w:right w:val="nil"/>
            </w:tcBorders>
            <w:shd w:val="clear" w:color="auto" w:fill="4472C4" w:themeFill="accent1"/>
            <w:vAlign w:val="bottom"/>
          </w:tcPr>
          <w:p w14:paraId="600E7A22" w14:textId="232B3B35" w:rsidR="4031B14C" w:rsidRDefault="1D0A6485" w:rsidP="4031B14C">
            <w:pPr>
              <w:ind w:firstLine="360"/>
              <w:jc w:val="both"/>
              <w:rPr>
                <w:rFonts w:ascii="Times New Roman" w:eastAsia="Times New Roman" w:hAnsi="Times New Roman" w:cs="Times New Roman"/>
                <w:color w:val="FFFFFF" w:themeColor="background1"/>
                <w:sz w:val="24"/>
                <w:szCs w:val="24"/>
              </w:rPr>
            </w:pPr>
            <w:r w:rsidRPr="1D0A6485">
              <w:rPr>
                <w:rFonts w:ascii="Times New Roman" w:eastAsia="Times New Roman" w:hAnsi="Times New Roman" w:cs="Times New Roman"/>
                <w:b/>
                <w:bCs/>
                <w:color w:val="FFFFFF" w:themeColor="background1"/>
                <w:sz w:val="24"/>
                <w:szCs w:val="24"/>
              </w:rPr>
              <w:t>Sentiment</w:t>
            </w:r>
          </w:p>
        </w:tc>
        <w:tc>
          <w:tcPr>
            <w:tcW w:w="3450" w:type="dxa"/>
            <w:tcBorders>
              <w:top w:val="single" w:sz="6" w:space="0" w:color="305496"/>
              <w:left w:val="nil"/>
              <w:bottom w:val="nil"/>
              <w:right w:val="nil"/>
            </w:tcBorders>
            <w:shd w:val="clear" w:color="auto" w:fill="4472C4" w:themeFill="accent1"/>
            <w:vAlign w:val="bottom"/>
          </w:tcPr>
          <w:p w14:paraId="4CCDB626" w14:textId="2E957BD0" w:rsidR="4031B14C" w:rsidRDefault="1D0A6485" w:rsidP="4031B14C">
            <w:pPr>
              <w:ind w:firstLine="360"/>
              <w:jc w:val="both"/>
              <w:rPr>
                <w:rFonts w:ascii="Times New Roman" w:eastAsia="Times New Roman" w:hAnsi="Times New Roman" w:cs="Times New Roman"/>
                <w:color w:val="FFFFFF" w:themeColor="background1"/>
                <w:sz w:val="24"/>
                <w:szCs w:val="24"/>
              </w:rPr>
            </w:pPr>
            <w:r w:rsidRPr="1D0A6485">
              <w:rPr>
                <w:rFonts w:ascii="Times New Roman" w:eastAsia="Times New Roman" w:hAnsi="Times New Roman" w:cs="Times New Roman"/>
                <w:b/>
                <w:bCs/>
                <w:color w:val="FFFFFF" w:themeColor="background1"/>
                <w:sz w:val="24"/>
                <w:szCs w:val="24"/>
                <w:lang w:val="en"/>
              </w:rPr>
              <w:t>Count of Response</w:t>
            </w:r>
          </w:p>
        </w:tc>
        <w:tc>
          <w:tcPr>
            <w:tcW w:w="3150" w:type="dxa"/>
            <w:tcBorders>
              <w:top w:val="single" w:sz="6" w:space="0" w:color="305496"/>
              <w:left w:val="nil"/>
              <w:bottom w:val="nil"/>
              <w:right w:val="nil"/>
            </w:tcBorders>
            <w:shd w:val="clear" w:color="auto" w:fill="4472C4" w:themeFill="accent1"/>
            <w:vAlign w:val="bottom"/>
          </w:tcPr>
          <w:p w14:paraId="7552EC04" w14:textId="22CD6AD6" w:rsidR="4031B14C" w:rsidRDefault="1D0A6485" w:rsidP="4031B14C">
            <w:pPr>
              <w:ind w:firstLine="360"/>
              <w:jc w:val="both"/>
              <w:rPr>
                <w:rFonts w:ascii="Times New Roman" w:eastAsia="Times New Roman" w:hAnsi="Times New Roman" w:cs="Times New Roman"/>
                <w:color w:val="FFFFFF" w:themeColor="background1"/>
                <w:sz w:val="24"/>
                <w:szCs w:val="24"/>
              </w:rPr>
            </w:pPr>
            <w:r w:rsidRPr="1D0A6485">
              <w:rPr>
                <w:rFonts w:ascii="Times New Roman" w:eastAsia="Times New Roman" w:hAnsi="Times New Roman" w:cs="Times New Roman"/>
                <w:b/>
                <w:bCs/>
                <w:color w:val="FFFFFF" w:themeColor="background1"/>
                <w:sz w:val="24"/>
                <w:szCs w:val="24"/>
                <w:lang w:val="en"/>
              </w:rPr>
              <w:t>Average of Score</w:t>
            </w:r>
          </w:p>
        </w:tc>
      </w:tr>
      <w:tr w:rsidR="4031B14C" w14:paraId="32C2D134" w14:textId="77777777" w:rsidTr="1D0A6485">
        <w:trPr>
          <w:trHeight w:val="300"/>
        </w:trPr>
        <w:tc>
          <w:tcPr>
            <w:tcW w:w="2730" w:type="dxa"/>
            <w:tcBorders>
              <w:top w:val="nil"/>
              <w:left w:val="nil"/>
              <w:bottom w:val="nil"/>
              <w:right w:val="nil"/>
            </w:tcBorders>
            <w:vAlign w:val="bottom"/>
          </w:tcPr>
          <w:p w14:paraId="5C3627B3" w14:textId="4AC601B3"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negative</w:t>
            </w:r>
          </w:p>
        </w:tc>
        <w:tc>
          <w:tcPr>
            <w:tcW w:w="3450" w:type="dxa"/>
            <w:tcBorders>
              <w:top w:val="nil"/>
              <w:left w:val="nil"/>
              <w:bottom w:val="nil"/>
              <w:right w:val="nil"/>
            </w:tcBorders>
            <w:vAlign w:val="bottom"/>
          </w:tcPr>
          <w:p w14:paraId="6F2C62E1" w14:textId="296E4BCF"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72</w:t>
            </w:r>
          </w:p>
        </w:tc>
        <w:tc>
          <w:tcPr>
            <w:tcW w:w="3150" w:type="dxa"/>
            <w:tcBorders>
              <w:top w:val="nil"/>
              <w:left w:val="nil"/>
              <w:bottom w:val="nil"/>
              <w:right w:val="nil"/>
            </w:tcBorders>
            <w:vAlign w:val="bottom"/>
          </w:tcPr>
          <w:p w14:paraId="061D4514" w14:textId="41FA3EA5"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22%</w:t>
            </w:r>
          </w:p>
        </w:tc>
      </w:tr>
      <w:tr w:rsidR="4031B14C" w14:paraId="17154070" w14:textId="77777777" w:rsidTr="1D0A6485">
        <w:trPr>
          <w:trHeight w:val="300"/>
        </w:trPr>
        <w:tc>
          <w:tcPr>
            <w:tcW w:w="2730" w:type="dxa"/>
            <w:tcBorders>
              <w:top w:val="nil"/>
              <w:left w:val="nil"/>
              <w:bottom w:val="nil"/>
              <w:right w:val="nil"/>
            </w:tcBorders>
            <w:vAlign w:val="bottom"/>
          </w:tcPr>
          <w:p w14:paraId="1861F056" w14:textId="2BA31EEF"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neutral</w:t>
            </w:r>
          </w:p>
        </w:tc>
        <w:tc>
          <w:tcPr>
            <w:tcW w:w="3450" w:type="dxa"/>
            <w:tcBorders>
              <w:top w:val="nil"/>
              <w:left w:val="nil"/>
              <w:bottom w:val="nil"/>
              <w:right w:val="nil"/>
            </w:tcBorders>
            <w:vAlign w:val="bottom"/>
          </w:tcPr>
          <w:p w14:paraId="553D63BC" w14:textId="16A17CF2"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21</w:t>
            </w:r>
          </w:p>
        </w:tc>
        <w:tc>
          <w:tcPr>
            <w:tcW w:w="3150" w:type="dxa"/>
            <w:tcBorders>
              <w:top w:val="nil"/>
              <w:left w:val="nil"/>
              <w:bottom w:val="nil"/>
              <w:right w:val="nil"/>
            </w:tcBorders>
            <w:vAlign w:val="bottom"/>
          </w:tcPr>
          <w:p w14:paraId="166C03D6" w14:textId="196A3C49"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53%</w:t>
            </w:r>
          </w:p>
        </w:tc>
      </w:tr>
      <w:tr w:rsidR="4031B14C" w14:paraId="37055426" w14:textId="77777777" w:rsidTr="1D0A6485">
        <w:trPr>
          <w:trHeight w:val="300"/>
        </w:trPr>
        <w:tc>
          <w:tcPr>
            <w:tcW w:w="2730" w:type="dxa"/>
            <w:tcBorders>
              <w:top w:val="nil"/>
              <w:left w:val="nil"/>
              <w:bottom w:val="nil"/>
              <w:right w:val="nil"/>
            </w:tcBorders>
            <w:vAlign w:val="bottom"/>
          </w:tcPr>
          <w:p w14:paraId="5E09FFA4" w14:textId="372EBAC3"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positive</w:t>
            </w:r>
          </w:p>
        </w:tc>
        <w:tc>
          <w:tcPr>
            <w:tcW w:w="3450" w:type="dxa"/>
            <w:tcBorders>
              <w:top w:val="nil"/>
              <w:left w:val="nil"/>
              <w:bottom w:val="nil"/>
              <w:right w:val="nil"/>
            </w:tcBorders>
            <w:vAlign w:val="bottom"/>
          </w:tcPr>
          <w:p w14:paraId="14C176BD" w14:textId="290E9CCF"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47</w:t>
            </w:r>
          </w:p>
        </w:tc>
        <w:tc>
          <w:tcPr>
            <w:tcW w:w="3150" w:type="dxa"/>
            <w:tcBorders>
              <w:top w:val="nil"/>
              <w:left w:val="nil"/>
              <w:bottom w:val="nil"/>
              <w:right w:val="nil"/>
            </w:tcBorders>
            <w:vAlign w:val="bottom"/>
          </w:tcPr>
          <w:p w14:paraId="2D9C6D75" w14:textId="1E25A24B"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67%</w:t>
            </w:r>
          </w:p>
        </w:tc>
      </w:tr>
      <w:tr w:rsidR="4031B14C" w14:paraId="17FDC170" w14:textId="77777777" w:rsidTr="1D0A6485">
        <w:trPr>
          <w:trHeight w:val="118"/>
        </w:trPr>
        <w:tc>
          <w:tcPr>
            <w:tcW w:w="2730" w:type="dxa"/>
            <w:tcBorders>
              <w:top w:val="single" w:sz="6" w:space="0" w:color="305496"/>
              <w:left w:val="nil"/>
              <w:bottom w:val="single" w:sz="6" w:space="0" w:color="305496"/>
              <w:right w:val="nil"/>
            </w:tcBorders>
            <w:vAlign w:val="bottom"/>
          </w:tcPr>
          <w:p w14:paraId="27A6A7DF" w14:textId="79379CF1"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b/>
                <w:bCs/>
                <w:color w:val="000000" w:themeColor="text1"/>
                <w:sz w:val="24"/>
                <w:szCs w:val="24"/>
                <w:lang w:val="en"/>
              </w:rPr>
              <w:t>Grand Total</w:t>
            </w:r>
          </w:p>
        </w:tc>
        <w:tc>
          <w:tcPr>
            <w:tcW w:w="3450" w:type="dxa"/>
            <w:tcBorders>
              <w:top w:val="single" w:sz="6" w:space="0" w:color="305496"/>
              <w:left w:val="nil"/>
              <w:bottom w:val="single" w:sz="6" w:space="0" w:color="305496"/>
              <w:right w:val="nil"/>
            </w:tcBorders>
            <w:vAlign w:val="bottom"/>
          </w:tcPr>
          <w:p w14:paraId="4C089222" w14:textId="5A8DC4A6"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b/>
                <w:bCs/>
                <w:color w:val="000000" w:themeColor="text1"/>
                <w:sz w:val="24"/>
                <w:szCs w:val="24"/>
                <w:lang w:val="en"/>
              </w:rPr>
              <w:t>140</w:t>
            </w:r>
          </w:p>
        </w:tc>
        <w:tc>
          <w:tcPr>
            <w:tcW w:w="3150" w:type="dxa"/>
            <w:tcBorders>
              <w:top w:val="single" w:sz="6" w:space="0" w:color="305496"/>
              <w:left w:val="nil"/>
              <w:bottom w:val="single" w:sz="6" w:space="0" w:color="305496"/>
              <w:right w:val="nil"/>
            </w:tcBorders>
            <w:vAlign w:val="bottom"/>
          </w:tcPr>
          <w:p w14:paraId="57F0AF25" w14:textId="1C4E4ECE"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b/>
                <w:bCs/>
                <w:color w:val="000000" w:themeColor="text1"/>
                <w:sz w:val="24"/>
                <w:szCs w:val="24"/>
                <w:lang w:val="en"/>
              </w:rPr>
              <w:t>42%</w:t>
            </w:r>
          </w:p>
        </w:tc>
      </w:tr>
    </w:tbl>
    <w:p w14:paraId="2F8F938F" w14:textId="703AEA6E" w:rsidR="4031B14C" w:rsidRDefault="4031B14C" w:rsidP="4031B14C">
      <w:pPr>
        <w:ind w:firstLine="360"/>
        <w:jc w:val="both"/>
        <w:rPr>
          <w:rFonts w:ascii="Times New Roman" w:eastAsia="Times New Roman" w:hAnsi="Times New Roman" w:cs="Times New Roman"/>
          <w:color w:val="000000" w:themeColor="text1"/>
          <w:sz w:val="24"/>
          <w:szCs w:val="24"/>
        </w:rPr>
      </w:pPr>
    </w:p>
    <w:p w14:paraId="42466A17" w14:textId="30A9275A" w:rsidR="4031B14C" w:rsidRPr="009A4213" w:rsidRDefault="1D0A6485" w:rsidP="00762861">
      <w:pPr>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 xml:space="preserve">The sudden shift from physical to online </w:t>
      </w:r>
      <w:r w:rsidR="00500D14">
        <w:rPr>
          <w:rFonts w:ascii="Times New Roman" w:eastAsia="Times New Roman" w:hAnsi="Times New Roman" w:cs="Times New Roman"/>
          <w:color w:val="000000" w:themeColor="text1"/>
          <w:sz w:val="24"/>
          <w:szCs w:val="24"/>
          <w:lang w:val="en"/>
        </w:rPr>
        <w:t>classes</w:t>
      </w:r>
      <w:r w:rsidRPr="1D0A6485">
        <w:rPr>
          <w:rFonts w:ascii="Times New Roman" w:eastAsia="Times New Roman" w:hAnsi="Times New Roman" w:cs="Times New Roman"/>
          <w:color w:val="000000" w:themeColor="text1"/>
          <w:sz w:val="24"/>
          <w:szCs w:val="24"/>
          <w:lang w:val="en"/>
        </w:rPr>
        <w:t xml:space="preserve"> wit</w:t>
      </w:r>
      <w:r w:rsidR="00EF3B32">
        <w:rPr>
          <w:rFonts w:ascii="Times New Roman" w:eastAsia="Times New Roman" w:hAnsi="Times New Roman" w:cs="Times New Roman"/>
          <w:color w:val="000000" w:themeColor="text1"/>
          <w:sz w:val="24"/>
          <w:szCs w:val="24"/>
          <w:lang w:val="en"/>
        </w:rPr>
        <w:t xml:space="preserve">h the </w:t>
      </w:r>
      <w:r w:rsidR="00EF3B32" w:rsidRPr="1D0A6485">
        <w:rPr>
          <w:rFonts w:ascii="Times New Roman" w:eastAsia="Times New Roman" w:hAnsi="Times New Roman" w:cs="Times New Roman"/>
          <w:color w:val="000000" w:themeColor="text1"/>
          <w:sz w:val="24"/>
          <w:szCs w:val="24"/>
          <w:lang w:val="en"/>
        </w:rPr>
        <w:t>same</w:t>
      </w:r>
      <w:r w:rsidRPr="1D0A6485">
        <w:rPr>
          <w:rFonts w:ascii="Times New Roman" w:eastAsia="Times New Roman" w:hAnsi="Times New Roman" w:cs="Times New Roman"/>
          <w:color w:val="000000" w:themeColor="text1"/>
          <w:sz w:val="24"/>
          <w:szCs w:val="24"/>
          <w:lang w:val="en"/>
        </w:rPr>
        <w:t xml:space="preserve"> </w:t>
      </w:r>
      <w:r w:rsidR="00EF3B32">
        <w:rPr>
          <w:rFonts w:ascii="Times New Roman" w:eastAsia="Times New Roman" w:hAnsi="Times New Roman" w:cs="Times New Roman"/>
          <w:color w:val="000000" w:themeColor="text1"/>
          <w:sz w:val="24"/>
          <w:szCs w:val="24"/>
          <w:lang w:val="en"/>
        </w:rPr>
        <w:t>curriculum</w:t>
      </w:r>
      <w:r w:rsidRPr="1D0A6485">
        <w:rPr>
          <w:rFonts w:ascii="Times New Roman" w:eastAsia="Times New Roman" w:hAnsi="Times New Roman" w:cs="Times New Roman"/>
          <w:color w:val="000000" w:themeColor="text1"/>
          <w:sz w:val="24"/>
          <w:szCs w:val="24"/>
          <w:lang w:val="en"/>
        </w:rPr>
        <w:t xml:space="preserve"> presented the students with various hiccups. The online classes come with a couple of </w:t>
      </w:r>
      <w:r w:rsidR="00EF3B32">
        <w:rPr>
          <w:rFonts w:ascii="Times New Roman" w:eastAsia="Times New Roman" w:hAnsi="Times New Roman" w:cs="Times New Roman"/>
          <w:color w:val="000000" w:themeColor="text1"/>
          <w:sz w:val="24"/>
          <w:szCs w:val="24"/>
          <w:lang w:val="en"/>
        </w:rPr>
        <w:t xml:space="preserve">flexibilities </w:t>
      </w:r>
      <w:r w:rsidRPr="1D0A6485">
        <w:rPr>
          <w:rFonts w:ascii="Times New Roman" w:eastAsia="Times New Roman" w:hAnsi="Times New Roman" w:cs="Times New Roman"/>
          <w:color w:val="000000" w:themeColor="text1"/>
          <w:sz w:val="24"/>
          <w:szCs w:val="24"/>
          <w:lang w:val="en"/>
        </w:rPr>
        <w:t xml:space="preserve">that </w:t>
      </w:r>
      <w:r w:rsidR="00500D14">
        <w:rPr>
          <w:rFonts w:ascii="Times New Roman" w:eastAsia="Times New Roman" w:hAnsi="Times New Roman" w:cs="Times New Roman"/>
          <w:color w:val="000000" w:themeColor="text1"/>
          <w:sz w:val="24"/>
          <w:szCs w:val="24"/>
          <w:lang w:val="en"/>
        </w:rPr>
        <w:t>enable</w:t>
      </w:r>
      <w:r w:rsidRPr="1D0A6485">
        <w:rPr>
          <w:rFonts w:ascii="Times New Roman" w:eastAsia="Times New Roman" w:hAnsi="Times New Roman" w:cs="Times New Roman"/>
          <w:color w:val="000000" w:themeColor="text1"/>
          <w:sz w:val="24"/>
          <w:szCs w:val="24"/>
          <w:lang w:val="en"/>
        </w:rPr>
        <w:t xml:space="preserve"> students to</w:t>
      </w:r>
      <w:r w:rsidR="00EF3B32">
        <w:rPr>
          <w:rFonts w:ascii="Times New Roman" w:eastAsia="Times New Roman" w:hAnsi="Times New Roman" w:cs="Times New Roman"/>
          <w:color w:val="000000" w:themeColor="text1"/>
          <w:sz w:val="24"/>
          <w:szCs w:val="24"/>
          <w:lang w:val="en"/>
        </w:rPr>
        <w:t xml:space="preserve"> gain</w:t>
      </w:r>
      <w:r w:rsidRPr="1D0A6485">
        <w:rPr>
          <w:rFonts w:ascii="Times New Roman" w:eastAsia="Times New Roman" w:hAnsi="Times New Roman" w:cs="Times New Roman"/>
          <w:color w:val="000000" w:themeColor="text1"/>
          <w:sz w:val="24"/>
          <w:szCs w:val="24"/>
          <w:lang w:val="en"/>
        </w:rPr>
        <w:t xml:space="preserve"> knowledge from the comfort of their choosing. A</w:t>
      </w:r>
      <w:r w:rsidR="00EF3B32">
        <w:rPr>
          <w:rFonts w:ascii="Times New Roman" w:eastAsia="Times New Roman" w:hAnsi="Times New Roman" w:cs="Times New Roman"/>
          <w:color w:val="000000" w:themeColor="text1"/>
          <w:sz w:val="24"/>
          <w:szCs w:val="24"/>
          <w:lang w:val="en"/>
        </w:rPr>
        <w:t xml:space="preserve"> respondent</w:t>
      </w:r>
      <w:r w:rsidRPr="1D0A6485">
        <w:rPr>
          <w:rFonts w:ascii="Times New Roman" w:eastAsia="Times New Roman" w:hAnsi="Times New Roman" w:cs="Times New Roman"/>
          <w:color w:val="000000" w:themeColor="text1"/>
          <w:sz w:val="24"/>
          <w:szCs w:val="24"/>
          <w:lang w:val="en"/>
        </w:rPr>
        <w:t xml:space="preserve"> expressed-</w:t>
      </w:r>
    </w:p>
    <w:p w14:paraId="4AE68691" w14:textId="4889E7F7" w:rsidR="00EF3B32" w:rsidRPr="00EF3B32" w:rsidRDefault="00143D69" w:rsidP="009A4213">
      <w:pPr>
        <w:spacing w:after="0" w:line="240" w:lineRule="auto"/>
        <w:ind w:left="720" w:right="571"/>
        <w:jc w:val="both"/>
        <w:rPr>
          <w:rFonts w:ascii="Times New Roman" w:eastAsia="Times New Roman" w:hAnsi="Times New Roman" w:cs="Times New Roman"/>
          <w:i/>
          <w:iCs/>
          <w:sz w:val="24"/>
          <w:szCs w:val="24"/>
          <w:lang w:val="en-BD" w:eastAsia="en-GB" w:bidi="bn-BD"/>
        </w:rPr>
      </w:pPr>
      <w:r>
        <w:rPr>
          <w:rFonts w:ascii="Times New Roman" w:eastAsia="Times New Roman" w:hAnsi="Times New Roman" w:cs="Times New Roman"/>
          <w:i/>
          <w:iCs/>
          <w:sz w:val="24"/>
          <w:szCs w:val="24"/>
          <w:lang w:val="en-BD" w:eastAsia="en-GB" w:bidi="bn-BD"/>
        </w:rPr>
        <w:t>"</w:t>
      </w:r>
      <w:r w:rsidR="00EF3B32" w:rsidRPr="00EF3B32">
        <w:rPr>
          <w:rFonts w:ascii="Times New Roman" w:eastAsia="Times New Roman" w:hAnsi="Times New Roman" w:cs="Times New Roman"/>
          <w:i/>
          <w:iCs/>
          <w:sz w:val="24"/>
          <w:szCs w:val="24"/>
          <w:lang w:val="en-BD" w:eastAsia="en-GB" w:bidi="bn-BD"/>
        </w:rPr>
        <w:t xml:space="preserve">The environment of peer-group, obligement to the </w:t>
      </w:r>
      <w:r>
        <w:rPr>
          <w:rFonts w:ascii="Times New Roman" w:eastAsia="Times New Roman" w:hAnsi="Times New Roman" w:cs="Times New Roman"/>
          <w:i/>
          <w:iCs/>
          <w:sz w:val="24"/>
          <w:szCs w:val="24"/>
          <w:lang w:val="en-BD" w:eastAsia="en-GB" w:bidi="bn-BD"/>
        </w:rPr>
        <w:t>teacher's</w:t>
      </w:r>
      <w:r w:rsidR="00EF3B32" w:rsidRPr="00EF3B32">
        <w:rPr>
          <w:rFonts w:ascii="Times New Roman" w:eastAsia="Times New Roman" w:hAnsi="Times New Roman" w:cs="Times New Roman"/>
          <w:i/>
          <w:iCs/>
          <w:sz w:val="24"/>
          <w:szCs w:val="24"/>
          <w:lang w:val="en-BD" w:eastAsia="en-GB" w:bidi="bn-BD"/>
        </w:rPr>
        <w:t xml:space="preserve"> presence and mystery of the new </w:t>
      </w:r>
      <w:r>
        <w:rPr>
          <w:rFonts w:ascii="Times New Roman" w:eastAsia="Times New Roman" w:hAnsi="Times New Roman" w:cs="Times New Roman"/>
          <w:i/>
          <w:iCs/>
          <w:sz w:val="24"/>
          <w:szCs w:val="24"/>
          <w:lang w:val="en-BD" w:eastAsia="en-GB" w:bidi="bn-BD"/>
        </w:rPr>
        <w:t>'</w:t>
      </w:r>
      <w:r w:rsidR="00EF3B32" w:rsidRPr="00EF3B32">
        <w:rPr>
          <w:rFonts w:ascii="Times New Roman" w:eastAsia="Times New Roman" w:hAnsi="Times New Roman" w:cs="Times New Roman"/>
          <w:i/>
          <w:iCs/>
          <w:sz w:val="24"/>
          <w:szCs w:val="24"/>
          <w:lang w:val="en-BD" w:eastAsia="en-GB" w:bidi="bn-BD"/>
        </w:rPr>
        <w:t>going to be discussed</w:t>
      </w:r>
      <w:r>
        <w:rPr>
          <w:rFonts w:ascii="Times New Roman" w:eastAsia="Times New Roman" w:hAnsi="Times New Roman" w:cs="Times New Roman"/>
          <w:i/>
          <w:iCs/>
          <w:sz w:val="24"/>
          <w:szCs w:val="24"/>
          <w:lang w:val="en-BD" w:eastAsia="en-GB" w:bidi="bn-BD"/>
        </w:rPr>
        <w:t>'</w:t>
      </w:r>
      <w:r w:rsidR="00EF3B32" w:rsidRPr="00EF3B32">
        <w:rPr>
          <w:rFonts w:ascii="Times New Roman" w:eastAsia="Times New Roman" w:hAnsi="Times New Roman" w:cs="Times New Roman"/>
          <w:i/>
          <w:iCs/>
          <w:sz w:val="24"/>
          <w:szCs w:val="24"/>
          <w:lang w:val="en-BD" w:eastAsia="en-GB" w:bidi="bn-BD"/>
        </w:rPr>
        <w:t xml:space="preserve"> topic, </w:t>
      </w:r>
      <w:r>
        <w:rPr>
          <w:rFonts w:ascii="Times New Roman" w:eastAsia="Times New Roman" w:hAnsi="Times New Roman" w:cs="Times New Roman"/>
          <w:i/>
          <w:iCs/>
          <w:sz w:val="24"/>
          <w:szCs w:val="24"/>
          <w:lang w:val="en-BD" w:eastAsia="en-GB" w:bidi="bn-BD"/>
        </w:rPr>
        <w:t>teacher's</w:t>
      </w:r>
      <w:r w:rsidR="00EF3B32" w:rsidRPr="00EF3B32">
        <w:rPr>
          <w:rFonts w:ascii="Times New Roman" w:eastAsia="Times New Roman" w:hAnsi="Times New Roman" w:cs="Times New Roman"/>
          <w:i/>
          <w:iCs/>
          <w:sz w:val="24"/>
          <w:szCs w:val="24"/>
          <w:lang w:val="en-BD" w:eastAsia="en-GB" w:bidi="bn-BD"/>
        </w:rPr>
        <w:t xml:space="preserve"> certain body language and tone for certain description, the thrive to end the class soon and go out for an air-this essential classroom environmentis more or less absent during online classes in addition to internet and device issues disrupting the smooth flow of conversation and understanding. Staying at home makes it even harder.</w:t>
      </w:r>
      <w:r>
        <w:rPr>
          <w:rFonts w:ascii="Times New Roman" w:eastAsia="Times New Roman" w:hAnsi="Times New Roman" w:cs="Times New Roman"/>
          <w:i/>
          <w:iCs/>
          <w:sz w:val="24"/>
          <w:szCs w:val="24"/>
          <w:lang w:val="en-BD" w:eastAsia="en-GB" w:bidi="bn-BD"/>
        </w:rPr>
        <w:t>"</w:t>
      </w:r>
    </w:p>
    <w:p w14:paraId="77A11B2F" w14:textId="77777777" w:rsidR="00EF3B32" w:rsidRDefault="00EF3B32" w:rsidP="00762861">
      <w:pPr>
        <w:jc w:val="both"/>
        <w:rPr>
          <w:rFonts w:ascii="Times New Roman" w:eastAsia="Times New Roman" w:hAnsi="Times New Roman" w:cs="Times New Roman"/>
          <w:color w:val="000000" w:themeColor="text1"/>
          <w:sz w:val="24"/>
          <w:szCs w:val="24"/>
        </w:rPr>
      </w:pPr>
    </w:p>
    <w:p w14:paraId="09A0BBA8" w14:textId="272EFE27" w:rsidR="4031B14C" w:rsidRDefault="1D0A6485" w:rsidP="00762861">
      <w:pPr>
        <w:jc w:val="both"/>
        <w:rPr>
          <w:rFonts w:ascii="Times New Roman" w:eastAsia="Times New Roman" w:hAnsi="Times New Roman" w:cs="Times New Roman"/>
          <w:color w:val="202124"/>
          <w:sz w:val="24"/>
          <w:szCs w:val="24"/>
        </w:rPr>
      </w:pPr>
      <w:r w:rsidRPr="1D0A6485">
        <w:rPr>
          <w:rFonts w:ascii="Times New Roman" w:eastAsia="Times New Roman" w:hAnsi="Times New Roman" w:cs="Times New Roman"/>
          <w:color w:val="202124"/>
          <w:sz w:val="24"/>
          <w:szCs w:val="24"/>
          <w:lang w:val="en"/>
        </w:rPr>
        <w:t xml:space="preserve">Figure 2 shows the quantitative representation of the respondents </w:t>
      </w:r>
      <w:r w:rsidR="00500D14">
        <w:rPr>
          <w:rFonts w:ascii="Times New Roman" w:eastAsia="Times New Roman" w:hAnsi="Times New Roman" w:cs="Times New Roman"/>
          <w:color w:val="202124"/>
          <w:sz w:val="24"/>
          <w:szCs w:val="24"/>
          <w:lang w:val="en"/>
        </w:rPr>
        <w:t>on</w:t>
      </w:r>
      <w:r w:rsidRPr="1D0A6485">
        <w:rPr>
          <w:rFonts w:ascii="Times New Roman" w:eastAsia="Times New Roman" w:hAnsi="Times New Roman" w:cs="Times New Roman"/>
          <w:color w:val="202124"/>
          <w:sz w:val="24"/>
          <w:szCs w:val="24"/>
          <w:lang w:val="en"/>
        </w:rPr>
        <w:t xml:space="preserve"> a 5-point L</w:t>
      </w:r>
      <w:r w:rsidR="00EF3B32">
        <w:rPr>
          <w:rFonts w:ascii="Times New Roman" w:eastAsia="Times New Roman" w:hAnsi="Times New Roman" w:cs="Times New Roman"/>
          <w:color w:val="202124"/>
          <w:sz w:val="24"/>
          <w:szCs w:val="24"/>
          <w:lang w:val="en"/>
        </w:rPr>
        <w:t>ik</w:t>
      </w:r>
      <w:r w:rsidRPr="1D0A6485">
        <w:rPr>
          <w:rFonts w:ascii="Times New Roman" w:eastAsia="Times New Roman" w:hAnsi="Times New Roman" w:cs="Times New Roman"/>
          <w:color w:val="202124"/>
          <w:sz w:val="24"/>
          <w:szCs w:val="24"/>
          <w:lang w:val="en"/>
        </w:rPr>
        <w:t xml:space="preserve">ert Scale. From the Likert scale presentation, it is evident that very few respondents believe that online classes have made respondents less likely to attend class. </w:t>
      </w:r>
      <w:r w:rsidR="00500D14">
        <w:rPr>
          <w:rFonts w:ascii="Times New Roman" w:eastAsia="Times New Roman" w:hAnsi="Times New Roman" w:cs="Times New Roman"/>
          <w:color w:val="202124"/>
          <w:sz w:val="24"/>
          <w:szCs w:val="24"/>
          <w:lang w:val="en"/>
        </w:rPr>
        <w:t>However, most respondents</w:t>
      </w:r>
      <w:r w:rsidRPr="1D0A6485">
        <w:rPr>
          <w:rFonts w:ascii="Times New Roman" w:eastAsia="Times New Roman" w:hAnsi="Times New Roman" w:cs="Times New Roman"/>
          <w:color w:val="202124"/>
          <w:sz w:val="24"/>
          <w:szCs w:val="24"/>
          <w:lang w:val="en"/>
        </w:rPr>
        <w:t xml:space="preserve"> believe that online classes have made them less likely to attend class either to some extent o</w:t>
      </w:r>
      <w:r w:rsidR="00500D14">
        <w:rPr>
          <w:rFonts w:ascii="Times New Roman" w:eastAsia="Times New Roman" w:hAnsi="Times New Roman" w:cs="Times New Roman"/>
          <w:color w:val="202124"/>
          <w:sz w:val="24"/>
          <w:szCs w:val="24"/>
          <w:lang w:val="en"/>
        </w:rPr>
        <w:t>r</w:t>
      </w:r>
      <w:r w:rsidRPr="1D0A6485">
        <w:rPr>
          <w:rFonts w:ascii="Times New Roman" w:eastAsia="Times New Roman" w:hAnsi="Times New Roman" w:cs="Times New Roman"/>
          <w:color w:val="202124"/>
          <w:sz w:val="24"/>
          <w:szCs w:val="24"/>
          <w:lang w:val="en"/>
        </w:rPr>
        <w:t xml:space="preserve"> a </w:t>
      </w:r>
      <w:r w:rsidR="00002B91">
        <w:rPr>
          <w:rFonts w:ascii="Times New Roman" w:eastAsia="Times New Roman" w:hAnsi="Times New Roman" w:cs="Times New Roman"/>
          <w:color w:val="202124"/>
          <w:sz w:val="24"/>
          <w:szCs w:val="24"/>
          <w:lang w:val="en"/>
        </w:rPr>
        <w:t>g</w:t>
      </w:r>
      <w:r w:rsidRPr="1D0A6485">
        <w:rPr>
          <w:rFonts w:ascii="Times New Roman" w:eastAsia="Times New Roman" w:hAnsi="Times New Roman" w:cs="Times New Roman"/>
          <w:color w:val="202124"/>
          <w:sz w:val="24"/>
          <w:szCs w:val="24"/>
          <w:lang w:val="en"/>
        </w:rPr>
        <w:t xml:space="preserve">reat extent. It must be mentioned here that </w:t>
      </w:r>
      <w:r w:rsidR="00500D14">
        <w:rPr>
          <w:rFonts w:ascii="Times New Roman" w:eastAsia="Times New Roman" w:hAnsi="Times New Roman" w:cs="Times New Roman"/>
          <w:color w:val="202124"/>
          <w:sz w:val="24"/>
          <w:szCs w:val="24"/>
          <w:lang w:val="en"/>
        </w:rPr>
        <w:t>many</w:t>
      </w:r>
      <w:r w:rsidRPr="1D0A6485">
        <w:rPr>
          <w:rFonts w:ascii="Times New Roman" w:eastAsia="Times New Roman" w:hAnsi="Times New Roman" w:cs="Times New Roman"/>
          <w:color w:val="202124"/>
          <w:sz w:val="24"/>
          <w:szCs w:val="24"/>
          <w:lang w:val="en"/>
        </w:rPr>
        <w:t xml:space="preserve"> respondents believe that there is no effect </w:t>
      </w:r>
      <w:r w:rsidR="00500D14">
        <w:rPr>
          <w:rFonts w:ascii="Times New Roman" w:eastAsia="Times New Roman" w:hAnsi="Times New Roman" w:cs="Times New Roman"/>
          <w:color w:val="202124"/>
          <w:sz w:val="24"/>
          <w:szCs w:val="24"/>
          <w:lang w:val="en"/>
        </w:rPr>
        <w:t>on</w:t>
      </w:r>
      <w:r w:rsidRPr="1D0A6485">
        <w:rPr>
          <w:rFonts w:ascii="Times New Roman" w:eastAsia="Times New Roman" w:hAnsi="Times New Roman" w:cs="Times New Roman"/>
          <w:color w:val="202124"/>
          <w:sz w:val="24"/>
          <w:szCs w:val="24"/>
          <w:lang w:val="en"/>
        </w:rPr>
        <w:t xml:space="preserve"> their presence whether the class </w:t>
      </w:r>
      <w:r w:rsidR="00500D14">
        <w:rPr>
          <w:rFonts w:ascii="Times New Roman" w:eastAsia="Times New Roman" w:hAnsi="Times New Roman" w:cs="Times New Roman"/>
          <w:color w:val="202124"/>
          <w:sz w:val="24"/>
          <w:szCs w:val="24"/>
          <w:lang w:val="en"/>
        </w:rPr>
        <w:t xml:space="preserve">is </w:t>
      </w:r>
      <w:r w:rsidRPr="1D0A6485">
        <w:rPr>
          <w:rFonts w:ascii="Times New Roman" w:eastAsia="Times New Roman" w:hAnsi="Times New Roman" w:cs="Times New Roman"/>
          <w:color w:val="202124"/>
          <w:sz w:val="24"/>
          <w:szCs w:val="24"/>
          <w:lang w:val="en"/>
        </w:rPr>
        <w:t xml:space="preserve">being held </w:t>
      </w:r>
      <w:r w:rsidR="00500D14">
        <w:rPr>
          <w:rFonts w:ascii="Times New Roman" w:eastAsia="Times New Roman" w:hAnsi="Times New Roman" w:cs="Times New Roman"/>
          <w:color w:val="202124"/>
          <w:sz w:val="24"/>
          <w:szCs w:val="24"/>
          <w:lang w:val="en"/>
        </w:rPr>
        <w:t>physically</w:t>
      </w:r>
      <w:r w:rsidRPr="1D0A6485">
        <w:rPr>
          <w:rFonts w:ascii="Times New Roman" w:eastAsia="Times New Roman" w:hAnsi="Times New Roman" w:cs="Times New Roman"/>
          <w:color w:val="202124"/>
          <w:sz w:val="24"/>
          <w:szCs w:val="24"/>
          <w:lang w:val="en"/>
        </w:rPr>
        <w:t xml:space="preserve"> or </w:t>
      </w:r>
      <w:r w:rsidR="00500D14">
        <w:rPr>
          <w:rFonts w:ascii="Times New Roman" w:eastAsia="Times New Roman" w:hAnsi="Times New Roman" w:cs="Times New Roman"/>
          <w:color w:val="202124"/>
          <w:sz w:val="24"/>
          <w:szCs w:val="24"/>
          <w:lang w:val="en"/>
        </w:rPr>
        <w:t>digitally</w:t>
      </w:r>
      <w:r w:rsidRPr="1D0A6485">
        <w:rPr>
          <w:rFonts w:ascii="Times New Roman" w:eastAsia="Times New Roman" w:hAnsi="Times New Roman" w:cs="Times New Roman"/>
          <w:color w:val="202124"/>
          <w:sz w:val="24"/>
          <w:szCs w:val="24"/>
          <w:lang w:val="en"/>
        </w:rPr>
        <w:t xml:space="preserve">. It indicates a considerable group of respondents have </w:t>
      </w:r>
      <w:r w:rsidR="00500D14">
        <w:rPr>
          <w:rFonts w:ascii="Times New Roman" w:eastAsia="Times New Roman" w:hAnsi="Times New Roman" w:cs="Times New Roman"/>
          <w:color w:val="202124"/>
          <w:sz w:val="24"/>
          <w:szCs w:val="24"/>
          <w:lang w:val="en"/>
        </w:rPr>
        <w:t xml:space="preserve">a </w:t>
      </w:r>
      <w:r w:rsidRPr="1D0A6485">
        <w:rPr>
          <w:rFonts w:ascii="Times New Roman" w:eastAsia="Times New Roman" w:hAnsi="Times New Roman" w:cs="Times New Roman"/>
          <w:color w:val="202124"/>
          <w:sz w:val="24"/>
          <w:szCs w:val="24"/>
          <w:lang w:val="en"/>
        </w:rPr>
        <w:t>studentship nature in their phycology and will attend classes in any circumstances.</w:t>
      </w:r>
    </w:p>
    <w:p w14:paraId="2AAFEB2E" w14:textId="712C06D6" w:rsidR="4031B14C" w:rsidRDefault="4031B14C" w:rsidP="4031B14C">
      <w:pPr>
        <w:ind w:firstLine="360"/>
        <w:jc w:val="both"/>
        <w:rPr>
          <w:rFonts w:ascii="Times New Roman" w:eastAsia="Times New Roman" w:hAnsi="Times New Roman" w:cs="Times New Roman"/>
          <w:color w:val="202124"/>
          <w:sz w:val="24"/>
          <w:szCs w:val="24"/>
        </w:rPr>
      </w:pPr>
      <w:r>
        <w:rPr>
          <w:noProof/>
        </w:rPr>
        <w:lastRenderedPageBreak/>
        <w:drawing>
          <wp:inline distT="0" distB="0" distL="0" distR="0" wp14:anchorId="7FBAECF1" wp14:editId="1D0A6485">
            <wp:extent cx="5658564" cy="2958957"/>
            <wp:effectExtent l="0" t="0" r="0" b="635"/>
            <wp:docPr id="1773957489" name="Picture 1773957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3957489"/>
                    <pic:cNvPicPr/>
                  </pic:nvPicPr>
                  <pic:blipFill>
                    <a:blip r:embed="rId7">
                      <a:extLst>
                        <a:ext uri="{28A0092B-C50C-407E-A947-70E740481C1C}">
                          <a14:useLocalDpi xmlns:a14="http://schemas.microsoft.com/office/drawing/2010/main" val="0"/>
                        </a:ext>
                      </a:extLst>
                    </a:blip>
                    <a:stretch>
                      <a:fillRect/>
                    </a:stretch>
                  </pic:blipFill>
                  <pic:spPr>
                    <a:xfrm>
                      <a:off x="0" y="0"/>
                      <a:ext cx="5658564" cy="2958957"/>
                    </a:xfrm>
                    <a:prstGeom prst="rect">
                      <a:avLst/>
                    </a:prstGeom>
                  </pic:spPr>
                </pic:pic>
              </a:graphicData>
            </a:graphic>
          </wp:inline>
        </w:drawing>
      </w:r>
    </w:p>
    <w:p w14:paraId="304A0A4A" w14:textId="015509E7" w:rsidR="4031B14C" w:rsidRDefault="1D0A6485" w:rsidP="4031B14C">
      <w:pPr>
        <w:ind w:firstLine="360"/>
        <w:jc w:val="both"/>
        <w:rPr>
          <w:rFonts w:ascii="Times New Roman" w:eastAsia="Times New Roman" w:hAnsi="Times New Roman" w:cs="Times New Roman"/>
          <w:color w:val="202124"/>
          <w:sz w:val="24"/>
          <w:szCs w:val="24"/>
        </w:rPr>
      </w:pPr>
      <w:r w:rsidRPr="1D0A6485">
        <w:rPr>
          <w:rFonts w:ascii="Times New Roman" w:eastAsia="Times New Roman" w:hAnsi="Times New Roman" w:cs="Times New Roman"/>
          <w:color w:val="000000" w:themeColor="text1"/>
          <w:sz w:val="24"/>
          <w:szCs w:val="24"/>
          <w:lang w:val="en"/>
        </w:rPr>
        <w:t xml:space="preserve">Figure 2: </w:t>
      </w:r>
      <w:r w:rsidR="00143D69">
        <w:rPr>
          <w:rFonts w:ascii="Times New Roman" w:eastAsia="Times New Roman" w:hAnsi="Times New Roman" w:cs="Times New Roman"/>
          <w:color w:val="000000" w:themeColor="text1"/>
          <w:sz w:val="24"/>
          <w:szCs w:val="24"/>
          <w:lang w:val="en"/>
        </w:rPr>
        <w:t>Respondents'</w:t>
      </w:r>
      <w:r w:rsidRPr="1D0A6485">
        <w:rPr>
          <w:rFonts w:ascii="Times New Roman" w:eastAsia="Times New Roman" w:hAnsi="Times New Roman" w:cs="Times New Roman"/>
          <w:color w:val="000000" w:themeColor="text1"/>
          <w:sz w:val="24"/>
          <w:szCs w:val="24"/>
          <w:lang w:val="en"/>
        </w:rPr>
        <w:t xml:space="preserve"> feedback in </w:t>
      </w:r>
      <w:r w:rsidRPr="1D0A6485">
        <w:rPr>
          <w:rFonts w:ascii="Times New Roman" w:eastAsia="Times New Roman" w:hAnsi="Times New Roman" w:cs="Times New Roman"/>
          <w:color w:val="202124"/>
          <w:sz w:val="24"/>
          <w:szCs w:val="24"/>
          <w:lang w:val="en"/>
        </w:rPr>
        <w:t>5-point Likert Scale on Q1</w:t>
      </w:r>
    </w:p>
    <w:p w14:paraId="2BE82287" w14:textId="036CF198" w:rsidR="4031B14C" w:rsidRDefault="4031B14C" w:rsidP="4031B14C">
      <w:pPr>
        <w:ind w:firstLine="360"/>
        <w:jc w:val="both"/>
        <w:rPr>
          <w:rFonts w:ascii="Times New Roman" w:eastAsia="Times New Roman" w:hAnsi="Times New Roman" w:cs="Times New Roman"/>
          <w:color w:val="000000" w:themeColor="text1"/>
          <w:sz w:val="24"/>
          <w:szCs w:val="24"/>
        </w:rPr>
      </w:pPr>
    </w:p>
    <w:p w14:paraId="2623EFBA" w14:textId="67EEAFB3" w:rsidR="4031B14C" w:rsidRDefault="1D0A6485" w:rsidP="00762861">
      <w:pPr>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b/>
          <w:bCs/>
          <w:color w:val="000000" w:themeColor="text1"/>
          <w:sz w:val="24"/>
          <w:szCs w:val="24"/>
          <w:lang w:val="en"/>
        </w:rPr>
        <w:t>Q2. Do you think the use of online lectures has improved your engagement with the content of the course?</w:t>
      </w:r>
    </w:p>
    <w:p w14:paraId="16008927" w14:textId="3E46A238" w:rsidR="4031B14C" w:rsidRDefault="1D0A6485" w:rsidP="00762861">
      <w:pPr>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 xml:space="preserve">Colleges and universities are spending much time and effort to provide their students with the best educational experiences. It is believed that more learner-centered and collaborative activities will surely enhance a </w:t>
      </w:r>
      <w:r w:rsidR="00143D69">
        <w:rPr>
          <w:rFonts w:ascii="Times New Roman" w:eastAsia="Times New Roman" w:hAnsi="Times New Roman" w:cs="Times New Roman"/>
          <w:color w:val="000000" w:themeColor="text1"/>
          <w:sz w:val="24"/>
          <w:szCs w:val="24"/>
          <w:lang w:val="en"/>
        </w:rPr>
        <w:t>student's</w:t>
      </w:r>
      <w:r w:rsidRPr="1D0A6485">
        <w:rPr>
          <w:rFonts w:ascii="Times New Roman" w:eastAsia="Times New Roman" w:hAnsi="Times New Roman" w:cs="Times New Roman"/>
          <w:color w:val="000000" w:themeColor="text1"/>
          <w:sz w:val="24"/>
          <w:szCs w:val="24"/>
          <w:lang w:val="en"/>
        </w:rPr>
        <w:t xml:space="preserve"> learning experience. Though a positive learning experience could be defined by </w:t>
      </w:r>
      <w:r w:rsidR="00500D14">
        <w:rPr>
          <w:rFonts w:ascii="Times New Roman" w:eastAsia="Times New Roman" w:hAnsi="Times New Roman" w:cs="Times New Roman"/>
          <w:color w:val="000000" w:themeColor="text1"/>
          <w:sz w:val="24"/>
          <w:szCs w:val="24"/>
          <w:lang w:val="en"/>
        </w:rPr>
        <w:t>several</w:t>
      </w:r>
      <w:r w:rsidRPr="1D0A6485">
        <w:rPr>
          <w:rFonts w:ascii="Times New Roman" w:eastAsia="Times New Roman" w:hAnsi="Times New Roman" w:cs="Times New Roman"/>
          <w:color w:val="000000" w:themeColor="text1"/>
          <w:sz w:val="24"/>
          <w:szCs w:val="24"/>
          <w:lang w:val="en"/>
        </w:rPr>
        <w:t xml:space="preserve"> factors, student engagement</w:t>
      </w:r>
      <w:r w:rsidR="00500D14">
        <w:rPr>
          <w:rFonts w:ascii="Times New Roman" w:eastAsia="Times New Roman" w:hAnsi="Times New Roman" w:cs="Times New Roman"/>
          <w:color w:val="000000" w:themeColor="text1"/>
          <w:sz w:val="24"/>
          <w:szCs w:val="24"/>
          <w:lang w:val="en"/>
        </w:rPr>
        <w:t>,</w:t>
      </w:r>
      <w:r w:rsidRPr="1D0A6485">
        <w:rPr>
          <w:rFonts w:ascii="Times New Roman" w:eastAsia="Times New Roman" w:hAnsi="Times New Roman" w:cs="Times New Roman"/>
          <w:color w:val="000000" w:themeColor="text1"/>
          <w:sz w:val="24"/>
          <w:szCs w:val="24"/>
          <w:lang w:val="en"/>
        </w:rPr>
        <w:t xml:space="preserve"> and perceived course value are two of the most dictating constituents to a </w:t>
      </w:r>
      <w:r w:rsidR="00143D69">
        <w:rPr>
          <w:rFonts w:ascii="Times New Roman" w:eastAsia="Times New Roman" w:hAnsi="Times New Roman" w:cs="Times New Roman"/>
          <w:color w:val="000000" w:themeColor="text1"/>
          <w:sz w:val="24"/>
          <w:szCs w:val="24"/>
          <w:lang w:val="en"/>
        </w:rPr>
        <w:t>student's</w:t>
      </w:r>
      <w:r w:rsidRPr="1D0A6485">
        <w:rPr>
          <w:rFonts w:ascii="Times New Roman" w:eastAsia="Times New Roman" w:hAnsi="Times New Roman" w:cs="Times New Roman"/>
          <w:color w:val="000000" w:themeColor="text1"/>
          <w:sz w:val="24"/>
          <w:szCs w:val="24"/>
          <w:lang w:val="en"/>
        </w:rPr>
        <w:t xml:space="preserve"> positive learning experience </w:t>
      </w:r>
      <w:r w:rsidR="4031B14C" w:rsidRPr="1D0A6485">
        <w:rPr>
          <w:rFonts w:ascii="Times New Roman" w:eastAsia="Times New Roman" w:hAnsi="Times New Roman" w:cs="Times New Roman"/>
          <w:color w:val="000000" w:themeColor="text1"/>
          <w:sz w:val="24"/>
          <w:szCs w:val="24"/>
          <w:lang w:val="en"/>
        </w:rPr>
        <w:fldChar w:fldCharType="begin"/>
      </w:r>
      <w:r w:rsidR="4031B14C" w:rsidRPr="1D0A6485">
        <w:rPr>
          <w:rFonts w:ascii="Times New Roman" w:eastAsia="Times New Roman" w:hAnsi="Times New Roman" w:cs="Times New Roman"/>
          <w:color w:val="000000" w:themeColor="text1"/>
          <w:sz w:val="24"/>
          <w:szCs w:val="24"/>
          <w:lang w:val="en"/>
        </w:rPr>
        <w:instrText xml:space="preserve"> ADDIN ZOTERO_ITEM CSL_CITATION {"citationID":"wtKZwKLT","properties":{"formattedCitation":"(Floyd et al., n.d.)","plainCitation":"(Floyd et al., n.d.)","noteIndex":0},"citationItems":[{"id":22,"uris":["http://zotero.org/users/local/SRh9d10S/items/RJDDW73P"],"uri":["http://zotero.org/users/local/SRh9d10S/items/RJDDW73P"],"itemData":{"id":22,"type":"article","abstract":"This study investigated the relationships among perceived course value, student engagement, deep learning strategies, and surface learning strategies. The study relied on constructs from pre-vious studies to measure course value, engagement, surface learning strategy, and deep learning strategy. Statistically significant findings were observed between perceived course value, student engagement, and deep learning strategy. Surface learning strategies occur when the student’s per-ceived value of the course is low. These findings suggest that deep learning strategies occur when students are engaged in the learning process and their perceived value of the course content is high. While there is much research to support the finding that engagement is a way to help stu-dents learn, the findings of this study show that course value has a greater positive influence on deep learning and surface learning strategies than engagement. By understanding and enhancing perceived value and engagement, the ultimate goal of enhancing deep learning should result.","source":"CiteSeer","title":"Editor: T. Grandon Gill The Effect of Engagement and Perceived Course Value on Deep and Surface Learning Strategies","title-short":"Editor","author":[{"family":"Floyd","given":"Kevin S."},{"family":"Harrington","given":"Susan J."},{"family":"Santiago","given":"Julie"}]}}],"schema":"https://github.com/citation-style-language/schema/raw/master/csl-citation.json"} </w:instrText>
      </w:r>
      <w:r w:rsidR="4031B14C" w:rsidRPr="1D0A6485">
        <w:rPr>
          <w:rFonts w:ascii="Times New Roman" w:eastAsia="Times New Roman" w:hAnsi="Times New Roman" w:cs="Times New Roman"/>
          <w:color w:val="000000" w:themeColor="text1"/>
          <w:sz w:val="24"/>
          <w:szCs w:val="24"/>
          <w:lang w:val="en"/>
        </w:rPr>
        <w:fldChar w:fldCharType="separate"/>
      </w:r>
      <w:r w:rsidRPr="1D0A6485">
        <w:rPr>
          <w:rFonts w:ascii="Times New Roman" w:eastAsia="Times New Roman" w:hAnsi="Times New Roman" w:cs="Times New Roman"/>
          <w:noProof/>
          <w:color w:val="000000" w:themeColor="text1"/>
          <w:sz w:val="24"/>
          <w:szCs w:val="24"/>
          <w:lang w:val="en"/>
        </w:rPr>
        <w:t>(Floyd et al., n.d.)</w:t>
      </w:r>
      <w:r w:rsidR="4031B14C" w:rsidRPr="1D0A6485">
        <w:rPr>
          <w:rFonts w:ascii="Times New Roman" w:eastAsia="Times New Roman" w:hAnsi="Times New Roman" w:cs="Times New Roman"/>
          <w:color w:val="000000" w:themeColor="text1"/>
          <w:sz w:val="24"/>
          <w:szCs w:val="24"/>
          <w:lang w:val="en"/>
        </w:rPr>
        <w:fldChar w:fldCharType="end"/>
      </w:r>
      <w:r w:rsidRPr="1D0A6485">
        <w:rPr>
          <w:rFonts w:ascii="Times New Roman" w:eastAsia="Times New Roman" w:hAnsi="Times New Roman" w:cs="Times New Roman"/>
          <w:color w:val="000000" w:themeColor="text1"/>
          <w:sz w:val="24"/>
          <w:szCs w:val="24"/>
          <w:lang w:val="en"/>
        </w:rPr>
        <w:t xml:space="preserve">. Carefully inspecting 157 feedbacks from the respondents, the result indicates </w:t>
      </w:r>
      <w:r w:rsidR="00002B91" w:rsidRPr="1D0A6485">
        <w:rPr>
          <w:rFonts w:ascii="Times New Roman" w:eastAsia="Times New Roman" w:hAnsi="Times New Roman" w:cs="Times New Roman"/>
          <w:color w:val="000000" w:themeColor="text1"/>
          <w:sz w:val="24"/>
          <w:szCs w:val="24"/>
          <w:lang w:val="en"/>
        </w:rPr>
        <w:t>overall negative feedback</w:t>
      </w:r>
      <w:r w:rsidRPr="1D0A6485">
        <w:rPr>
          <w:rFonts w:ascii="Times New Roman" w:eastAsia="Times New Roman" w:hAnsi="Times New Roman" w:cs="Times New Roman"/>
          <w:color w:val="000000" w:themeColor="text1"/>
          <w:sz w:val="24"/>
          <w:szCs w:val="24"/>
          <w:lang w:val="en"/>
        </w:rPr>
        <w:t xml:space="preserve"> from the students. The lack of engagement with the course content is summarized in figure 3.</w:t>
      </w:r>
    </w:p>
    <w:p w14:paraId="35BD0D59" w14:textId="2D4CD4DD" w:rsidR="4031B14C" w:rsidRDefault="4031B14C" w:rsidP="4031B14C">
      <w:pPr>
        <w:ind w:firstLine="360"/>
        <w:jc w:val="both"/>
        <w:rPr>
          <w:rFonts w:ascii="Times New Roman" w:eastAsia="Times New Roman" w:hAnsi="Times New Roman" w:cs="Times New Roman"/>
          <w:color w:val="000000" w:themeColor="text1"/>
          <w:sz w:val="24"/>
          <w:szCs w:val="24"/>
        </w:rPr>
      </w:pPr>
    </w:p>
    <w:p w14:paraId="76C7E5C1" w14:textId="2D5C73C1" w:rsidR="4031B14C" w:rsidRDefault="4031B14C" w:rsidP="4031B14C">
      <w:pPr>
        <w:ind w:firstLine="360"/>
        <w:jc w:val="both"/>
        <w:rPr>
          <w:rFonts w:ascii="Times New Roman" w:eastAsia="Times New Roman" w:hAnsi="Times New Roman" w:cs="Times New Roman"/>
          <w:color w:val="000000" w:themeColor="text1"/>
          <w:sz w:val="24"/>
          <w:szCs w:val="24"/>
        </w:rPr>
      </w:pPr>
    </w:p>
    <w:p w14:paraId="5267977D" w14:textId="77777777" w:rsidR="00762861" w:rsidRDefault="4031B14C" w:rsidP="4031B14C">
      <w:pPr>
        <w:ind w:firstLine="360"/>
        <w:jc w:val="both"/>
        <w:rPr>
          <w:rFonts w:ascii="Times New Roman" w:eastAsia="Times New Roman" w:hAnsi="Times New Roman" w:cs="Times New Roman"/>
          <w:color w:val="000000" w:themeColor="text1"/>
          <w:sz w:val="24"/>
          <w:szCs w:val="24"/>
          <w:lang w:val="en"/>
        </w:rPr>
      </w:pPr>
      <w:r>
        <w:rPr>
          <w:noProof/>
        </w:rPr>
        <w:lastRenderedPageBreak/>
        <w:drawing>
          <wp:inline distT="0" distB="0" distL="0" distR="0" wp14:anchorId="79194C9A" wp14:editId="6E61EA70">
            <wp:extent cx="5661060" cy="3597133"/>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5661060" cy="3597133"/>
                    </a:xfrm>
                    <a:prstGeom prst="rect">
                      <a:avLst/>
                    </a:prstGeom>
                  </pic:spPr>
                </pic:pic>
              </a:graphicData>
            </a:graphic>
          </wp:inline>
        </w:drawing>
      </w:r>
    </w:p>
    <w:p w14:paraId="6A61B866" w14:textId="029B6E6A" w:rsidR="4031B14C" w:rsidRDefault="1D0A6485" w:rsidP="4031B14C">
      <w:pPr>
        <w:ind w:firstLine="360"/>
        <w:jc w:val="both"/>
        <w:rPr>
          <w:rFonts w:ascii="Times New Roman" w:eastAsia="Times New Roman" w:hAnsi="Times New Roman" w:cs="Times New Roman"/>
          <w:color w:val="202124"/>
          <w:sz w:val="24"/>
          <w:szCs w:val="24"/>
        </w:rPr>
      </w:pPr>
      <w:r w:rsidRPr="1D0A6485">
        <w:rPr>
          <w:rFonts w:ascii="Times New Roman" w:eastAsia="Times New Roman" w:hAnsi="Times New Roman" w:cs="Times New Roman"/>
          <w:color w:val="000000" w:themeColor="text1"/>
          <w:sz w:val="24"/>
          <w:szCs w:val="24"/>
          <w:lang w:val="en"/>
        </w:rPr>
        <w:t xml:space="preserve">Figure 3: </w:t>
      </w:r>
      <w:r w:rsidR="00143D69">
        <w:rPr>
          <w:rFonts w:ascii="Times New Roman" w:eastAsia="Times New Roman" w:hAnsi="Times New Roman" w:cs="Times New Roman"/>
          <w:color w:val="000000" w:themeColor="text1"/>
          <w:sz w:val="24"/>
          <w:szCs w:val="24"/>
          <w:lang w:val="en"/>
        </w:rPr>
        <w:t>Respondents'</w:t>
      </w:r>
      <w:r w:rsidRPr="1D0A6485">
        <w:rPr>
          <w:rFonts w:ascii="Times New Roman" w:eastAsia="Times New Roman" w:hAnsi="Times New Roman" w:cs="Times New Roman"/>
          <w:color w:val="000000" w:themeColor="text1"/>
          <w:sz w:val="24"/>
          <w:szCs w:val="24"/>
          <w:lang w:val="en"/>
        </w:rPr>
        <w:t xml:space="preserve"> feedback in </w:t>
      </w:r>
      <w:r w:rsidRPr="1D0A6485">
        <w:rPr>
          <w:rFonts w:ascii="Times New Roman" w:eastAsia="Times New Roman" w:hAnsi="Times New Roman" w:cs="Times New Roman"/>
          <w:color w:val="202124"/>
          <w:sz w:val="24"/>
          <w:szCs w:val="24"/>
          <w:lang w:val="en"/>
        </w:rPr>
        <w:t>5-point Likert Scale from Q2</w:t>
      </w:r>
    </w:p>
    <w:p w14:paraId="1376D602" w14:textId="6C3E20E4" w:rsidR="4031B14C" w:rsidRDefault="1D0A6485" w:rsidP="003416CA">
      <w:pPr>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 xml:space="preserve">Figure 3 describes the engagement level of the content of the course. It is found that 46 percent of the respondents </w:t>
      </w:r>
      <w:r w:rsidR="00500D14">
        <w:rPr>
          <w:rFonts w:ascii="Times New Roman" w:eastAsia="Times New Roman" w:hAnsi="Times New Roman" w:cs="Times New Roman"/>
          <w:color w:val="000000" w:themeColor="text1"/>
          <w:sz w:val="24"/>
          <w:szCs w:val="24"/>
          <w:lang w:val="en"/>
        </w:rPr>
        <w:t>have</w:t>
      </w:r>
      <w:r w:rsidRPr="1D0A6485">
        <w:rPr>
          <w:rFonts w:ascii="Times New Roman" w:eastAsia="Times New Roman" w:hAnsi="Times New Roman" w:cs="Times New Roman"/>
          <w:color w:val="000000" w:themeColor="text1"/>
          <w:sz w:val="24"/>
          <w:szCs w:val="24"/>
          <w:lang w:val="en"/>
        </w:rPr>
        <w:t xml:space="preserve"> stated that their engagement with the course content has been improved to a very </w:t>
      </w:r>
      <w:r w:rsidR="00500D14">
        <w:rPr>
          <w:rFonts w:ascii="Times New Roman" w:eastAsia="Times New Roman" w:hAnsi="Times New Roman" w:cs="Times New Roman"/>
          <w:color w:val="000000" w:themeColor="text1"/>
          <w:sz w:val="24"/>
          <w:szCs w:val="24"/>
          <w:lang w:val="en"/>
        </w:rPr>
        <w:t>small</w:t>
      </w:r>
      <w:r w:rsidRPr="1D0A6485">
        <w:rPr>
          <w:rFonts w:ascii="Times New Roman" w:eastAsia="Times New Roman" w:hAnsi="Times New Roman" w:cs="Times New Roman"/>
          <w:color w:val="000000" w:themeColor="text1"/>
          <w:sz w:val="24"/>
          <w:szCs w:val="24"/>
          <w:lang w:val="en"/>
        </w:rPr>
        <w:t xml:space="preserve"> extent. In addition, 26 percent of the respondents have shown that online classes have not improved their course engagement. On the contrary, only 19 percent </w:t>
      </w:r>
      <w:r w:rsidR="00500D14">
        <w:rPr>
          <w:rFonts w:ascii="Times New Roman" w:eastAsia="Times New Roman" w:hAnsi="Times New Roman" w:cs="Times New Roman"/>
          <w:color w:val="000000" w:themeColor="text1"/>
          <w:sz w:val="24"/>
          <w:szCs w:val="24"/>
          <w:lang w:val="en"/>
        </w:rPr>
        <w:t xml:space="preserve">of </w:t>
      </w:r>
      <w:r w:rsidRPr="1D0A6485">
        <w:rPr>
          <w:rFonts w:ascii="Times New Roman" w:eastAsia="Times New Roman" w:hAnsi="Times New Roman" w:cs="Times New Roman"/>
          <w:color w:val="000000" w:themeColor="text1"/>
          <w:sz w:val="24"/>
          <w:szCs w:val="24"/>
          <w:lang w:val="en"/>
        </w:rPr>
        <w:t>respondents reported their engagement has increased to some extent</w:t>
      </w:r>
      <w:r w:rsidR="00500D14">
        <w:rPr>
          <w:rFonts w:ascii="Times New Roman" w:eastAsia="Times New Roman" w:hAnsi="Times New Roman" w:cs="Times New Roman"/>
          <w:color w:val="000000" w:themeColor="text1"/>
          <w:sz w:val="24"/>
          <w:szCs w:val="24"/>
          <w:lang w:val="en"/>
        </w:rPr>
        <w:t>,</w:t>
      </w:r>
      <w:r w:rsidRPr="1D0A6485">
        <w:rPr>
          <w:rFonts w:ascii="Times New Roman" w:eastAsia="Times New Roman" w:hAnsi="Times New Roman" w:cs="Times New Roman"/>
          <w:color w:val="000000" w:themeColor="text1"/>
          <w:sz w:val="24"/>
          <w:szCs w:val="24"/>
          <w:lang w:val="en"/>
        </w:rPr>
        <w:t xml:space="preserve"> and 8 percent of the respondents think this has increased their engagement with the course content to a very great extent. Overall, it is evident that </w:t>
      </w:r>
      <w:r w:rsidR="00500D14">
        <w:rPr>
          <w:rFonts w:ascii="Times New Roman" w:eastAsia="Times New Roman" w:hAnsi="Times New Roman" w:cs="Times New Roman"/>
          <w:color w:val="000000" w:themeColor="text1"/>
          <w:sz w:val="24"/>
          <w:szCs w:val="24"/>
          <w:lang w:val="en"/>
        </w:rPr>
        <w:t>most</w:t>
      </w:r>
      <w:r w:rsidRPr="1D0A6485">
        <w:rPr>
          <w:rFonts w:ascii="Times New Roman" w:eastAsia="Times New Roman" w:hAnsi="Times New Roman" w:cs="Times New Roman"/>
          <w:color w:val="000000" w:themeColor="text1"/>
          <w:sz w:val="24"/>
          <w:szCs w:val="24"/>
          <w:lang w:val="en"/>
        </w:rPr>
        <w:t xml:space="preserve"> of the respondents feel that online classes </w:t>
      </w:r>
      <w:r w:rsidR="00500D14">
        <w:rPr>
          <w:rFonts w:ascii="Times New Roman" w:eastAsia="Times New Roman" w:hAnsi="Times New Roman" w:cs="Times New Roman"/>
          <w:color w:val="000000" w:themeColor="text1"/>
          <w:sz w:val="24"/>
          <w:szCs w:val="24"/>
          <w:lang w:val="en"/>
        </w:rPr>
        <w:t>lag behind expectations</w:t>
      </w:r>
      <w:r w:rsidRPr="1D0A6485">
        <w:rPr>
          <w:rFonts w:ascii="Times New Roman" w:eastAsia="Times New Roman" w:hAnsi="Times New Roman" w:cs="Times New Roman"/>
          <w:color w:val="000000" w:themeColor="text1"/>
          <w:sz w:val="24"/>
          <w:szCs w:val="24"/>
          <w:lang w:val="en"/>
        </w:rPr>
        <w:t xml:space="preserve"> in terms of student engagement. </w:t>
      </w:r>
      <w:r w:rsidR="00500D14">
        <w:rPr>
          <w:rFonts w:ascii="Times New Roman" w:eastAsia="Times New Roman" w:hAnsi="Times New Roman" w:cs="Times New Roman"/>
          <w:color w:val="000000" w:themeColor="text1"/>
          <w:sz w:val="24"/>
          <w:szCs w:val="24"/>
          <w:lang w:val="en"/>
        </w:rPr>
        <w:t>Besides</w:t>
      </w:r>
      <w:r w:rsidRPr="1D0A6485">
        <w:rPr>
          <w:rFonts w:ascii="Times New Roman" w:eastAsia="Times New Roman" w:hAnsi="Times New Roman" w:cs="Times New Roman"/>
          <w:color w:val="000000" w:themeColor="text1"/>
          <w:sz w:val="24"/>
          <w:szCs w:val="24"/>
          <w:lang w:val="en"/>
        </w:rPr>
        <w:t xml:space="preserve"> the negative feelings, there is somewhat of a mixed feeling. As one respondent stated:</w:t>
      </w:r>
    </w:p>
    <w:p w14:paraId="252D61FC" w14:textId="2704B17C" w:rsidR="4031B14C" w:rsidRDefault="00143D69" w:rsidP="00762861">
      <w:pPr>
        <w:pStyle w:val="Quote"/>
        <w:ind w:left="720" w:right="1422"/>
        <w:jc w:val="both"/>
        <w:rPr>
          <w:rFonts w:ascii="Times New Roman" w:eastAsia="Times New Roman" w:hAnsi="Times New Roman" w:cs="Times New Roman"/>
          <w:color w:val="5A5A5A"/>
          <w:sz w:val="24"/>
          <w:szCs w:val="24"/>
        </w:rPr>
      </w:pPr>
      <w:r>
        <w:rPr>
          <w:rFonts w:ascii="Times New Roman" w:eastAsia="Times New Roman" w:hAnsi="Times New Roman" w:cs="Times New Roman"/>
          <w:color w:val="5A5A5A"/>
          <w:sz w:val="24"/>
          <w:szCs w:val="24"/>
          <w:lang w:val="en"/>
        </w:rPr>
        <w:t>"</w:t>
      </w:r>
      <w:r w:rsidR="1D0A6485" w:rsidRPr="1D0A6485">
        <w:rPr>
          <w:rFonts w:ascii="Times New Roman" w:eastAsia="Times New Roman" w:hAnsi="Times New Roman" w:cs="Times New Roman"/>
          <w:color w:val="5A5A5A"/>
          <w:sz w:val="24"/>
          <w:szCs w:val="24"/>
          <w:lang w:val="en"/>
        </w:rPr>
        <w:t xml:space="preserve">I </w:t>
      </w:r>
      <w:r>
        <w:rPr>
          <w:rFonts w:ascii="Times New Roman" w:eastAsia="Times New Roman" w:hAnsi="Times New Roman" w:cs="Times New Roman"/>
          <w:color w:val="5A5A5A"/>
          <w:sz w:val="24"/>
          <w:szCs w:val="24"/>
          <w:lang w:val="en"/>
        </w:rPr>
        <w:t>can't</w:t>
      </w:r>
      <w:r w:rsidR="1D0A6485" w:rsidRPr="1D0A6485">
        <w:rPr>
          <w:rFonts w:ascii="Times New Roman" w:eastAsia="Times New Roman" w:hAnsi="Times New Roman" w:cs="Times New Roman"/>
          <w:color w:val="5A5A5A"/>
          <w:sz w:val="24"/>
          <w:szCs w:val="24"/>
          <w:lang w:val="en"/>
        </w:rPr>
        <w:t xml:space="preserve"> focus much on the class too much. While the answer tends to be a negative one, the response also stretches out to the positive end with the aid of class recording and also browsing up many resources on the topic for somewhat in-depth knowledge.</w:t>
      </w:r>
      <w:r>
        <w:rPr>
          <w:rFonts w:ascii="Times New Roman" w:eastAsia="Times New Roman" w:hAnsi="Times New Roman" w:cs="Times New Roman"/>
          <w:color w:val="5A5A5A"/>
          <w:sz w:val="24"/>
          <w:szCs w:val="24"/>
          <w:lang w:val="en"/>
        </w:rPr>
        <w:t>"</w:t>
      </w:r>
      <w:r w:rsidR="1D0A6485" w:rsidRPr="1D0A6485">
        <w:rPr>
          <w:rFonts w:ascii="Times New Roman" w:eastAsia="Times New Roman" w:hAnsi="Times New Roman" w:cs="Times New Roman"/>
          <w:color w:val="5A5A5A"/>
          <w:sz w:val="24"/>
          <w:szCs w:val="24"/>
          <w:lang w:val="en"/>
        </w:rPr>
        <w:t xml:space="preserve"> </w:t>
      </w:r>
    </w:p>
    <w:p w14:paraId="23759841" w14:textId="47BA0B9A" w:rsidR="4031B14C" w:rsidRPr="00762861" w:rsidRDefault="00500D14" w:rsidP="00762861">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lang w:val="en"/>
        </w:rPr>
        <w:t>A total</w:t>
      </w:r>
      <w:r w:rsidR="1D0A6485" w:rsidRPr="1D0A6485">
        <w:rPr>
          <w:rFonts w:ascii="Times New Roman" w:eastAsia="Times New Roman" w:hAnsi="Times New Roman" w:cs="Times New Roman"/>
          <w:color w:val="000000" w:themeColor="text1"/>
          <w:sz w:val="24"/>
          <w:szCs w:val="24"/>
          <w:lang w:val="en"/>
        </w:rPr>
        <w:t xml:space="preserve"> </w:t>
      </w:r>
      <w:r>
        <w:rPr>
          <w:rFonts w:ascii="Times New Roman" w:eastAsia="Times New Roman" w:hAnsi="Times New Roman" w:cs="Times New Roman"/>
          <w:color w:val="000000" w:themeColor="text1"/>
          <w:sz w:val="24"/>
          <w:szCs w:val="24"/>
          <w:lang w:val="en"/>
        </w:rPr>
        <w:t xml:space="preserve">of </w:t>
      </w:r>
      <w:r w:rsidR="1D0A6485" w:rsidRPr="1D0A6485">
        <w:rPr>
          <w:rFonts w:ascii="Times New Roman" w:eastAsia="Times New Roman" w:hAnsi="Times New Roman" w:cs="Times New Roman"/>
          <w:color w:val="000000" w:themeColor="text1"/>
          <w:sz w:val="24"/>
          <w:szCs w:val="24"/>
          <w:lang w:val="en"/>
        </w:rPr>
        <w:t xml:space="preserve">132 respondents have given their written </w:t>
      </w:r>
      <w:r>
        <w:rPr>
          <w:rFonts w:ascii="Times New Roman" w:eastAsia="Times New Roman" w:hAnsi="Times New Roman" w:cs="Times New Roman"/>
          <w:color w:val="000000" w:themeColor="text1"/>
          <w:sz w:val="24"/>
          <w:szCs w:val="24"/>
          <w:lang w:val="en"/>
        </w:rPr>
        <w:t>statements</w:t>
      </w:r>
      <w:r w:rsidR="1D0A6485" w:rsidRPr="1D0A6485">
        <w:rPr>
          <w:rFonts w:ascii="Times New Roman" w:eastAsia="Times New Roman" w:hAnsi="Times New Roman" w:cs="Times New Roman"/>
          <w:color w:val="000000" w:themeColor="text1"/>
          <w:sz w:val="24"/>
          <w:szCs w:val="24"/>
          <w:lang w:val="en"/>
        </w:rPr>
        <w:t xml:space="preserve"> for this question. The sentiment analysis has </w:t>
      </w:r>
      <w:r>
        <w:rPr>
          <w:rFonts w:ascii="Times New Roman" w:eastAsia="Times New Roman" w:hAnsi="Times New Roman" w:cs="Times New Roman"/>
          <w:color w:val="000000" w:themeColor="text1"/>
          <w:sz w:val="24"/>
          <w:szCs w:val="24"/>
          <w:lang w:val="en"/>
        </w:rPr>
        <w:t xml:space="preserve">a </w:t>
      </w:r>
      <w:r w:rsidR="1D0A6485" w:rsidRPr="1D0A6485">
        <w:rPr>
          <w:rFonts w:ascii="Times New Roman" w:eastAsia="Times New Roman" w:hAnsi="Times New Roman" w:cs="Times New Roman"/>
          <w:color w:val="000000" w:themeColor="text1"/>
          <w:sz w:val="24"/>
          <w:szCs w:val="24"/>
          <w:lang w:val="en"/>
        </w:rPr>
        <w:t xml:space="preserve">contrary result </w:t>
      </w:r>
      <w:r>
        <w:rPr>
          <w:rFonts w:ascii="Times New Roman" w:eastAsia="Times New Roman" w:hAnsi="Times New Roman" w:cs="Times New Roman"/>
          <w:color w:val="000000" w:themeColor="text1"/>
          <w:sz w:val="24"/>
          <w:szCs w:val="24"/>
          <w:lang w:val="en"/>
        </w:rPr>
        <w:t xml:space="preserve">that advocates for </w:t>
      </w:r>
      <w:r w:rsidR="00143D69">
        <w:rPr>
          <w:rFonts w:ascii="Times New Roman" w:eastAsia="Times New Roman" w:hAnsi="Times New Roman" w:cs="Times New Roman"/>
          <w:color w:val="000000" w:themeColor="text1"/>
          <w:sz w:val="24"/>
          <w:szCs w:val="24"/>
          <w:lang w:val="en"/>
        </w:rPr>
        <w:t>respondents'</w:t>
      </w:r>
      <w:r>
        <w:rPr>
          <w:rFonts w:ascii="Times New Roman" w:eastAsia="Times New Roman" w:hAnsi="Times New Roman" w:cs="Times New Roman"/>
          <w:color w:val="000000" w:themeColor="text1"/>
          <w:sz w:val="24"/>
          <w:szCs w:val="24"/>
          <w:lang w:val="en"/>
        </w:rPr>
        <w:t xml:space="preserve"> neutral feedback</w:t>
      </w:r>
      <w:r w:rsidR="1D0A6485" w:rsidRPr="1D0A6485">
        <w:rPr>
          <w:rFonts w:ascii="Times New Roman" w:eastAsia="Times New Roman" w:hAnsi="Times New Roman" w:cs="Times New Roman"/>
          <w:color w:val="000000" w:themeColor="text1"/>
          <w:sz w:val="24"/>
          <w:szCs w:val="24"/>
          <w:lang w:val="en"/>
        </w:rPr>
        <w:t xml:space="preserve"> (Table 3). The average sentiment score for this question is found neutral with 49 percent. Nevertheless, student engagement is found either negative </w:t>
      </w:r>
      <w:r>
        <w:rPr>
          <w:rFonts w:ascii="Times New Roman" w:eastAsia="Times New Roman" w:hAnsi="Times New Roman" w:cs="Times New Roman"/>
          <w:color w:val="000000" w:themeColor="text1"/>
          <w:sz w:val="24"/>
          <w:szCs w:val="24"/>
          <w:lang w:val="en"/>
        </w:rPr>
        <w:t>or</w:t>
      </w:r>
      <w:r w:rsidR="1D0A6485" w:rsidRPr="1D0A6485">
        <w:rPr>
          <w:rFonts w:ascii="Times New Roman" w:eastAsia="Times New Roman" w:hAnsi="Times New Roman" w:cs="Times New Roman"/>
          <w:color w:val="000000" w:themeColor="text1"/>
          <w:sz w:val="24"/>
          <w:szCs w:val="24"/>
          <w:lang w:val="en"/>
        </w:rPr>
        <w:t xml:space="preserve"> neutral indicating a gap in student engagement during online classes during Covid-19.</w:t>
      </w:r>
    </w:p>
    <w:p w14:paraId="2CF71FFE" w14:textId="75D790AC" w:rsidR="4031B14C" w:rsidRDefault="1D0A6485" w:rsidP="4031B14C">
      <w:pPr>
        <w:ind w:firstLine="360"/>
        <w:jc w:val="both"/>
        <w:rPr>
          <w:rFonts w:ascii="Times New Roman" w:eastAsia="Times New Roman" w:hAnsi="Times New Roman" w:cs="Times New Roman"/>
          <w:color w:val="202124"/>
          <w:sz w:val="24"/>
          <w:szCs w:val="24"/>
        </w:rPr>
      </w:pPr>
      <w:r w:rsidRPr="1D0A6485">
        <w:rPr>
          <w:rFonts w:ascii="Times New Roman" w:eastAsia="Times New Roman" w:hAnsi="Times New Roman" w:cs="Times New Roman"/>
          <w:color w:val="202124"/>
          <w:sz w:val="24"/>
          <w:szCs w:val="24"/>
          <w:lang w:val="en"/>
        </w:rPr>
        <w:t>Table 3:  Sentiment analysis summary for Q2</w:t>
      </w:r>
    </w:p>
    <w:tbl>
      <w:tblPr>
        <w:tblW w:w="0" w:type="auto"/>
        <w:tblLayout w:type="fixed"/>
        <w:tblLook w:val="04A0" w:firstRow="1" w:lastRow="0" w:firstColumn="1" w:lastColumn="0" w:noHBand="0" w:noVBand="1"/>
      </w:tblPr>
      <w:tblGrid>
        <w:gridCol w:w="2745"/>
        <w:gridCol w:w="3450"/>
        <w:gridCol w:w="3150"/>
      </w:tblGrid>
      <w:tr w:rsidR="4031B14C" w14:paraId="7250A8D9" w14:textId="77777777" w:rsidTr="1D0A6485">
        <w:trPr>
          <w:trHeight w:val="300"/>
        </w:trPr>
        <w:tc>
          <w:tcPr>
            <w:tcW w:w="2745" w:type="dxa"/>
            <w:tcBorders>
              <w:top w:val="single" w:sz="6" w:space="0" w:color="305496"/>
              <w:left w:val="nil"/>
              <w:bottom w:val="nil"/>
              <w:right w:val="nil"/>
            </w:tcBorders>
            <w:shd w:val="clear" w:color="auto" w:fill="4472C4" w:themeFill="accent1"/>
            <w:vAlign w:val="bottom"/>
          </w:tcPr>
          <w:p w14:paraId="578258DD" w14:textId="39175570" w:rsidR="4031B14C" w:rsidRDefault="1D0A6485" w:rsidP="4031B14C">
            <w:pPr>
              <w:ind w:firstLine="360"/>
              <w:jc w:val="both"/>
              <w:rPr>
                <w:rFonts w:ascii="Times New Roman" w:eastAsia="Times New Roman" w:hAnsi="Times New Roman" w:cs="Times New Roman"/>
                <w:color w:val="FFFFFF" w:themeColor="background1"/>
                <w:sz w:val="24"/>
                <w:szCs w:val="24"/>
              </w:rPr>
            </w:pPr>
            <w:r w:rsidRPr="1D0A6485">
              <w:rPr>
                <w:rFonts w:ascii="Times New Roman" w:eastAsia="Times New Roman" w:hAnsi="Times New Roman" w:cs="Times New Roman"/>
                <w:b/>
                <w:bCs/>
                <w:color w:val="FFFFFF" w:themeColor="background1"/>
                <w:sz w:val="24"/>
                <w:szCs w:val="24"/>
              </w:rPr>
              <w:lastRenderedPageBreak/>
              <w:t>Sentiment</w:t>
            </w:r>
          </w:p>
        </w:tc>
        <w:tc>
          <w:tcPr>
            <w:tcW w:w="3450" w:type="dxa"/>
            <w:tcBorders>
              <w:top w:val="single" w:sz="6" w:space="0" w:color="305496"/>
              <w:left w:val="nil"/>
              <w:bottom w:val="nil"/>
              <w:right w:val="nil"/>
            </w:tcBorders>
            <w:shd w:val="clear" w:color="auto" w:fill="4472C4" w:themeFill="accent1"/>
            <w:vAlign w:val="bottom"/>
          </w:tcPr>
          <w:p w14:paraId="5F2C1C8F" w14:textId="14B8AB0C" w:rsidR="4031B14C" w:rsidRDefault="1D0A6485" w:rsidP="4031B14C">
            <w:pPr>
              <w:ind w:firstLine="360"/>
              <w:jc w:val="both"/>
              <w:rPr>
                <w:rFonts w:ascii="Times New Roman" w:eastAsia="Times New Roman" w:hAnsi="Times New Roman" w:cs="Times New Roman"/>
                <w:color w:val="FFFFFF" w:themeColor="background1"/>
                <w:sz w:val="24"/>
                <w:szCs w:val="24"/>
              </w:rPr>
            </w:pPr>
            <w:r w:rsidRPr="1D0A6485">
              <w:rPr>
                <w:rFonts w:ascii="Times New Roman" w:eastAsia="Times New Roman" w:hAnsi="Times New Roman" w:cs="Times New Roman"/>
                <w:b/>
                <w:bCs/>
                <w:color w:val="FFFFFF" w:themeColor="background1"/>
                <w:sz w:val="24"/>
                <w:szCs w:val="24"/>
                <w:lang w:val="en"/>
              </w:rPr>
              <w:t>Count of Response</w:t>
            </w:r>
          </w:p>
        </w:tc>
        <w:tc>
          <w:tcPr>
            <w:tcW w:w="3150" w:type="dxa"/>
            <w:tcBorders>
              <w:top w:val="single" w:sz="6" w:space="0" w:color="305496"/>
              <w:left w:val="nil"/>
              <w:bottom w:val="nil"/>
              <w:right w:val="nil"/>
            </w:tcBorders>
            <w:shd w:val="clear" w:color="auto" w:fill="4472C4" w:themeFill="accent1"/>
            <w:vAlign w:val="bottom"/>
          </w:tcPr>
          <w:p w14:paraId="34BB63AD" w14:textId="6BA040CA" w:rsidR="4031B14C" w:rsidRDefault="1D0A6485" w:rsidP="4031B14C">
            <w:pPr>
              <w:ind w:firstLine="360"/>
              <w:jc w:val="both"/>
              <w:rPr>
                <w:rFonts w:ascii="Times New Roman" w:eastAsia="Times New Roman" w:hAnsi="Times New Roman" w:cs="Times New Roman"/>
                <w:color w:val="FFFFFF" w:themeColor="background1"/>
                <w:sz w:val="24"/>
                <w:szCs w:val="24"/>
              </w:rPr>
            </w:pPr>
            <w:r w:rsidRPr="1D0A6485">
              <w:rPr>
                <w:rFonts w:ascii="Times New Roman" w:eastAsia="Times New Roman" w:hAnsi="Times New Roman" w:cs="Times New Roman"/>
                <w:b/>
                <w:bCs/>
                <w:color w:val="FFFFFF" w:themeColor="background1"/>
                <w:sz w:val="24"/>
                <w:szCs w:val="24"/>
                <w:lang w:val="en"/>
              </w:rPr>
              <w:t>Average of Score</w:t>
            </w:r>
          </w:p>
        </w:tc>
      </w:tr>
      <w:tr w:rsidR="4031B14C" w14:paraId="1C374838" w14:textId="77777777" w:rsidTr="1D0A6485">
        <w:trPr>
          <w:trHeight w:val="300"/>
        </w:trPr>
        <w:tc>
          <w:tcPr>
            <w:tcW w:w="2745" w:type="dxa"/>
            <w:tcBorders>
              <w:top w:val="nil"/>
              <w:left w:val="nil"/>
              <w:bottom w:val="nil"/>
              <w:right w:val="nil"/>
            </w:tcBorders>
            <w:vAlign w:val="bottom"/>
          </w:tcPr>
          <w:p w14:paraId="6AE50989" w14:textId="02B362A9"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negative</w:t>
            </w:r>
          </w:p>
        </w:tc>
        <w:tc>
          <w:tcPr>
            <w:tcW w:w="3450" w:type="dxa"/>
            <w:tcBorders>
              <w:top w:val="nil"/>
              <w:left w:val="nil"/>
              <w:bottom w:val="nil"/>
              <w:right w:val="nil"/>
            </w:tcBorders>
            <w:vAlign w:val="bottom"/>
          </w:tcPr>
          <w:p w14:paraId="7D55C8CF" w14:textId="559FA5F7"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53</w:t>
            </w:r>
          </w:p>
        </w:tc>
        <w:tc>
          <w:tcPr>
            <w:tcW w:w="3150" w:type="dxa"/>
            <w:tcBorders>
              <w:top w:val="nil"/>
              <w:left w:val="nil"/>
              <w:bottom w:val="nil"/>
              <w:right w:val="nil"/>
            </w:tcBorders>
            <w:vAlign w:val="bottom"/>
          </w:tcPr>
          <w:p w14:paraId="0D311FA9" w14:textId="590B71D2"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23%</w:t>
            </w:r>
          </w:p>
        </w:tc>
      </w:tr>
      <w:tr w:rsidR="4031B14C" w14:paraId="750ADE36" w14:textId="77777777" w:rsidTr="1D0A6485">
        <w:trPr>
          <w:trHeight w:val="300"/>
        </w:trPr>
        <w:tc>
          <w:tcPr>
            <w:tcW w:w="2745" w:type="dxa"/>
            <w:tcBorders>
              <w:top w:val="nil"/>
              <w:left w:val="nil"/>
              <w:bottom w:val="nil"/>
              <w:right w:val="nil"/>
            </w:tcBorders>
            <w:vAlign w:val="bottom"/>
          </w:tcPr>
          <w:p w14:paraId="690D169D" w14:textId="1F38994C"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neutral</w:t>
            </w:r>
          </w:p>
        </w:tc>
        <w:tc>
          <w:tcPr>
            <w:tcW w:w="3450" w:type="dxa"/>
            <w:tcBorders>
              <w:top w:val="nil"/>
              <w:left w:val="nil"/>
              <w:bottom w:val="nil"/>
              <w:right w:val="nil"/>
            </w:tcBorders>
            <w:vAlign w:val="bottom"/>
          </w:tcPr>
          <w:p w14:paraId="1020055B" w14:textId="37616499"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18</w:t>
            </w:r>
          </w:p>
        </w:tc>
        <w:tc>
          <w:tcPr>
            <w:tcW w:w="3150" w:type="dxa"/>
            <w:tcBorders>
              <w:top w:val="nil"/>
              <w:left w:val="nil"/>
              <w:bottom w:val="nil"/>
              <w:right w:val="nil"/>
            </w:tcBorders>
            <w:vAlign w:val="bottom"/>
          </w:tcPr>
          <w:p w14:paraId="0CEB7A6A" w14:textId="49D2E070"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53%</w:t>
            </w:r>
          </w:p>
        </w:tc>
      </w:tr>
      <w:tr w:rsidR="4031B14C" w14:paraId="36A663BF" w14:textId="77777777" w:rsidTr="1D0A6485">
        <w:trPr>
          <w:trHeight w:val="300"/>
        </w:trPr>
        <w:tc>
          <w:tcPr>
            <w:tcW w:w="2745" w:type="dxa"/>
            <w:tcBorders>
              <w:top w:val="nil"/>
              <w:left w:val="nil"/>
              <w:bottom w:val="nil"/>
              <w:right w:val="nil"/>
            </w:tcBorders>
            <w:vAlign w:val="bottom"/>
          </w:tcPr>
          <w:p w14:paraId="6B04B2C4" w14:textId="2BD08BE0"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positive</w:t>
            </w:r>
          </w:p>
        </w:tc>
        <w:tc>
          <w:tcPr>
            <w:tcW w:w="3450" w:type="dxa"/>
            <w:tcBorders>
              <w:top w:val="nil"/>
              <w:left w:val="nil"/>
              <w:bottom w:val="nil"/>
              <w:right w:val="nil"/>
            </w:tcBorders>
            <w:vAlign w:val="bottom"/>
          </w:tcPr>
          <w:p w14:paraId="72F174A2" w14:textId="3E694D6A"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61</w:t>
            </w:r>
          </w:p>
        </w:tc>
        <w:tc>
          <w:tcPr>
            <w:tcW w:w="3150" w:type="dxa"/>
            <w:tcBorders>
              <w:top w:val="nil"/>
              <w:left w:val="nil"/>
              <w:bottom w:val="nil"/>
              <w:right w:val="nil"/>
            </w:tcBorders>
            <w:vAlign w:val="bottom"/>
          </w:tcPr>
          <w:p w14:paraId="457FD341" w14:textId="161EC612"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70%</w:t>
            </w:r>
          </w:p>
        </w:tc>
      </w:tr>
      <w:tr w:rsidR="4031B14C" w14:paraId="788EEC76" w14:textId="77777777" w:rsidTr="1D0A6485">
        <w:trPr>
          <w:trHeight w:val="300"/>
        </w:trPr>
        <w:tc>
          <w:tcPr>
            <w:tcW w:w="2745" w:type="dxa"/>
            <w:tcBorders>
              <w:top w:val="single" w:sz="6" w:space="0" w:color="305496"/>
              <w:left w:val="nil"/>
              <w:bottom w:val="single" w:sz="6" w:space="0" w:color="305496"/>
              <w:right w:val="nil"/>
            </w:tcBorders>
            <w:vAlign w:val="bottom"/>
          </w:tcPr>
          <w:p w14:paraId="4AEBF11F" w14:textId="69277C16"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b/>
                <w:bCs/>
                <w:color w:val="000000" w:themeColor="text1"/>
                <w:sz w:val="24"/>
                <w:szCs w:val="24"/>
                <w:lang w:val="en"/>
              </w:rPr>
              <w:t>Grand Total</w:t>
            </w:r>
          </w:p>
        </w:tc>
        <w:tc>
          <w:tcPr>
            <w:tcW w:w="3450" w:type="dxa"/>
            <w:tcBorders>
              <w:top w:val="single" w:sz="6" w:space="0" w:color="305496"/>
              <w:left w:val="nil"/>
              <w:bottom w:val="single" w:sz="6" w:space="0" w:color="305496"/>
              <w:right w:val="nil"/>
            </w:tcBorders>
            <w:vAlign w:val="bottom"/>
          </w:tcPr>
          <w:p w14:paraId="43E545F9" w14:textId="31468086"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b/>
                <w:bCs/>
                <w:color w:val="000000" w:themeColor="text1"/>
                <w:sz w:val="24"/>
                <w:szCs w:val="24"/>
                <w:lang w:val="en"/>
              </w:rPr>
              <w:t>132</w:t>
            </w:r>
          </w:p>
        </w:tc>
        <w:tc>
          <w:tcPr>
            <w:tcW w:w="3150" w:type="dxa"/>
            <w:tcBorders>
              <w:top w:val="single" w:sz="6" w:space="0" w:color="305496"/>
              <w:left w:val="nil"/>
              <w:bottom w:val="single" w:sz="6" w:space="0" w:color="305496"/>
              <w:right w:val="nil"/>
            </w:tcBorders>
            <w:vAlign w:val="bottom"/>
          </w:tcPr>
          <w:p w14:paraId="66F39F97" w14:textId="46A5955B"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b/>
                <w:bCs/>
                <w:color w:val="000000" w:themeColor="text1"/>
                <w:sz w:val="24"/>
                <w:szCs w:val="24"/>
                <w:lang w:val="en"/>
              </w:rPr>
              <w:t>49%</w:t>
            </w:r>
          </w:p>
        </w:tc>
      </w:tr>
    </w:tbl>
    <w:p w14:paraId="6A228792" w14:textId="749F3095" w:rsidR="4031B14C" w:rsidRDefault="4031B14C" w:rsidP="00762861">
      <w:pPr>
        <w:jc w:val="both"/>
        <w:rPr>
          <w:rFonts w:ascii="Times New Roman" w:eastAsia="Times New Roman" w:hAnsi="Times New Roman" w:cs="Times New Roman"/>
          <w:color w:val="000000" w:themeColor="text1"/>
          <w:sz w:val="24"/>
          <w:szCs w:val="24"/>
        </w:rPr>
      </w:pPr>
    </w:p>
    <w:p w14:paraId="68E65595" w14:textId="31623094" w:rsidR="4031B14C" w:rsidRDefault="1D0A6485" w:rsidP="00762861">
      <w:pPr>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b/>
          <w:bCs/>
          <w:color w:val="000000" w:themeColor="text1"/>
          <w:sz w:val="24"/>
          <w:szCs w:val="24"/>
          <w:lang w:val="en"/>
        </w:rPr>
        <w:t>Q3. Do you think the use of online lectures has improved your engagement with the lecturer?</w:t>
      </w:r>
    </w:p>
    <w:p w14:paraId="27031225" w14:textId="2917C24E" w:rsidR="4031B14C" w:rsidRDefault="1D0A6485" w:rsidP="00762861">
      <w:pPr>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 xml:space="preserve">It is widely believed that a better learning experience comes from an engaging and collaborative classroom. Although online lectures have been on the rise for quite a while now, due to this Covid-19 pandemic, The growth of online courses continues to rise dramatically. Alongside the increasing online classes, a need for a better engaging class scenario has been growing at the same pace. Several studies have found that online classes often outperformed students from </w:t>
      </w:r>
      <w:r w:rsidR="00500D14">
        <w:rPr>
          <w:rFonts w:ascii="Times New Roman" w:eastAsia="Times New Roman" w:hAnsi="Times New Roman" w:cs="Times New Roman"/>
          <w:color w:val="000000" w:themeColor="text1"/>
          <w:sz w:val="24"/>
          <w:szCs w:val="24"/>
          <w:lang w:val="en"/>
        </w:rPr>
        <w:t xml:space="preserve">the </w:t>
      </w:r>
      <w:r w:rsidRPr="1D0A6485">
        <w:rPr>
          <w:rFonts w:ascii="Times New Roman" w:eastAsia="Times New Roman" w:hAnsi="Times New Roman" w:cs="Times New Roman"/>
          <w:color w:val="000000" w:themeColor="text1"/>
          <w:sz w:val="24"/>
          <w:szCs w:val="24"/>
          <w:lang w:val="en"/>
        </w:rPr>
        <w:t xml:space="preserve">in-person classroom </w:t>
      </w:r>
      <w:r w:rsidR="4031B14C" w:rsidRPr="1D0A6485">
        <w:rPr>
          <w:rFonts w:ascii="Times New Roman" w:eastAsia="Times New Roman" w:hAnsi="Times New Roman" w:cs="Times New Roman"/>
          <w:color w:val="000000" w:themeColor="text1"/>
          <w:sz w:val="24"/>
          <w:szCs w:val="24"/>
          <w:lang w:val="en"/>
        </w:rPr>
        <w:fldChar w:fldCharType="begin"/>
      </w:r>
      <w:r w:rsidR="4031B14C" w:rsidRPr="1D0A6485">
        <w:rPr>
          <w:rFonts w:ascii="Times New Roman" w:eastAsia="Times New Roman" w:hAnsi="Times New Roman" w:cs="Times New Roman"/>
          <w:color w:val="000000" w:themeColor="text1"/>
          <w:sz w:val="24"/>
          <w:szCs w:val="24"/>
          <w:lang w:val="en"/>
        </w:rPr>
        <w:instrText xml:space="preserve"> ADDIN ZOTERO_ITEM CSL_CITATION {"citationID":"frQsOwvb","properties":{"formattedCitation":"(Dixson, n.d.)","plainCitation":"(Dixson, n.d.)","noteIndex":0},"citationItems":[{"id":37,"uris":["http://zotero.org/users/local/SRh9d10S/items/NNDPDQTR"],"uri":["http://zotero.org/users/local/SRh9d10S/items/NNDPDQTR"],"itemData":{"id":37,"type":"article-journal","abstract":"While this paper set out to discover what activities and/or interaction channels might be expected to lead to more highly engaged students, what it found was a bit different. After first creating a scale to measure online student engagement, and then surveying 186 students from six campuses in the Midwest, the results indicate that there is no particular activity that will automatically help students to be more engaged in online classes. However, the results also suggest that multiple communication channels may be related to higher engagement and that student-student and instructor-student communication are clearly strongly correlated with higher student engagement with the course, in general. Thus, advice for online instructors is still to use active learning but to be sure to incorporate meaningful and multiple ways of interacting with students and encouraging/requiring students to interact with each other.","container-title":"M. D.","issue":"2","language":"en","page":"13","source":"Zotero","title":"Creating effective student engagement in online courses: What do students find engaging?","volume":"10","author":[{"family":"Dixson","given":"Marcia D"}]}}],"schema":"https://github.com/citation-style-language/schema/raw/master/csl-citation.json"} </w:instrText>
      </w:r>
      <w:r w:rsidR="4031B14C" w:rsidRPr="1D0A6485">
        <w:rPr>
          <w:rFonts w:ascii="Times New Roman" w:eastAsia="Times New Roman" w:hAnsi="Times New Roman" w:cs="Times New Roman"/>
          <w:color w:val="000000" w:themeColor="text1"/>
          <w:sz w:val="24"/>
          <w:szCs w:val="24"/>
          <w:lang w:val="en"/>
        </w:rPr>
        <w:fldChar w:fldCharType="separate"/>
      </w:r>
      <w:r w:rsidRPr="1D0A6485">
        <w:rPr>
          <w:rFonts w:ascii="Times New Roman" w:eastAsia="Times New Roman" w:hAnsi="Times New Roman" w:cs="Times New Roman"/>
          <w:noProof/>
          <w:color w:val="000000" w:themeColor="text1"/>
          <w:sz w:val="24"/>
          <w:szCs w:val="24"/>
          <w:lang w:val="en"/>
        </w:rPr>
        <w:t>(Dixson, n.d.)</w:t>
      </w:r>
      <w:r w:rsidR="4031B14C" w:rsidRPr="1D0A6485">
        <w:rPr>
          <w:rFonts w:ascii="Times New Roman" w:eastAsia="Times New Roman" w:hAnsi="Times New Roman" w:cs="Times New Roman"/>
          <w:color w:val="000000" w:themeColor="text1"/>
          <w:sz w:val="24"/>
          <w:szCs w:val="24"/>
          <w:lang w:val="en"/>
        </w:rPr>
        <w:fldChar w:fldCharType="end"/>
      </w:r>
    </w:p>
    <w:p w14:paraId="0E05B7D1" w14:textId="6295DDA6" w:rsidR="4031B14C" w:rsidRDefault="1D0A6485" w:rsidP="00762861">
      <w:pPr>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 xml:space="preserve">Curating the answers of 187 respondents, </w:t>
      </w:r>
      <w:r w:rsidR="00FF019A">
        <w:rPr>
          <w:rFonts w:ascii="Times New Roman" w:eastAsia="Times New Roman" w:hAnsi="Times New Roman" w:cs="Times New Roman"/>
          <w:color w:val="000000" w:themeColor="text1"/>
          <w:sz w:val="24"/>
          <w:szCs w:val="24"/>
          <w:lang w:val="en"/>
        </w:rPr>
        <w:t>the</w:t>
      </w:r>
      <w:r w:rsidRPr="1D0A6485">
        <w:rPr>
          <w:rFonts w:ascii="Times New Roman" w:eastAsia="Times New Roman" w:hAnsi="Times New Roman" w:cs="Times New Roman"/>
          <w:color w:val="000000" w:themeColor="text1"/>
          <w:sz w:val="24"/>
          <w:szCs w:val="24"/>
          <w:lang w:val="en"/>
        </w:rPr>
        <w:t xml:space="preserve"> majority of the answers are leaning towards the negative part of the 5-point Likert scale that has been used to analyze the results. </w:t>
      </w:r>
      <w:r w:rsidR="00FF019A">
        <w:rPr>
          <w:rFonts w:ascii="Times New Roman" w:eastAsia="Times New Roman" w:hAnsi="Times New Roman" w:cs="Times New Roman"/>
          <w:color w:val="000000" w:themeColor="text1"/>
          <w:sz w:val="24"/>
          <w:szCs w:val="24"/>
          <w:lang w:val="en"/>
        </w:rPr>
        <w:t>Forty-five</w:t>
      </w:r>
      <w:r w:rsidRPr="1D0A6485">
        <w:rPr>
          <w:rFonts w:ascii="Times New Roman" w:eastAsia="Times New Roman" w:hAnsi="Times New Roman" w:cs="Times New Roman"/>
          <w:color w:val="000000" w:themeColor="text1"/>
          <w:sz w:val="24"/>
          <w:szCs w:val="24"/>
          <w:lang w:val="en"/>
        </w:rPr>
        <w:t xml:space="preserve"> percent of the total 187 respondents think that it has not helped increase engagement with the lecturer. 27.28 percent </w:t>
      </w:r>
      <w:r w:rsidR="00FF019A">
        <w:rPr>
          <w:rFonts w:ascii="Times New Roman" w:eastAsia="Times New Roman" w:hAnsi="Times New Roman" w:cs="Times New Roman"/>
          <w:color w:val="000000" w:themeColor="text1"/>
          <w:sz w:val="24"/>
          <w:szCs w:val="24"/>
          <w:lang w:val="en"/>
        </w:rPr>
        <w:t xml:space="preserve">of </w:t>
      </w:r>
      <w:r w:rsidRPr="1D0A6485">
        <w:rPr>
          <w:rFonts w:ascii="Times New Roman" w:eastAsia="Times New Roman" w:hAnsi="Times New Roman" w:cs="Times New Roman"/>
          <w:color w:val="000000" w:themeColor="text1"/>
          <w:sz w:val="24"/>
          <w:szCs w:val="24"/>
          <w:lang w:val="en"/>
        </w:rPr>
        <w:t xml:space="preserve">respondents think that it has </w:t>
      </w:r>
      <w:r w:rsidR="00FF019A">
        <w:rPr>
          <w:rFonts w:ascii="Times New Roman" w:eastAsia="Times New Roman" w:hAnsi="Times New Roman" w:cs="Times New Roman"/>
          <w:color w:val="000000" w:themeColor="text1"/>
          <w:sz w:val="24"/>
          <w:szCs w:val="24"/>
          <w:lang w:val="en"/>
        </w:rPr>
        <w:t>minimal</w:t>
      </w:r>
      <w:r w:rsidRPr="1D0A6485">
        <w:rPr>
          <w:rFonts w:ascii="Times New Roman" w:eastAsia="Times New Roman" w:hAnsi="Times New Roman" w:cs="Times New Roman"/>
          <w:color w:val="000000" w:themeColor="text1"/>
          <w:sz w:val="24"/>
          <w:szCs w:val="24"/>
          <w:lang w:val="en"/>
        </w:rPr>
        <w:t xml:space="preserve"> impact on their engagement. 29.95 percent </w:t>
      </w:r>
      <w:r w:rsidR="00FF019A">
        <w:rPr>
          <w:rFonts w:ascii="Times New Roman" w:eastAsia="Times New Roman" w:hAnsi="Times New Roman" w:cs="Times New Roman"/>
          <w:color w:val="000000" w:themeColor="text1"/>
          <w:sz w:val="24"/>
          <w:szCs w:val="24"/>
          <w:lang w:val="en"/>
        </w:rPr>
        <w:t xml:space="preserve">of </w:t>
      </w:r>
      <w:r w:rsidRPr="1D0A6485">
        <w:rPr>
          <w:rFonts w:ascii="Times New Roman" w:eastAsia="Times New Roman" w:hAnsi="Times New Roman" w:cs="Times New Roman"/>
          <w:color w:val="000000" w:themeColor="text1"/>
          <w:sz w:val="24"/>
          <w:szCs w:val="24"/>
          <w:lang w:val="en"/>
        </w:rPr>
        <w:t xml:space="preserve">respondents are unsure about the fact. Only 34 percent </w:t>
      </w:r>
      <w:r w:rsidR="00FF019A">
        <w:rPr>
          <w:rFonts w:ascii="Times New Roman" w:eastAsia="Times New Roman" w:hAnsi="Times New Roman" w:cs="Times New Roman"/>
          <w:color w:val="000000" w:themeColor="text1"/>
          <w:sz w:val="24"/>
          <w:szCs w:val="24"/>
          <w:lang w:val="en"/>
        </w:rPr>
        <w:t xml:space="preserve">of </w:t>
      </w:r>
      <w:r w:rsidRPr="1D0A6485">
        <w:rPr>
          <w:rFonts w:ascii="Times New Roman" w:eastAsia="Times New Roman" w:hAnsi="Times New Roman" w:cs="Times New Roman"/>
          <w:color w:val="000000" w:themeColor="text1"/>
          <w:sz w:val="24"/>
          <w:szCs w:val="24"/>
          <w:lang w:val="en"/>
        </w:rPr>
        <w:t>respondents are leaning towards the positive side of the given scale.</w:t>
      </w:r>
    </w:p>
    <w:p w14:paraId="36BE986E" w14:textId="17ECF47B"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 xml:space="preserve">  </w:t>
      </w:r>
    </w:p>
    <w:p w14:paraId="49D2781C" w14:textId="3B29C692" w:rsidR="4031B14C" w:rsidRDefault="4031B14C" w:rsidP="4031B14C">
      <w:pPr>
        <w:ind w:firstLine="360"/>
        <w:jc w:val="both"/>
        <w:rPr>
          <w:rFonts w:ascii="Times New Roman" w:eastAsia="Times New Roman" w:hAnsi="Times New Roman" w:cs="Times New Roman"/>
          <w:color w:val="000000" w:themeColor="text1"/>
          <w:sz w:val="24"/>
          <w:szCs w:val="24"/>
        </w:rPr>
      </w:pPr>
    </w:p>
    <w:p w14:paraId="3900FC2D" w14:textId="30A83853" w:rsidR="4031B14C" w:rsidRDefault="4031B14C" w:rsidP="4031B14C">
      <w:pPr>
        <w:ind w:firstLine="360"/>
        <w:jc w:val="both"/>
        <w:rPr>
          <w:rFonts w:ascii="Times New Roman" w:eastAsia="Times New Roman" w:hAnsi="Times New Roman" w:cs="Times New Roman"/>
          <w:color w:val="000000" w:themeColor="text1"/>
          <w:sz w:val="24"/>
          <w:szCs w:val="24"/>
        </w:rPr>
      </w:pPr>
      <w:r>
        <w:rPr>
          <w:noProof/>
        </w:rPr>
        <w:lastRenderedPageBreak/>
        <w:drawing>
          <wp:inline distT="0" distB="0" distL="0" distR="0" wp14:anchorId="4519A6FF" wp14:editId="1D554A14">
            <wp:extent cx="5800725" cy="3171825"/>
            <wp:effectExtent l="0" t="0" r="0" b="0"/>
            <wp:docPr id="2" name="Picture 2" descr="Calend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9">
                      <a:extLst>
                        <a:ext uri="{28A0092B-C50C-407E-A947-70E740481C1C}">
                          <a14:useLocalDpi xmlns:a14="http://schemas.microsoft.com/office/drawing/2010/main" val="0"/>
                        </a:ext>
                      </a:extLst>
                    </a:blip>
                    <a:stretch>
                      <a:fillRect/>
                    </a:stretch>
                  </pic:blipFill>
                  <pic:spPr>
                    <a:xfrm>
                      <a:off x="0" y="0"/>
                      <a:ext cx="5800725" cy="3171825"/>
                    </a:xfrm>
                    <a:prstGeom prst="rect">
                      <a:avLst/>
                    </a:prstGeom>
                  </pic:spPr>
                </pic:pic>
              </a:graphicData>
            </a:graphic>
          </wp:inline>
        </w:drawing>
      </w:r>
    </w:p>
    <w:p w14:paraId="7F006526" w14:textId="4DA2E354"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Figure 3: Respondents feedback on a 5-point Likert scale from Q3</w:t>
      </w:r>
    </w:p>
    <w:p w14:paraId="574045AF" w14:textId="2ADA8CD6" w:rsidR="4031B14C" w:rsidRDefault="4031B14C" w:rsidP="4031B14C">
      <w:pPr>
        <w:ind w:firstLine="360"/>
        <w:jc w:val="both"/>
        <w:rPr>
          <w:rFonts w:ascii="Times New Roman" w:eastAsia="Times New Roman" w:hAnsi="Times New Roman" w:cs="Times New Roman"/>
          <w:color w:val="000000" w:themeColor="text1"/>
          <w:sz w:val="24"/>
          <w:szCs w:val="24"/>
        </w:rPr>
      </w:pPr>
    </w:p>
    <w:p w14:paraId="12235874" w14:textId="368D16BF" w:rsidR="4031B14C" w:rsidRDefault="1D0A6485" w:rsidP="003416CA">
      <w:pPr>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 xml:space="preserve">Analyzing </w:t>
      </w:r>
      <w:r w:rsidR="00FF019A">
        <w:rPr>
          <w:rFonts w:ascii="Times New Roman" w:eastAsia="Times New Roman" w:hAnsi="Times New Roman" w:cs="Times New Roman"/>
          <w:color w:val="000000" w:themeColor="text1"/>
          <w:sz w:val="24"/>
          <w:szCs w:val="24"/>
          <w:lang w:val="en"/>
        </w:rPr>
        <w:t xml:space="preserve">the </w:t>
      </w:r>
      <w:r w:rsidRPr="1D0A6485">
        <w:rPr>
          <w:rFonts w:ascii="Times New Roman" w:eastAsia="Times New Roman" w:hAnsi="Times New Roman" w:cs="Times New Roman"/>
          <w:color w:val="000000" w:themeColor="text1"/>
          <w:sz w:val="24"/>
          <w:szCs w:val="24"/>
          <w:lang w:val="en"/>
        </w:rPr>
        <w:t xml:space="preserve">sentiment of 128 statements, the total sentiment score is 52%. This number depicts that the </w:t>
      </w:r>
      <w:r w:rsidR="00FF019A">
        <w:rPr>
          <w:rFonts w:ascii="Times New Roman" w:eastAsia="Times New Roman" w:hAnsi="Times New Roman" w:cs="Times New Roman"/>
          <w:color w:val="000000" w:themeColor="text1"/>
          <w:sz w:val="24"/>
          <w:szCs w:val="24"/>
          <w:lang w:val="en"/>
        </w:rPr>
        <w:t>genuine</w:t>
      </w:r>
      <w:r w:rsidRPr="1D0A6485">
        <w:rPr>
          <w:rFonts w:ascii="Times New Roman" w:eastAsia="Times New Roman" w:hAnsi="Times New Roman" w:cs="Times New Roman"/>
          <w:color w:val="000000" w:themeColor="text1"/>
          <w:sz w:val="24"/>
          <w:szCs w:val="24"/>
          <w:lang w:val="en"/>
        </w:rPr>
        <w:t xml:space="preserve"> sentiment is neutral. There are 66 positive statements</w:t>
      </w:r>
      <w:r w:rsidR="00FF019A">
        <w:rPr>
          <w:rFonts w:ascii="Times New Roman" w:eastAsia="Times New Roman" w:hAnsi="Times New Roman" w:cs="Times New Roman"/>
          <w:color w:val="000000" w:themeColor="text1"/>
          <w:sz w:val="24"/>
          <w:szCs w:val="24"/>
          <w:lang w:val="en"/>
        </w:rPr>
        <w:t>,</w:t>
      </w:r>
      <w:r w:rsidRPr="1D0A6485">
        <w:rPr>
          <w:rFonts w:ascii="Times New Roman" w:eastAsia="Times New Roman" w:hAnsi="Times New Roman" w:cs="Times New Roman"/>
          <w:color w:val="000000" w:themeColor="text1"/>
          <w:sz w:val="24"/>
          <w:szCs w:val="24"/>
          <w:lang w:val="en"/>
        </w:rPr>
        <w:t xml:space="preserve"> and their average sentiment score is 69 percent. As one of the respondents stated-</w:t>
      </w:r>
    </w:p>
    <w:p w14:paraId="3B9FAD31" w14:textId="007A88D7" w:rsidR="4031B14C" w:rsidRPr="00762861" w:rsidRDefault="00143D69" w:rsidP="00762861">
      <w:pPr>
        <w:pStyle w:val="Quote"/>
        <w:ind w:left="720" w:right="1422"/>
        <w:jc w:val="both"/>
        <w:rPr>
          <w:rFonts w:ascii="Times New Roman" w:eastAsia="Times New Roman" w:hAnsi="Times New Roman" w:cs="Times New Roman"/>
          <w:color w:val="5A5A5A"/>
          <w:sz w:val="24"/>
          <w:szCs w:val="24"/>
          <w:lang w:val="en"/>
        </w:rPr>
      </w:pPr>
      <w:r>
        <w:rPr>
          <w:rFonts w:ascii="Times New Roman" w:eastAsia="Times New Roman" w:hAnsi="Times New Roman" w:cs="Times New Roman"/>
          <w:color w:val="5A5A5A"/>
          <w:sz w:val="24"/>
          <w:szCs w:val="24"/>
          <w:lang w:val="en"/>
        </w:rPr>
        <w:t>"</w:t>
      </w:r>
      <w:r w:rsidR="1D0A6485" w:rsidRPr="1D0A6485">
        <w:rPr>
          <w:rFonts w:ascii="Times New Roman" w:eastAsia="Times New Roman" w:hAnsi="Times New Roman" w:cs="Times New Roman"/>
          <w:color w:val="5A5A5A"/>
          <w:sz w:val="24"/>
          <w:szCs w:val="24"/>
          <w:lang w:val="en"/>
        </w:rPr>
        <w:t xml:space="preserve">Yes, I can raise any questions turning my video off which is tough for introverts to do in </w:t>
      </w:r>
      <w:r w:rsidR="00FF019A">
        <w:rPr>
          <w:rFonts w:ascii="Times New Roman" w:eastAsia="Times New Roman" w:hAnsi="Times New Roman" w:cs="Times New Roman"/>
          <w:color w:val="5A5A5A"/>
          <w:sz w:val="24"/>
          <w:szCs w:val="24"/>
          <w:lang w:val="en"/>
        </w:rPr>
        <w:t xml:space="preserve">the </w:t>
      </w:r>
      <w:r w:rsidR="1D0A6485" w:rsidRPr="1D0A6485">
        <w:rPr>
          <w:rFonts w:ascii="Times New Roman" w:eastAsia="Times New Roman" w:hAnsi="Times New Roman" w:cs="Times New Roman"/>
          <w:color w:val="5A5A5A"/>
          <w:sz w:val="24"/>
          <w:szCs w:val="24"/>
          <w:lang w:val="en"/>
        </w:rPr>
        <w:t>classroom in front of classmates.</w:t>
      </w:r>
      <w:r>
        <w:rPr>
          <w:rFonts w:ascii="Times New Roman" w:eastAsia="Times New Roman" w:hAnsi="Times New Roman" w:cs="Times New Roman"/>
          <w:color w:val="5A5A5A"/>
          <w:sz w:val="24"/>
          <w:szCs w:val="24"/>
          <w:lang w:val="en"/>
        </w:rPr>
        <w:t>"</w:t>
      </w:r>
    </w:p>
    <w:p w14:paraId="03E64770" w14:textId="6BE45EF0" w:rsidR="4031B14C" w:rsidRDefault="00FF019A" w:rsidP="003416CA">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lang w:val="en"/>
        </w:rPr>
        <w:t>Forty-two</w:t>
      </w:r>
      <w:r w:rsidR="1D0A6485" w:rsidRPr="1D0A6485">
        <w:rPr>
          <w:rFonts w:ascii="Times New Roman" w:eastAsia="Times New Roman" w:hAnsi="Times New Roman" w:cs="Times New Roman"/>
          <w:color w:val="000000" w:themeColor="text1"/>
          <w:sz w:val="24"/>
          <w:szCs w:val="24"/>
          <w:lang w:val="en"/>
        </w:rPr>
        <w:t xml:space="preserve"> of the response are negative</w:t>
      </w:r>
      <w:r>
        <w:rPr>
          <w:rFonts w:ascii="Times New Roman" w:eastAsia="Times New Roman" w:hAnsi="Times New Roman" w:cs="Times New Roman"/>
          <w:color w:val="000000" w:themeColor="text1"/>
          <w:sz w:val="24"/>
          <w:szCs w:val="24"/>
          <w:lang w:val="en"/>
        </w:rPr>
        <w:t>,</w:t>
      </w:r>
      <w:r w:rsidR="1D0A6485" w:rsidRPr="1D0A6485">
        <w:rPr>
          <w:rFonts w:ascii="Times New Roman" w:eastAsia="Times New Roman" w:hAnsi="Times New Roman" w:cs="Times New Roman"/>
          <w:color w:val="000000" w:themeColor="text1"/>
          <w:sz w:val="24"/>
          <w:szCs w:val="24"/>
          <w:lang w:val="en"/>
        </w:rPr>
        <w:t xml:space="preserve"> with an average score of 25%. </w:t>
      </w:r>
    </w:p>
    <w:p w14:paraId="694AB602" w14:textId="1D0B96E8" w:rsidR="4031B14C" w:rsidRPr="00762861" w:rsidRDefault="00143D69" w:rsidP="003416CA">
      <w:pPr>
        <w:pStyle w:val="Quote"/>
        <w:ind w:left="720" w:right="1422"/>
        <w:jc w:val="both"/>
        <w:rPr>
          <w:rFonts w:ascii="Times New Roman" w:eastAsia="Times New Roman" w:hAnsi="Times New Roman" w:cs="Times New Roman"/>
          <w:color w:val="5A5A5A"/>
          <w:sz w:val="24"/>
          <w:szCs w:val="24"/>
          <w:lang w:val="en"/>
        </w:rPr>
      </w:pPr>
      <w:r>
        <w:rPr>
          <w:rFonts w:ascii="Times New Roman" w:eastAsia="Times New Roman" w:hAnsi="Times New Roman" w:cs="Times New Roman"/>
          <w:color w:val="5A5A5A"/>
          <w:sz w:val="24"/>
          <w:szCs w:val="24"/>
          <w:lang w:val="en"/>
        </w:rPr>
        <w:t>"</w:t>
      </w:r>
      <w:r w:rsidR="1D0A6485" w:rsidRPr="1D0A6485">
        <w:rPr>
          <w:rFonts w:ascii="Times New Roman" w:eastAsia="Times New Roman" w:hAnsi="Times New Roman" w:cs="Times New Roman"/>
          <w:color w:val="5A5A5A"/>
          <w:sz w:val="24"/>
          <w:szCs w:val="24"/>
          <w:lang w:val="en"/>
        </w:rPr>
        <w:t xml:space="preserve">Technological issues and psychological profoundly unexplored barriers cause a much lesser performance in </w:t>
      </w:r>
      <w:r w:rsidR="00FF019A">
        <w:rPr>
          <w:rFonts w:ascii="Times New Roman" w:eastAsia="Times New Roman" w:hAnsi="Times New Roman" w:cs="Times New Roman"/>
          <w:color w:val="5A5A5A"/>
          <w:sz w:val="24"/>
          <w:szCs w:val="24"/>
          <w:lang w:val="en"/>
        </w:rPr>
        <w:t xml:space="preserve">the </w:t>
      </w:r>
      <w:r w:rsidR="1D0A6485" w:rsidRPr="1D0A6485">
        <w:rPr>
          <w:rFonts w:ascii="Times New Roman" w:eastAsia="Times New Roman" w:hAnsi="Times New Roman" w:cs="Times New Roman"/>
          <w:color w:val="5A5A5A"/>
          <w:sz w:val="24"/>
          <w:szCs w:val="24"/>
          <w:lang w:val="en"/>
        </w:rPr>
        <w:t>interaction between teachers and students. I feel they (the lecturer) behave kind of robotically in front of the cameras. Empathy is lost as well.</w:t>
      </w:r>
      <w:r>
        <w:rPr>
          <w:rFonts w:ascii="Times New Roman" w:eastAsia="Times New Roman" w:hAnsi="Times New Roman" w:cs="Times New Roman"/>
          <w:color w:val="5A5A5A"/>
          <w:sz w:val="24"/>
          <w:szCs w:val="24"/>
          <w:lang w:val="en"/>
        </w:rPr>
        <w:t>"</w:t>
      </w:r>
    </w:p>
    <w:p w14:paraId="68182028" w14:textId="4F27CB48" w:rsidR="4031B14C" w:rsidRDefault="1D0A6485" w:rsidP="003416CA">
      <w:pPr>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 xml:space="preserve">This advocates the negative sentiment are </w:t>
      </w:r>
      <w:r w:rsidR="00FF019A">
        <w:rPr>
          <w:rFonts w:ascii="Times New Roman" w:eastAsia="Times New Roman" w:hAnsi="Times New Roman" w:cs="Times New Roman"/>
          <w:color w:val="000000" w:themeColor="text1"/>
          <w:sz w:val="24"/>
          <w:szCs w:val="24"/>
          <w:lang w:val="en"/>
        </w:rPr>
        <w:t>more robust</w:t>
      </w:r>
      <w:r w:rsidRPr="1D0A6485">
        <w:rPr>
          <w:rFonts w:ascii="Times New Roman" w:eastAsia="Times New Roman" w:hAnsi="Times New Roman" w:cs="Times New Roman"/>
          <w:color w:val="000000" w:themeColor="text1"/>
          <w:sz w:val="24"/>
          <w:szCs w:val="24"/>
          <w:lang w:val="en"/>
        </w:rPr>
        <w:t xml:space="preserve"> than positive ones. There are 20 neutral words found where the average sentiment score is 53%. </w:t>
      </w:r>
      <w:r w:rsidR="00FF019A">
        <w:rPr>
          <w:rFonts w:ascii="Times New Roman" w:eastAsia="Times New Roman" w:hAnsi="Times New Roman" w:cs="Times New Roman"/>
          <w:color w:val="000000" w:themeColor="text1"/>
          <w:sz w:val="24"/>
          <w:szCs w:val="24"/>
          <w:lang w:val="en"/>
        </w:rPr>
        <w:t>Nevertheless,</w:t>
      </w:r>
      <w:r w:rsidRPr="1D0A6485">
        <w:rPr>
          <w:rFonts w:ascii="Times New Roman" w:eastAsia="Times New Roman" w:hAnsi="Times New Roman" w:cs="Times New Roman"/>
          <w:color w:val="000000" w:themeColor="text1"/>
          <w:sz w:val="24"/>
          <w:szCs w:val="24"/>
          <w:lang w:val="en"/>
        </w:rPr>
        <w:t xml:space="preserve"> overall, the results are somewhat neutral</w:t>
      </w:r>
      <w:r w:rsidR="00FF019A">
        <w:rPr>
          <w:rFonts w:ascii="Times New Roman" w:eastAsia="Times New Roman" w:hAnsi="Times New Roman" w:cs="Times New Roman"/>
          <w:color w:val="000000" w:themeColor="text1"/>
          <w:sz w:val="24"/>
          <w:szCs w:val="24"/>
          <w:lang w:val="en"/>
        </w:rPr>
        <w:t>,</w:t>
      </w:r>
      <w:r w:rsidRPr="1D0A6485">
        <w:rPr>
          <w:rFonts w:ascii="Times New Roman" w:eastAsia="Times New Roman" w:hAnsi="Times New Roman" w:cs="Times New Roman"/>
          <w:color w:val="000000" w:themeColor="text1"/>
          <w:sz w:val="24"/>
          <w:szCs w:val="24"/>
          <w:lang w:val="en"/>
        </w:rPr>
        <w:t xml:space="preserve"> but interestingly this differs from the </w:t>
      </w:r>
      <w:r w:rsidR="00143D69">
        <w:rPr>
          <w:rFonts w:ascii="Times New Roman" w:eastAsia="Times New Roman" w:hAnsi="Times New Roman" w:cs="Times New Roman"/>
          <w:color w:val="000000" w:themeColor="text1"/>
          <w:sz w:val="24"/>
          <w:szCs w:val="24"/>
          <w:lang w:val="en"/>
        </w:rPr>
        <w:t>respondent's</w:t>
      </w:r>
      <w:r w:rsidRPr="1D0A6485">
        <w:rPr>
          <w:rFonts w:ascii="Times New Roman" w:eastAsia="Times New Roman" w:hAnsi="Times New Roman" w:cs="Times New Roman"/>
          <w:color w:val="000000" w:themeColor="text1"/>
          <w:sz w:val="24"/>
          <w:szCs w:val="24"/>
          <w:lang w:val="en"/>
        </w:rPr>
        <w:t xml:space="preserve"> response on the prior 5-point Likert Scale.</w:t>
      </w:r>
    </w:p>
    <w:p w14:paraId="1B62A19B" w14:textId="3729482E" w:rsidR="4031B14C" w:rsidRDefault="4031B14C" w:rsidP="4031B14C">
      <w:pPr>
        <w:ind w:firstLine="360"/>
        <w:jc w:val="both"/>
        <w:rPr>
          <w:rFonts w:ascii="Times New Roman" w:eastAsia="Times New Roman" w:hAnsi="Times New Roman" w:cs="Times New Roman"/>
          <w:color w:val="000000" w:themeColor="text1"/>
          <w:sz w:val="24"/>
          <w:szCs w:val="24"/>
        </w:rPr>
      </w:pPr>
    </w:p>
    <w:p w14:paraId="7997239B" w14:textId="77777777" w:rsidR="003416CA" w:rsidRDefault="003416CA" w:rsidP="4031B14C">
      <w:pPr>
        <w:ind w:firstLine="360"/>
        <w:jc w:val="both"/>
        <w:rPr>
          <w:rFonts w:ascii="Times New Roman" w:eastAsia="Times New Roman" w:hAnsi="Times New Roman" w:cs="Times New Roman"/>
          <w:color w:val="000000" w:themeColor="text1"/>
          <w:sz w:val="24"/>
          <w:szCs w:val="24"/>
          <w:lang w:val="en"/>
        </w:rPr>
      </w:pPr>
    </w:p>
    <w:p w14:paraId="03135889" w14:textId="77777777" w:rsidR="003416CA" w:rsidRDefault="003416CA" w:rsidP="4031B14C">
      <w:pPr>
        <w:ind w:firstLine="360"/>
        <w:jc w:val="both"/>
        <w:rPr>
          <w:rFonts w:ascii="Times New Roman" w:eastAsia="Times New Roman" w:hAnsi="Times New Roman" w:cs="Times New Roman"/>
          <w:color w:val="000000" w:themeColor="text1"/>
          <w:sz w:val="24"/>
          <w:szCs w:val="24"/>
          <w:lang w:val="en"/>
        </w:rPr>
      </w:pPr>
    </w:p>
    <w:p w14:paraId="3ED0AC89" w14:textId="77777777" w:rsidR="003416CA" w:rsidRDefault="003416CA" w:rsidP="4031B14C">
      <w:pPr>
        <w:ind w:firstLine="360"/>
        <w:jc w:val="both"/>
        <w:rPr>
          <w:rFonts w:ascii="Times New Roman" w:eastAsia="Times New Roman" w:hAnsi="Times New Roman" w:cs="Times New Roman"/>
          <w:color w:val="000000" w:themeColor="text1"/>
          <w:sz w:val="24"/>
          <w:szCs w:val="24"/>
          <w:lang w:val="en"/>
        </w:rPr>
      </w:pPr>
    </w:p>
    <w:p w14:paraId="562BD5BB" w14:textId="77777777" w:rsidR="003416CA" w:rsidRDefault="003416CA" w:rsidP="4031B14C">
      <w:pPr>
        <w:ind w:firstLine="360"/>
        <w:jc w:val="both"/>
        <w:rPr>
          <w:rFonts w:ascii="Times New Roman" w:eastAsia="Times New Roman" w:hAnsi="Times New Roman" w:cs="Times New Roman"/>
          <w:color w:val="000000" w:themeColor="text1"/>
          <w:sz w:val="24"/>
          <w:szCs w:val="24"/>
          <w:lang w:val="en"/>
        </w:rPr>
      </w:pPr>
    </w:p>
    <w:p w14:paraId="4EE44C4B" w14:textId="18322115" w:rsidR="4031B14C" w:rsidRDefault="1D0A6485" w:rsidP="003416CA">
      <w:pPr>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Table 4: Sentiment analysis of the answers of Q3</w:t>
      </w:r>
    </w:p>
    <w:tbl>
      <w:tblPr>
        <w:tblW w:w="0" w:type="auto"/>
        <w:tblLayout w:type="fixed"/>
        <w:tblLook w:val="04A0" w:firstRow="1" w:lastRow="0" w:firstColumn="1" w:lastColumn="0" w:noHBand="0" w:noVBand="1"/>
      </w:tblPr>
      <w:tblGrid>
        <w:gridCol w:w="2820"/>
        <w:gridCol w:w="3480"/>
        <w:gridCol w:w="3030"/>
      </w:tblGrid>
      <w:tr w:rsidR="4031B14C" w14:paraId="5092C58B" w14:textId="77777777" w:rsidTr="1D0A6485">
        <w:trPr>
          <w:trHeight w:val="315"/>
        </w:trPr>
        <w:tc>
          <w:tcPr>
            <w:tcW w:w="2820" w:type="dxa"/>
            <w:tcBorders>
              <w:top w:val="single" w:sz="6" w:space="0" w:color="305496"/>
              <w:left w:val="nil"/>
              <w:bottom w:val="nil"/>
              <w:right w:val="nil"/>
            </w:tcBorders>
            <w:shd w:val="clear" w:color="auto" w:fill="4472C4" w:themeFill="accent1"/>
            <w:vAlign w:val="bottom"/>
          </w:tcPr>
          <w:p w14:paraId="225FF1CB" w14:textId="5A0FA897" w:rsidR="4031B14C" w:rsidRDefault="1D0A6485" w:rsidP="4031B14C">
            <w:pPr>
              <w:ind w:firstLine="360"/>
              <w:jc w:val="both"/>
              <w:rPr>
                <w:rFonts w:ascii="Times New Roman" w:eastAsia="Times New Roman" w:hAnsi="Times New Roman" w:cs="Times New Roman"/>
                <w:color w:val="FFFFFF" w:themeColor="background1"/>
                <w:sz w:val="24"/>
                <w:szCs w:val="24"/>
              </w:rPr>
            </w:pPr>
            <w:r w:rsidRPr="1D0A6485">
              <w:rPr>
                <w:rFonts w:ascii="Times New Roman" w:eastAsia="Times New Roman" w:hAnsi="Times New Roman" w:cs="Times New Roman"/>
                <w:b/>
                <w:bCs/>
                <w:color w:val="FFFFFF" w:themeColor="background1"/>
                <w:sz w:val="24"/>
                <w:szCs w:val="24"/>
                <w:lang w:val="en"/>
              </w:rPr>
              <w:t>Row Labels</w:t>
            </w:r>
          </w:p>
        </w:tc>
        <w:tc>
          <w:tcPr>
            <w:tcW w:w="3480" w:type="dxa"/>
            <w:tcBorders>
              <w:top w:val="single" w:sz="6" w:space="0" w:color="305496"/>
              <w:left w:val="nil"/>
              <w:bottom w:val="nil"/>
              <w:right w:val="nil"/>
            </w:tcBorders>
            <w:shd w:val="clear" w:color="auto" w:fill="4472C4" w:themeFill="accent1"/>
            <w:vAlign w:val="bottom"/>
          </w:tcPr>
          <w:p w14:paraId="1D296215" w14:textId="412E04C9" w:rsidR="4031B14C" w:rsidRDefault="1D0A6485" w:rsidP="4031B14C">
            <w:pPr>
              <w:ind w:firstLine="360"/>
              <w:jc w:val="both"/>
              <w:rPr>
                <w:rFonts w:ascii="Times New Roman" w:eastAsia="Times New Roman" w:hAnsi="Times New Roman" w:cs="Times New Roman"/>
                <w:color w:val="FFFFFF" w:themeColor="background1"/>
                <w:sz w:val="24"/>
                <w:szCs w:val="24"/>
              </w:rPr>
            </w:pPr>
            <w:r w:rsidRPr="1D0A6485">
              <w:rPr>
                <w:rFonts w:ascii="Times New Roman" w:eastAsia="Times New Roman" w:hAnsi="Times New Roman" w:cs="Times New Roman"/>
                <w:b/>
                <w:bCs/>
                <w:color w:val="FFFFFF" w:themeColor="background1"/>
                <w:sz w:val="24"/>
                <w:szCs w:val="24"/>
                <w:lang w:val="en"/>
              </w:rPr>
              <w:t>Count of Response</w:t>
            </w:r>
          </w:p>
        </w:tc>
        <w:tc>
          <w:tcPr>
            <w:tcW w:w="3030" w:type="dxa"/>
            <w:tcBorders>
              <w:top w:val="single" w:sz="6" w:space="0" w:color="305496"/>
              <w:left w:val="nil"/>
              <w:bottom w:val="nil"/>
              <w:right w:val="nil"/>
            </w:tcBorders>
            <w:shd w:val="clear" w:color="auto" w:fill="4472C4" w:themeFill="accent1"/>
            <w:vAlign w:val="bottom"/>
          </w:tcPr>
          <w:p w14:paraId="298D6D79" w14:textId="6DB2BBAC" w:rsidR="4031B14C" w:rsidRDefault="1D0A6485" w:rsidP="4031B14C">
            <w:pPr>
              <w:ind w:firstLine="360"/>
              <w:jc w:val="both"/>
              <w:rPr>
                <w:rFonts w:ascii="Times New Roman" w:eastAsia="Times New Roman" w:hAnsi="Times New Roman" w:cs="Times New Roman"/>
                <w:color w:val="FFFFFF" w:themeColor="background1"/>
                <w:sz w:val="24"/>
                <w:szCs w:val="24"/>
              </w:rPr>
            </w:pPr>
            <w:r w:rsidRPr="1D0A6485">
              <w:rPr>
                <w:rFonts w:ascii="Times New Roman" w:eastAsia="Times New Roman" w:hAnsi="Times New Roman" w:cs="Times New Roman"/>
                <w:b/>
                <w:bCs/>
                <w:color w:val="FFFFFF" w:themeColor="background1"/>
                <w:sz w:val="24"/>
                <w:szCs w:val="24"/>
                <w:lang w:val="en"/>
              </w:rPr>
              <w:t>Average of Score</w:t>
            </w:r>
          </w:p>
        </w:tc>
      </w:tr>
      <w:tr w:rsidR="4031B14C" w14:paraId="13505781" w14:textId="77777777" w:rsidTr="1D0A6485">
        <w:trPr>
          <w:trHeight w:val="315"/>
        </w:trPr>
        <w:tc>
          <w:tcPr>
            <w:tcW w:w="2820" w:type="dxa"/>
            <w:tcBorders>
              <w:top w:val="nil"/>
              <w:left w:val="nil"/>
              <w:bottom w:val="nil"/>
              <w:right w:val="nil"/>
            </w:tcBorders>
            <w:vAlign w:val="bottom"/>
          </w:tcPr>
          <w:p w14:paraId="0BFB86C9" w14:textId="2820E801"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negative</w:t>
            </w:r>
          </w:p>
        </w:tc>
        <w:tc>
          <w:tcPr>
            <w:tcW w:w="3480" w:type="dxa"/>
            <w:tcBorders>
              <w:top w:val="nil"/>
              <w:left w:val="nil"/>
              <w:bottom w:val="nil"/>
              <w:right w:val="nil"/>
            </w:tcBorders>
            <w:vAlign w:val="bottom"/>
          </w:tcPr>
          <w:p w14:paraId="5C403C87" w14:textId="2FCBFAD0"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42</w:t>
            </w:r>
          </w:p>
        </w:tc>
        <w:tc>
          <w:tcPr>
            <w:tcW w:w="3030" w:type="dxa"/>
            <w:tcBorders>
              <w:top w:val="nil"/>
              <w:left w:val="nil"/>
              <w:bottom w:val="nil"/>
              <w:right w:val="nil"/>
            </w:tcBorders>
            <w:vAlign w:val="bottom"/>
          </w:tcPr>
          <w:p w14:paraId="6298289A" w14:textId="5BA6EB4A"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25%</w:t>
            </w:r>
          </w:p>
        </w:tc>
      </w:tr>
      <w:tr w:rsidR="4031B14C" w14:paraId="7819B977" w14:textId="77777777" w:rsidTr="1D0A6485">
        <w:trPr>
          <w:trHeight w:val="315"/>
        </w:trPr>
        <w:tc>
          <w:tcPr>
            <w:tcW w:w="2820" w:type="dxa"/>
            <w:tcBorders>
              <w:top w:val="nil"/>
              <w:left w:val="nil"/>
              <w:bottom w:val="nil"/>
              <w:right w:val="nil"/>
            </w:tcBorders>
            <w:vAlign w:val="bottom"/>
          </w:tcPr>
          <w:p w14:paraId="310BC5EA" w14:textId="705586A4"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neutral</w:t>
            </w:r>
          </w:p>
        </w:tc>
        <w:tc>
          <w:tcPr>
            <w:tcW w:w="3480" w:type="dxa"/>
            <w:tcBorders>
              <w:top w:val="nil"/>
              <w:left w:val="nil"/>
              <w:bottom w:val="nil"/>
              <w:right w:val="nil"/>
            </w:tcBorders>
            <w:vAlign w:val="bottom"/>
          </w:tcPr>
          <w:p w14:paraId="170AC1E3" w14:textId="2484D13D"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20</w:t>
            </w:r>
          </w:p>
        </w:tc>
        <w:tc>
          <w:tcPr>
            <w:tcW w:w="3030" w:type="dxa"/>
            <w:tcBorders>
              <w:top w:val="nil"/>
              <w:left w:val="nil"/>
              <w:bottom w:val="nil"/>
              <w:right w:val="nil"/>
            </w:tcBorders>
            <w:vAlign w:val="bottom"/>
          </w:tcPr>
          <w:p w14:paraId="46D8EA6A" w14:textId="39480E65"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53%</w:t>
            </w:r>
          </w:p>
        </w:tc>
      </w:tr>
      <w:tr w:rsidR="4031B14C" w14:paraId="4A9DB444" w14:textId="77777777" w:rsidTr="1D0A6485">
        <w:trPr>
          <w:trHeight w:val="315"/>
        </w:trPr>
        <w:tc>
          <w:tcPr>
            <w:tcW w:w="2820" w:type="dxa"/>
            <w:tcBorders>
              <w:top w:val="nil"/>
              <w:left w:val="nil"/>
              <w:bottom w:val="nil"/>
              <w:right w:val="nil"/>
            </w:tcBorders>
            <w:vAlign w:val="bottom"/>
          </w:tcPr>
          <w:p w14:paraId="1FEFB040" w14:textId="0C0D4135"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positive</w:t>
            </w:r>
          </w:p>
        </w:tc>
        <w:tc>
          <w:tcPr>
            <w:tcW w:w="3480" w:type="dxa"/>
            <w:tcBorders>
              <w:top w:val="nil"/>
              <w:left w:val="nil"/>
              <w:bottom w:val="nil"/>
              <w:right w:val="nil"/>
            </w:tcBorders>
            <w:vAlign w:val="bottom"/>
          </w:tcPr>
          <w:p w14:paraId="5331570B" w14:textId="5FD4BF24"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66</w:t>
            </w:r>
          </w:p>
        </w:tc>
        <w:tc>
          <w:tcPr>
            <w:tcW w:w="3030" w:type="dxa"/>
            <w:tcBorders>
              <w:top w:val="nil"/>
              <w:left w:val="nil"/>
              <w:bottom w:val="nil"/>
              <w:right w:val="nil"/>
            </w:tcBorders>
            <w:vAlign w:val="bottom"/>
          </w:tcPr>
          <w:p w14:paraId="7282824A" w14:textId="7456ED37"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69%</w:t>
            </w:r>
          </w:p>
        </w:tc>
      </w:tr>
      <w:tr w:rsidR="4031B14C" w14:paraId="199AFE57" w14:textId="77777777" w:rsidTr="1D0A6485">
        <w:trPr>
          <w:trHeight w:val="315"/>
        </w:trPr>
        <w:tc>
          <w:tcPr>
            <w:tcW w:w="2820" w:type="dxa"/>
            <w:tcBorders>
              <w:top w:val="single" w:sz="6" w:space="0" w:color="305496"/>
              <w:left w:val="nil"/>
              <w:bottom w:val="single" w:sz="6" w:space="0" w:color="305496"/>
              <w:right w:val="nil"/>
            </w:tcBorders>
            <w:vAlign w:val="bottom"/>
          </w:tcPr>
          <w:p w14:paraId="2FB92B82" w14:textId="48FCF48C"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b/>
                <w:bCs/>
                <w:color w:val="000000" w:themeColor="text1"/>
                <w:sz w:val="24"/>
                <w:szCs w:val="24"/>
                <w:lang w:val="en"/>
              </w:rPr>
              <w:t>Grand Total</w:t>
            </w:r>
          </w:p>
        </w:tc>
        <w:tc>
          <w:tcPr>
            <w:tcW w:w="3480" w:type="dxa"/>
            <w:tcBorders>
              <w:top w:val="single" w:sz="6" w:space="0" w:color="305496"/>
              <w:left w:val="nil"/>
              <w:bottom w:val="single" w:sz="6" w:space="0" w:color="305496"/>
              <w:right w:val="nil"/>
            </w:tcBorders>
            <w:vAlign w:val="bottom"/>
          </w:tcPr>
          <w:p w14:paraId="367CB820" w14:textId="3CF2E46A"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b/>
                <w:bCs/>
                <w:color w:val="000000" w:themeColor="text1"/>
                <w:sz w:val="24"/>
                <w:szCs w:val="24"/>
                <w:lang w:val="en"/>
              </w:rPr>
              <w:t>128</w:t>
            </w:r>
          </w:p>
        </w:tc>
        <w:tc>
          <w:tcPr>
            <w:tcW w:w="3030" w:type="dxa"/>
            <w:tcBorders>
              <w:top w:val="single" w:sz="6" w:space="0" w:color="305496"/>
              <w:left w:val="nil"/>
              <w:bottom w:val="single" w:sz="6" w:space="0" w:color="305496"/>
              <w:right w:val="nil"/>
            </w:tcBorders>
            <w:vAlign w:val="bottom"/>
          </w:tcPr>
          <w:p w14:paraId="52C47675" w14:textId="1C1BADC6"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b/>
                <w:bCs/>
                <w:color w:val="000000" w:themeColor="text1"/>
                <w:sz w:val="24"/>
                <w:szCs w:val="24"/>
                <w:lang w:val="en"/>
              </w:rPr>
              <w:t>52%</w:t>
            </w:r>
          </w:p>
        </w:tc>
      </w:tr>
    </w:tbl>
    <w:p w14:paraId="7ABD7F66" w14:textId="77777777" w:rsidR="00762861" w:rsidRDefault="00762861" w:rsidP="00762861">
      <w:pPr>
        <w:jc w:val="both"/>
        <w:rPr>
          <w:rFonts w:ascii="Times New Roman" w:eastAsia="Times New Roman" w:hAnsi="Times New Roman" w:cs="Times New Roman"/>
          <w:color w:val="000000" w:themeColor="text1"/>
          <w:sz w:val="24"/>
          <w:szCs w:val="24"/>
        </w:rPr>
      </w:pPr>
    </w:p>
    <w:p w14:paraId="7CA8BB59" w14:textId="7BE0D0F7" w:rsidR="4031B14C" w:rsidRDefault="1D0A6485" w:rsidP="00762861">
      <w:pPr>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b/>
          <w:bCs/>
          <w:color w:val="000000" w:themeColor="text1"/>
          <w:sz w:val="24"/>
          <w:szCs w:val="24"/>
          <w:lang w:val="en"/>
        </w:rPr>
        <w:t>Q4.</w:t>
      </w:r>
      <w:r w:rsidRPr="1D0A6485">
        <w:rPr>
          <w:rFonts w:ascii="Times New Roman" w:eastAsia="Times New Roman" w:hAnsi="Times New Roman" w:cs="Times New Roman"/>
          <w:color w:val="000000" w:themeColor="text1"/>
          <w:sz w:val="24"/>
          <w:szCs w:val="24"/>
          <w:lang w:val="en"/>
        </w:rPr>
        <w:t xml:space="preserve"> </w:t>
      </w:r>
      <w:r w:rsidRPr="1D0A6485">
        <w:rPr>
          <w:rFonts w:ascii="Times New Roman" w:eastAsia="Times New Roman" w:hAnsi="Times New Roman" w:cs="Times New Roman"/>
          <w:b/>
          <w:bCs/>
          <w:color w:val="000000" w:themeColor="text1"/>
          <w:sz w:val="24"/>
          <w:szCs w:val="24"/>
          <w:lang w:val="en"/>
        </w:rPr>
        <w:t>Do you think the use of online lectures has improved your engagement with peers?</w:t>
      </w:r>
    </w:p>
    <w:p w14:paraId="11A6D28B" w14:textId="73C65945" w:rsidR="4031B14C" w:rsidRDefault="1D0A6485" w:rsidP="00762861">
      <w:pPr>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 xml:space="preserve">Online classes are different from conventional physical classes at </w:t>
      </w:r>
      <w:r w:rsidR="00FF019A">
        <w:rPr>
          <w:rFonts w:ascii="Times New Roman" w:eastAsia="Times New Roman" w:hAnsi="Times New Roman" w:cs="Times New Roman"/>
          <w:color w:val="000000" w:themeColor="text1"/>
          <w:sz w:val="24"/>
          <w:szCs w:val="24"/>
          <w:lang w:val="en"/>
        </w:rPr>
        <w:t>their</w:t>
      </w:r>
      <w:r w:rsidRPr="1D0A6485">
        <w:rPr>
          <w:rFonts w:ascii="Times New Roman" w:eastAsia="Times New Roman" w:hAnsi="Times New Roman" w:cs="Times New Roman"/>
          <w:color w:val="000000" w:themeColor="text1"/>
          <w:sz w:val="24"/>
          <w:szCs w:val="24"/>
          <w:lang w:val="en"/>
        </w:rPr>
        <w:t xml:space="preserve"> core. Distant learning is the opposite of being </w:t>
      </w:r>
      <w:r w:rsidR="00FF019A">
        <w:rPr>
          <w:rFonts w:ascii="Times New Roman" w:eastAsia="Times New Roman" w:hAnsi="Times New Roman" w:cs="Times New Roman"/>
          <w:color w:val="000000" w:themeColor="text1"/>
          <w:sz w:val="24"/>
          <w:szCs w:val="24"/>
          <w:lang w:val="en"/>
        </w:rPr>
        <w:t>on</w:t>
      </w:r>
      <w:r w:rsidRPr="1D0A6485">
        <w:rPr>
          <w:rFonts w:ascii="Times New Roman" w:eastAsia="Times New Roman" w:hAnsi="Times New Roman" w:cs="Times New Roman"/>
          <w:color w:val="000000" w:themeColor="text1"/>
          <w:sz w:val="24"/>
          <w:szCs w:val="24"/>
          <w:lang w:val="en"/>
        </w:rPr>
        <w:t xml:space="preserve"> the campus and having </w:t>
      </w:r>
      <w:r w:rsidR="00FF019A">
        <w:rPr>
          <w:rFonts w:ascii="Times New Roman" w:eastAsia="Times New Roman" w:hAnsi="Times New Roman" w:cs="Times New Roman"/>
          <w:color w:val="000000" w:themeColor="text1"/>
          <w:sz w:val="24"/>
          <w:szCs w:val="24"/>
          <w:lang w:val="en"/>
        </w:rPr>
        <w:t>an independent</w:t>
      </w:r>
      <w:r w:rsidRPr="1D0A6485">
        <w:rPr>
          <w:rFonts w:ascii="Times New Roman" w:eastAsia="Times New Roman" w:hAnsi="Times New Roman" w:cs="Times New Roman"/>
          <w:color w:val="000000" w:themeColor="text1"/>
          <w:sz w:val="24"/>
          <w:szCs w:val="24"/>
          <w:lang w:val="en"/>
        </w:rPr>
        <w:t xml:space="preserve"> learning and practice environment. The data that has been collected </w:t>
      </w:r>
      <w:r w:rsidR="00FF019A">
        <w:rPr>
          <w:rFonts w:ascii="Times New Roman" w:eastAsia="Times New Roman" w:hAnsi="Times New Roman" w:cs="Times New Roman"/>
          <w:color w:val="000000" w:themeColor="text1"/>
          <w:sz w:val="24"/>
          <w:szCs w:val="24"/>
          <w:lang w:val="en"/>
        </w:rPr>
        <w:t>in the form of</w:t>
      </w:r>
      <w:r w:rsidRPr="1D0A6485">
        <w:rPr>
          <w:rFonts w:ascii="Times New Roman" w:eastAsia="Times New Roman" w:hAnsi="Times New Roman" w:cs="Times New Roman"/>
          <w:color w:val="000000" w:themeColor="text1"/>
          <w:sz w:val="24"/>
          <w:szCs w:val="24"/>
          <w:lang w:val="en"/>
        </w:rPr>
        <w:t xml:space="preserve"> </w:t>
      </w:r>
      <w:r w:rsidR="00FF019A">
        <w:rPr>
          <w:rFonts w:ascii="Times New Roman" w:eastAsia="Times New Roman" w:hAnsi="Times New Roman" w:cs="Times New Roman"/>
          <w:color w:val="000000" w:themeColor="text1"/>
          <w:sz w:val="24"/>
          <w:szCs w:val="24"/>
          <w:lang w:val="en"/>
        </w:rPr>
        <w:t xml:space="preserve">the </w:t>
      </w:r>
      <w:r w:rsidRPr="1D0A6485">
        <w:rPr>
          <w:rFonts w:ascii="Times New Roman" w:eastAsia="Times New Roman" w:hAnsi="Times New Roman" w:cs="Times New Roman"/>
          <w:color w:val="000000" w:themeColor="text1"/>
          <w:sz w:val="24"/>
          <w:szCs w:val="24"/>
          <w:lang w:val="en"/>
        </w:rPr>
        <w:t xml:space="preserve">Likert scale has shown that </w:t>
      </w:r>
      <w:r w:rsidR="00FF019A">
        <w:rPr>
          <w:rFonts w:ascii="Times New Roman" w:eastAsia="Times New Roman" w:hAnsi="Times New Roman" w:cs="Times New Roman"/>
          <w:color w:val="000000" w:themeColor="text1"/>
          <w:sz w:val="24"/>
          <w:szCs w:val="24"/>
          <w:lang w:val="en"/>
        </w:rPr>
        <w:t xml:space="preserve">the </w:t>
      </w:r>
      <w:r w:rsidRPr="1D0A6485">
        <w:rPr>
          <w:rFonts w:ascii="Times New Roman" w:eastAsia="Times New Roman" w:hAnsi="Times New Roman" w:cs="Times New Roman"/>
          <w:color w:val="000000" w:themeColor="text1"/>
          <w:sz w:val="24"/>
          <w:szCs w:val="24"/>
          <w:lang w:val="en"/>
        </w:rPr>
        <w:t xml:space="preserve">majority of the students </w:t>
      </w:r>
      <w:r w:rsidR="00FF019A">
        <w:rPr>
          <w:rFonts w:ascii="Times New Roman" w:eastAsia="Times New Roman" w:hAnsi="Times New Roman" w:cs="Times New Roman"/>
          <w:color w:val="000000" w:themeColor="text1"/>
          <w:sz w:val="24"/>
          <w:szCs w:val="24"/>
          <w:lang w:val="en"/>
        </w:rPr>
        <w:t>have</w:t>
      </w:r>
      <w:r w:rsidRPr="1D0A6485">
        <w:rPr>
          <w:rFonts w:ascii="Times New Roman" w:eastAsia="Times New Roman" w:hAnsi="Times New Roman" w:cs="Times New Roman"/>
          <w:color w:val="000000" w:themeColor="text1"/>
          <w:sz w:val="24"/>
          <w:szCs w:val="24"/>
          <w:lang w:val="en"/>
        </w:rPr>
        <w:t xml:space="preserve"> mentioned that their engagement with peers </w:t>
      </w:r>
      <w:r w:rsidR="00FF019A">
        <w:rPr>
          <w:rFonts w:ascii="Times New Roman" w:eastAsia="Times New Roman" w:hAnsi="Times New Roman" w:cs="Times New Roman"/>
          <w:color w:val="000000" w:themeColor="text1"/>
          <w:sz w:val="24"/>
          <w:szCs w:val="24"/>
          <w:lang w:val="en"/>
        </w:rPr>
        <w:t>has</w:t>
      </w:r>
      <w:r w:rsidRPr="1D0A6485">
        <w:rPr>
          <w:rFonts w:ascii="Times New Roman" w:eastAsia="Times New Roman" w:hAnsi="Times New Roman" w:cs="Times New Roman"/>
          <w:color w:val="000000" w:themeColor="text1"/>
          <w:sz w:val="24"/>
          <w:szCs w:val="24"/>
          <w:lang w:val="en"/>
        </w:rPr>
        <w:t xml:space="preserve"> declined significantly. Amongst 172 respondents of </w:t>
      </w:r>
      <w:r w:rsidR="00FF019A">
        <w:rPr>
          <w:rFonts w:ascii="Times New Roman" w:eastAsia="Times New Roman" w:hAnsi="Times New Roman" w:cs="Times New Roman"/>
          <w:color w:val="000000" w:themeColor="text1"/>
          <w:sz w:val="24"/>
          <w:szCs w:val="24"/>
          <w:lang w:val="en"/>
        </w:rPr>
        <w:t>these</w:t>
      </w:r>
      <w:r w:rsidRPr="1D0A6485">
        <w:rPr>
          <w:rFonts w:ascii="Times New Roman" w:eastAsia="Times New Roman" w:hAnsi="Times New Roman" w:cs="Times New Roman"/>
          <w:color w:val="000000" w:themeColor="text1"/>
          <w:sz w:val="24"/>
          <w:szCs w:val="24"/>
          <w:lang w:val="en"/>
        </w:rPr>
        <w:t xml:space="preserve"> specific questions, 46 (26.14%) students think their engagement with peers </w:t>
      </w:r>
      <w:r w:rsidR="00FF019A">
        <w:rPr>
          <w:rFonts w:ascii="Times New Roman" w:eastAsia="Times New Roman" w:hAnsi="Times New Roman" w:cs="Times New Roman"/>
          <w:color w:val="000000" w:themeColor="text1"/>
          <w:sz w:val="24"/>
          <w:szCs w:val="24"/>
          <w:lang w:val="en"/>
        </w:rPr>
        <w:t>has not</w:t>
      </w:r>
      <w:r w:rsidRPr="1D0A6485">
        <w:rPr>
          <w:rFonts w:ascii="Times New Roman" w:eastAsia="Times New Roman" w:hAnsi="Times New Roman" w:cs="Times New Roman"/>
          <w:color w:val="000000" w:themeColor="text1"/>
          <w:sz w:val="24"/>
          <w:szCs w:val="24"/>
          <w:lang w:val="en"/>
        </w:rPr>
        <w:t xml:space="preserve"> improved to any extent at all. 53 (30.82%) participants think that it has improved to a very </w:t>
      </w:r>
      <w:r w:rsidR="00FF019A">
        <w:rPr>
          <w:rFonts w:ascii="Times New Roman" w:eastAsia="Times New Roman" w:hAnsi="Times New Roman" w:cs="Times New Roman"/>
          <w:color w:val="000000" w:themeColor="text1"/>
          <w:sz w:val="24"/>
          <w:szCs w:val="24"/>
          <w:lang w:val="en"/>
        </w:rPr>
        <w:t>small</w:t>
      </w:r>
      <w:r w:rsidRPr="1D0A6485">
        <w:rPr>
          <w:rFonts w:ascii="Times New Roman" w:eastAsia="Times New Roman" w:hAnsi="Times New Roman" w:cs="Times New Roman"/>
          <w:color w:val="000000" w:themeColor="text1"/>
          <w:sz w:val="24"/>
          <w:szCs w:val="24"/>
          <w:lang w:val="en"/>
        </w:rPr>
        <w:t xml:space="preserve"> extent. 44 (25.59%) students are neutral about that fact</w:t>
      </w:r>
      <w:r w:rsidR="00FF019A">
        <w:rPr>
          <w:rFonts w:ascii="Times New Roman" w:eastAsia="Times New Roman" w:hAnsi="Times New Roman" w:cs="Times New Roman"/>
          <w:color w:val="000000" w:themeColor="text1"/>
          <w:sz w:val="24"/>
          <w:szCs w:val="24"/>
          <w:lang w:val="en"/>
        </w:rPr>
        <w:t>,</w:t>
      </w:r>
      <w:r w:rsidRPr="1D0A6485">
        <w:rPr>
          <w:rFonts w:ascii="Times New Roman" w:eastAsia="Times New Roman" w:hAnsi="Times New Roman" w:cs="Times New Roman"/>
          <w:color w:val="000000" w:themeColor="text1"/>
          <w:sz w:val="24"/>
          <w:szCs w:val="24"/>
          <w:lang w:val="en"/>
        </w:rPr>
        <w:t xml:space="preserve"> and 17 (9.89%) respondents think that their engagement with peers </w:t>
      </w:r>
      <w:r w:rsidR="00FF019A">
        <w:rPr>
          <w:rFonts w:ascii="Times New Roman" w:eastAsia="Times New Roman" w:hAnsi="Times New Roman" w:cs="Times New Roman"/>
          <w:color w:val="000000" w:themeColor="text1"/>
          <w:sz w:val="24"/>
          <w:szCs w:val="24"/>
          <w:lang w:val="en"/>
        </w:rPr>
        <w:t>has</w:t>
      </w:r>
      <w:r w:rsidRPr="1D0A6485">
        <w:rPr>
          <w:rFonts w:ascii="Times New Roman" w:eastAsia="Times New Roman" w:hAnsi="Times New Roman" w:cs="Times New Roman"/>
          <w:color w:val="000000" w:themeColor="text1"/>
          <w:sz w:val="24"/>
          <w:szCs w:val="24"/>
          <w:lang w:val="en"/>
        </w:rPr>
        <w:t xml:space="preserve"> improved to some degree. 12 (6.98%) </w:t>
      </w:r>
      <w:r w:rsidR="00FF019A">
        <w:rPr>
          <w:rFonts w:ascii="Times New Roman" w:eastAsia="Times New Roman" w:hAnsi="Times New Roman" w:cs="Times New Roman"/>
          <w:color w:val="000000" w:themeColor="text1"/>
          <w:sz w:val="24"/>
          <w:szCs w:val="24"/>
          <w:lang w:val="en"/>
        </w:rPr>
        <w:t>think</w:t>
      </w:r>
      <w:r w:rsidRPr="1D0A6485">
        <w:rPr>
          <w:rFonts w:ascii="Times New Roman" w:eastAsia="Times New Roman" w:hAnsi="Times New Roman" w:cs="Times New Roman"/>
          <w:color w:val="000000" w:themeColor="text1"/>
          <w:sz w:val="24"/>
          <w:szCs w:val="24"/>
          <w:lang w:val="en"/>
        </w:rPr>
        <w:t xml:space="preserve"> that the online class scenario has improved their engagement with peers to a very great extent. </w:t>
      </w:r>
    </w:p>
    <w:p w14:paraId="1F9C7085" w14:textId="4AA45DB8" w:rsidR="4031B14C" w:rsidRDefault="4031B14C" w:rsidP="003416CA">
      <w:pPr>
        <w:jc w:val="both"/>
        <w:rPr>
          <w:rFonts w:ascii="Times New Roman" w:eastAsia="Times New Roman" w:hAnsi="Times New Roman" w:cs="Times New Roman"/>
          <w:color w:val="000000" w:themeColor="text1"/>
          <w:sz w:val="24"/>
          <w:szCs w:val="24"/>
        </w:rPr>
      </w:pPr>
    </w:p>
    <w:p w14:paraId="567AB409" w14:textId="62FFFA6F" w:rsidR="4031B14C" w:rsidRDefault="4031B14C" w:rsidP="00762861">
      <w:pPr>
        <w:ind w:firstLine="360"/>
        <w:jc w:val="both"/>
        <w:rPr>
          <w:rFonts w:ascii="Times New Roman" w:eastAsia="Times New Roman" w:hAnsi="Times New Roman" w:cs="Times New Roman"/>
          <w:color w:val="000000" w:themeColor="text1"/>
          <w:sz w:val="24"/>
          <w:szCs w:val="24"/>
        </w:rPr>
      </w:pPr>
      <w:r>
        <w:rPr>
          <w:noProof/>
        </w:rPr>
        <w:drawing>
          <wp:inline distT="0" distB="0" distL="0" distR="0" wp14:anchorId="14E7EBEA" wp14:editId="3BE09D4B">
            <wp:extent cx="5746382" cy="2753474"/>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0">
                      <a:extLst>
                        <a:ext uri="{28A0092B-C50C-407E-A947-70E740481C1C}">
                          <a14:useLocalDpi xmlns:a14="http://schemas.microsoft.com/office/drawing/2010/main" val="0"/>
                        </a:ext>
                      </a:extLst>
                    </a:blip>
                    <a:stretch>
                      <a:fillRect/>
                    </a:stretch>
                  </pic:blipFill>
                  <pic:spPr>
                    <a:xfrm>
                      <a:off x="0" y="0"/>
                      <a:ext cx="5746382" cy="2753474"/>
                    </a:xfrm>
                    <a:prstGeom prst="rect">
                      <a:avLst/>
                    </a:prstGeom>
                  </pic:spPr>
                </pic:pic>
              </a:graphicData>
            </a:graphic>
          </wp:inline>
        </w:drawing>
      </w:r>
    </w:p>
    <w:p w14:paraId="117ED403" w14:textId="73FE40F1"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 xml:space="preserve">Figure 4: </w:t>
      </w:r>
      <w:r w:rsidR="00143D69">
        <w:rPr>
          <w:rFonts w:ascii="Times New Roman" w:eastAsia="Times New Roman" w:hAnsi="Times New Roman" w:cs="Times New Roman"/>
          <w:color w:val="000000" w:themeColor="text1"/>
          <w:sz w:val="24"/>
          <w:szCs w:val="24"/>
          <w:lang w:val="en"/>
        </w:rPr>
        <w:t>Respondents'</w:t>
      </w:r>
      <w:r w:rsidRPr="1D0A6485">
        <w:rPr>
          <w:rFonts w:ascii="Times New Roman" w:eastAsia="Times New Roman" w:hAnsi="Times New Roman" w:cs="Times New Roman"/>
          <w:color w:val="000000" w:themeColor="text1"/>
          <w:sz w:val="24"/>
          <w:szCs w:val="24"/>
          <w:lang w:val="en"/>
        </w:rPr>
        <w:t xml:space="preserve"> feedback in </w:t>
      </w:r>
      <w:r w:rsidRPr="1D0A6485">
        <w:rPr>
          <w:rFonts w:ascii="Times New Roman" w:eastAsia="Times New Roman" w:hAnsi="Times New Roman" w:cs="Times New Roman"/>
          <w:color w:val="202124"/>
          <w:sz w:val="24"/>
          <w:szCs w:val="24"/>
          <w:lang w:val="en"/>
        </w:rPr>
        <w:t>5-point Likert Scale from Q4</w:t>
      </w:r>
      <w:r w:rsidRPr="1D0A6485">
        <w:rPr>
          <w:rFonts w:ascii="Times New Roman" w:eastAsia="Times New Roman" w:hAnsi="Times New Roman" w:cs="Times New Roman"/>
          <w:color w:val="000000" w:themeColor="text1"/>
          <w:sz w:val="24"/>
          <w:szCs w:val="24"/>
          <w:lang w:val="en"/>
        </w:rPr>
        <w:t xml:space="preserve"> </w:t>
      </w:r>
    </w:p>
    <w:p w14:paraId="7916859E" w14:textId="77777777" w:rsidR="003416CA" w:rsidRDefault="003416CA" w:rsidP="00762861">
      <w:pPr>
        <w:jc w:val="both"/>
        <w:rPr>
          <w:rFonts w:ascii="Times New Roman" w:eastAsia="Times New Roman" w:hAnsi="Times New Roman" w:cs="Times New Roman"/>
          <w:color w:val="000000" w:themeColor="text1"/>
          <w:sz w:val="24"/>
          <w:szCs w:val="24"/>
          <w:lang w:val="en"/>
        </w:rPr>
      </w:pPr>
    </w:p>
    <w:p w14:paraId="54FEC2F8" w14:textId="77777777" w:rsidR="003416CA" w:rsidRDefault="003416CA" w:rsidP="00762861">
      <w:pPr>
        <w:jc w:val="both"/>
        <w:rPr>
          <w:rFonts w:ascii="Times New Roman" w:eastAsia="Times New Roman" w:hAnsi="Times New Roman" w:cs="Times New Roman"/>
          <w:color w:val="000000" w:themeColor="text1"/>
          <w:sz w:val="24"/>
          <w:szCs w:val="24"/>
          <w:lang w:val="en"/>
        </w:rPr>
      </w:pPr>
    </w:p>
    <w:p w14:paraId="74629485" w14:textId="35D6BE39" w:rsidR="4031B14C" w:rsidRDefault="1D0A6485" w:rsidP="00762861">
      <w:pPr>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 xml:space="preserve">The sentiment of the respondents (126) shows </w:t>
      </w:r>
      <w:r w:rsidR="00FF019A">
        <w:rPr>
          <w:rFonts w:ascii="Times New Roman" w:eastAsia="Times New Roman" w:hAnsi="Times New Roman" w:cs="Times New Roman"/>
          <w:color w:val="000000" w:themeColor="text1"/>
          <w:sz w:val="24"/>
          <w:szCs w:val="24"/>
          <w:lang w:val="en"/>
        </w:rPr>
        <w:t>instead,</w:t>
      </w:r>
      <w:r w:rsidRPr="1D0A6485">
        <w:rPr>
          <w:rFonts w:ascii="Times New Roman" w:eastAsia="Times New Roman" w:hAnsi="Times New Roman" w:cs="Times New Roman"/>
          <w:color w:val="000000" w:themeColor="text1"/>
          <w:sz w:val="24"/>
          <w:szCs w:val="24"/>
          <w:lang w:val="en"/>
        </w:rPr>
        <w:t xml:space="preserve"> their sentiment is somewhat neutral. In their words, </w:t>
      </w:r>
    </w:p>
    <w:p w14:paraId="5CB7D313" w14:textId="712B96B3" w:rsidR="4031B14C" w:rsidRPr="00762861" w:rsidRDefault="00143D69" w:rsidP="00762861">
      <w:pPr>
        <w:pStyle w:val="Quote"/>
        <w:ind w:left="720" w:right="1422"/>
        <w:jc w:val="both"/>
        <w:rPr>
          <w:rFonts w:ascii="Times New Roman" w:eastAsia="Times New Roman" w:hAnsi="Times New Roman" w:cs="Times New Roman"/>
          <w:color w:val="5A5A5A"/>
          <w:sz w:val="24"/>
          <w:szCs w:val="24"/>
          <w:lang w:val="en"/>
        </w:rPr>
      </w:pPr>
      <w:r>
        <w:rPr>
          <w:rFonts w:ascii="Times New Roman" w:eastAsia="Times New Roman" w:hAnsi="Times New Roman" w:cs="Times New Roman"/>
          <w:color w:val="5A5A5A"/>
          <w:sz w:val="24"/>
          <w:szCs w:val="24"/>
          <w:lang w:val="en"/>
        </w:rPr>
        <w:t>"</w:t>
      </w:r>
      <w:r w:rsidR="1D0A6485" w:rsidRPr="1D0A6485">
        <w:rPr>
          <w:rFonts w:ascii="Times New Roman" w:eastAsia="Times New Roman" w:hAnsi="Times New Roman" w:cs="Times New Roman"/>
          <w:color w:val="5A5A5A"/>
          <w:sz w:val="24"/>
          <w:szCs w:val="24"/>
          <w:lang w:val="en"/>
        </w:rPr>
        <w:t>The use of online lectures has improved my engagement with the relevant peers regarding the betterment of the classes.</w:t>
      </w:r>
      <w:r>
        <w:rPr>
          <w:rFonts w:ascii="Times New Roman" w:eastAsia="Times New Roman" w:hAnsi="Times New Roman" w:cs="Times New Roman"/>
          <w:color w:val="5A5A5A"/>
          <w:sz w:val="24"/>
          <w:szCs w:val="24"/>
          <w:lang w:val="en"/>
        </w:rPr>
        <w:t>"</w:t>
      </w:r>
      <w:r w:rsidR="1D0A6485" w:rsidRPr="1D0A6485">
        <w:rPr>
          <w:rFonts w:ascii="Times New Roman" w:eastAsia="Times New Roman" w:hAnsi="Times New Roman" w:cs="Times New Roman"/>
          <w:color w:val="5A5A5A"/>
          <w:sz w:val="24"/>
          <w:szCs w:val="24"/>
          <w:lang w:val="en"/>
        </w:rPr>
        <w:t xml:space="preserve"> </w:t>
      </w:r>
    </w:p>
    <w:p w14:paraId="6D6CF247" w14:textId="5E8692CB" w:rsidR="4031B14C" w:rsidRPr="00762861" w:rsidRDefault="00143D69" w:rsidP="00762861">
      <w:pPr>
        <w:pStyle w:val="Quote"/>
        <w:ind w:left="720" w:right="1422"/>
        <w:jc w:val="both"/>
        <w:rPr>
          <w:rFonts w:ascii="Times New Roman" w:eastAsia="Times New Roman" w:hAnsi="Times New Roman" w:cs="Times New Roman"/>
          <w:color w:val="5A5A5A"/>
          <w:sz w:val="24"/>
          <w:szCs w:val="24"/>
          <w:lang w:val="en"/>
        </w:rPr>
      </w:pPr>
      <w:r>
        <w:rPr>
          <w:rFonts w:ascii="Times New Roman" w:eastAsia="Times New Roman" w:hAnsi="Times New Roman" w:cs="Times New Roman"/>
          <w:color w:val="5A5A5A"/>
          <w:sz w:val="24"/>
          <w:szCs w:val="24"/>
          <w:lang w:val="en"/>
        </w:rPr>
        <w:t>"</w:t>
      </w:r>
      <w:r w:rsidR="1D0A6485" w:rsidRPr="1D0A6485">
        <w:rPr>
          <w:rFonts w:ascii="Times New Roman" w:eastAsia="Times New Roman" w:hAnsi="Times New Roman" w:cs="Times New Roman"/>
          <w:color w:val="5A5A5A"/>
          <w:sz w:val="24"/>
          <w:szCs w:val="24"/>
          <w:lang w:val="en"/>
        </w:rPr>
        <w:t xml:space="preserve">We used to share class notes more than ever. </w:t>
      </w:r>
      <w:r w:rsidR="00FF019A">
        <w:rPr>
          <w:rFonts w:ascii="Times New Roman" w:eastAsia="Times New Roman" w:hAnsi="Times New Roman" w:cs="Times New Roman"/>
          <w:color w:val="5A5A5A"/>
          <w:sz w:val="24"/>
          <w:szCs w:val="24"/>
          <w:lang w:val="en"/>
        </w:rPr>
        <w:t>However,</w:t>
      </w:r>
      <w:r w:rsidR="1D0A6485" w:rsidRPr="1D0A6485">
        <w:rPr>
          <w:rFonts w:ascii="Times New Roman" w:eastAsia="Times New Roman" w:hAnsi="Times New Roman" w:cs="Times New Roman"/>
          <w:color w:val="5A5A5A"/>
          <w:sz w:val="24"/>
          <w:szCs w:val="24"/>
          <w:lang w:val="en"/>
        </w:rPr>
        <w:t xml:space="preserve"> these are mostly </w:t>
      </w:r>
      <w:r w:rsidR="00FF019A">
        <w:rPr>
          <w:rFonts w:ascii="Times New Roman" w:eastAsia="Times New Roman" w:hAnsi="Times New Roman" w:cs="Times New Roman"/>
          <w:color w:val="5A5A5A"/>
          <w:sz w:val="24"/>
          <w:szCs w:val="24"/>
          <w:lang w:val="en"/>
        </w:rPr>
        <w:t>need-based</w:t>
      </w:r>
      <w:r w:rsidR="1D0A6485" w:rsidRPr="1D0A6485">
        <w:rPr>
          <w:rFonts w:ascii="Times New Roman" w:eastAsia="Times New Roman" w:hAnsi="Times New Roman" w:cs="Times New Roman"/>
          <w:color w:val="5A5A5A"/>
          <w:sz w:val="24"/>
          <w:szCs w:val="24"/>
          <w:lang w:val="en"/>
        </w:rPr>
        <w:t>. Peers use to have selective communication according to their study requirements.</w:t>
      </w:r>
      <w:r>
        <w:rPr>
          <w:rFonts w:ascii="Times New Roman" w:eastAsia="Times New Roman" w:hAnsi="Times New Roman" w:cs="Times New Roman"/>
          <w:color w:val="5A5A5A"/>
          <w:sz w:val="24"/>
          <w:szCs w:val="24"/>
          <w:lang w:val="en"/>
        </w:rPr>
        <w:t>"</w:t>
      </w:r>
      <w:r w:rsidR="1D0A6485" w:rsidRPr="1D0A6485">
        <w:rPr>
          <w:rFonts w:ascii="Times New Roman" w:eastAsia="Times New Roman" w:hAnsi="Times New Roman" w:cs="Times New Roman"/>
          <w:color w:val="5A5A5A"/>
          <w:sz w:val="24"/>
          <w:szCs w:val="24"/>
          <w:lang w:val="en"/>
        </w:rPr>
        <w:t xml:space="preserve"> </w:t>
      </w:r>
    </w:p>
    <w:p w14:paraId="2DDBB06E" w14:textId="0A4C71D1" w:rsidR="00762861" w:rsidRPr="003416CA" w:rsidRDefault="1D0A6485" w:rsidP="003416CA">
      <w:pPr>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 xml:space="preserve">Total 43 (34.13%) responses that are received demonstrate negative sentiment with an average score of 29%. The average score of neutral statements is 52%. 24(19%) of the responses are neutral. 59(46.8%) responses are positive </w:t>
      </w:r>
      <w:r w:rsidR="00FF019A">
        <w:rPr>
          <w:rFonts w:ascii="Times New Roman" w:eastAsia="Times New Roman" w:hAnsi="Times New Roman" w:cs="Times New Roman"/>
          <w:color w:val="000000" w:themeColor="text1"/>
          <w:sz w:val="24"/>
          <w:szCs w:val="24"/>
          <w:lang w:val="en"/>
        </w:rPr>
        <w:t>sentiments</w:t>
      </w:r>
      <w:r w:rsidRPr="1D0A6485">
        <w:rPr>
          <w:rFonts w:ascii="Times New Roman" w:eastAsia="Times New Roman" w:hAnsi="Times New Roman" w:cs="Times New Roman"/>
          <w:color w:val="000000" w:themeColor="text1"/>
          <w:sz w:val="24"/>
          <w:szCs w:val="24"/>
          <w:lang w:val="en"/>
        </w:rPr>
        <w:t>. Considering all these, 49.667% is the overall sentiment score, which is a neutral number.</w:t>
      </w:r>
    </w:p>
    <w:p w14:paraId="2D29B97E" w14:textId="52CD6D01" w:rsidR="4031B14C" w:rsidRDefault="1D0A6485" w:rsidP="003416CA">
      <w:pPr>
        <w:jc w:val="both"/>
        <w:rPr>
          <w:rFonts w:ascii="Times New Roman" w:eastAsia="Times New Roman" w:hAnsi="Times New Roman" w:cs="Times New Roman"/>
          <w:color w:val="202124"/>
          <w:sz w:val="24"/>
          <w:szCs w:val="24"/>
        </w:rPr>
      </w:pPr>
      <w:r w:rsidRPr="1D0A6485">
        <w:rPr>
          <w:rFonts w:ascii="Times New Roman" w:eastAsia="Times New Roman" w:hAnsi="Times New Roman" w:cs="Times New Roman"/>
          <w:b/>
          <w:bCs/>
          <w:color w:val="000000" w:themeColor="text1"/>
          <w:sz w:val="24"/>
          <w:szCs w:val="24"/>
          <w:lang w:val="en"/>
        </w:rPr>
        <w:t>Table 5:</w:t>
      </w:r>
      <w:r w:rsidRPr="1D0A6485">
        <w:rPr>
          <w:rFonts w:ascii="Times New Roman" w:eastAsia="Times New Roman" w:hAnsi="Times New Roman" w:cs="Times New Roman"/>
          <w:color w:val="202124"/>
          <w:sz w:val="24"/>
          <w:szCs w:val="24"/>
          <w:lang w:val="en"/>
        </w:rPr>
        <w:t xml:space="preserve"> Sentiment analysis summary for Q4</w:t>
      </w:r>
    </w:p>
    <w:tbl>
      <w:tblPr>
        <w:tblW w:w="0" w:type="auto"/>
        <w:tblLayout w:type="fixed"/>
        <w:tblLook w:val="04A0" w:firstRow="1" w:lastRow="0" w:firstColumn="1" w:lastColumn="0" w:noHBand="0" w:noVBand="1"/>
      </w:tblPr>
      <w:tblGrid>
        <w:gridCol w:w="2820"/>
        <w:gridCol w:w="3480"/>
        <w:gridCol w:w="3030"/>
      </w:tblGrid>
      <w:tr w:rsidR="4031B14C" w14:paraId="2CDFAEB5" w14:textId="77777777" w:rsidTr="1D0A6485">
        <w:trPr>
          <w:trHeight w:val="300"/>
        </w:trPr>
        <w:tc>
          <w:tcPr>
            <w:tcW w:w="2820" w:type="dxa"/>
            <w:tcBorders>
              <w:top w:val="single" w:sz="6" w:space="0" w:color="305496"/>
              <w:left w:val="nil"/>
              <w:bottom w:val="nil"/>
              <w:right w:val="nil"/>
            </w:tcBorders>
            <w:shd w:val="clear" w:color="auto" w:fill="4472C4" w:themeFill="accent1"/>
            <w:vAlign w:val="bottom"/>
          </w:tcPr>
          <w:p w14:paraId="64C2DCE1" w14:textId="3331B3EA" w:rsidR="4031B14C" w:rsidRDefault="1D0A6485" w:rsidP="4031B14C">
            <w:pPr>
              <w:ind w:firstLine="360"/>
              <w:jc w:val="both"/>
              <w:rPr>
                <w:rFonts w:ascii="Times New Roman" w:eastAsia="Times New Roman" w:hAnsi="Times New Roman" w:cs="Times New Roman"/>
                <w:color w:val="FFFFFF" w:themeColor="background1"/>
                <w:sz w:val="24"/>
                <w:szCs w:val="24"/>
              </w:rPr>
            </w:pPr>
            <w:r w:rsidRPr="1D0A6485">
              <w:rPr>
                <w:rFonts w:ascii="Times New Roman" w:eastAsia="Times New Roman" w:hAnsi="Times New Roman" w:cs="Times New Roman"/>
                <w:b/>
                <w:bCs/>
                <w:color w:val="FFFFFF" w:themeColor="background1"/>
                <w:sz w:val="24"/>
                <w:szCs w:val="24"/>
              </w:rPr>
              <w:t>Sentiment</w:t>
            </w:r>
          </w:p>
        </w:tc>
        <w:tc>
          <w:tcPr>
            <w:tcW w:w="3480" w:type="dxa"/>
            <w:tcBorders>
              <w:top w:val="single" w:sz="6" w:space="0" w:color="305496"/>
              <w:left w:val="nil"/>
              <w:bottom w:val="nil"/>
              <w:right w:val="nil"/>
            </w:tcBorders>
            <w:shd w:val="clear" w:color="auto" w:fill="4472C4" w:themeFill="accent1"/>
            <w:vAlign w:val="bottom"/>
          </w:tcPr>
          <w:p w14:paraId="5B96DC6E" w14:textId="784C16C6" w:rsidR="4031B14C" w:rsidRDefault="1D0A6485" w:rsidP="4031B14C">
            <w:pPr>
              <w:ind w:firstLine="360"/>
              <w:jc w:val="both"/>
              <w:rPr>
                <w:rFonts w:ascii="Times New Roman" w:eastAsia="Times New Roman" w:hAnsi="Times New Roman" w:cs="Times New Roman"/>
                <w:color w:val="FFFFFF" w:themeColor="background1"/>
                <w:sz w:val="24"/>
                <w:szCs w:val="24"/>
              </w:rPr>
            </w:pPr>
            <w:r w:rsidRPr="1D0A6485">
              <w:rPr>
                <w:rFonts w:ascii="Times New Roman" w:eastAsia="Times New Roman" w:hAnsi="Times New Roman" w:cs="Times New Roman"/>
                <w:b/>
                <w:bCs/>
                <w:color w:val="FFFFFF" w:themeColor="background1"/>
                <w:sz w:val="24"/>
                <w:szCs w:val="24"/>
                <w:lang w:val="en"/>
              </w:rPr>
              <w:t>Count of Response</w:t>
            </w:r>
          </w:p>
        </w:tc>
        <w:tc>
          <w:tcPr>
            <w:tcW w:w="3030" w:type="dxa"/>
            <w:tcBorders>
              <w:top w:val="single" w:sz="6" w:space="0" w:color="305496"/>
              <w:left w:val="nil"/>
              <w:bottom w:val="nil"/>
              <w:right w:val="nil"/>
            </w:tcBorders>
            <w:shd w:val="clear" w:color="auto" w:fill="4472C4" w:themeFill="accent1"/>
            <w:vAlign w:val="bottom"/>
          </w:tcPr>
          <w:p w14:paraId="30BAD49F" w14:textId="5603662D" w:rsidR="4031B14C" w:rsidRDefault="1D0A6485" w:rsidP="4031B14C">
            <w:pPr>
              <w:ind w:firstLine="360"/>
              <w:jc w:val="both"/>
              <w:rPr>
                <w:rFonts w:ascii="Times New Roman" w:eastAsia="Times New Roman" w:hAnsi="Times New Roman" w:cs="Times New Roman"/>
                <w:color w:val="FFFFFF" w:themeColor="background1"/>
                <w:sz w:val="24"/>
                <w:szCs w:val="24"/>
              </w:rPr>
            </w:pPr>
            <w:r w:rsidRPr="1D0A6485">
              <w:rPr>
                <w:rFonts w:ascii="Times New Roman" w:eastAsia="Times New Roman" w:hAnsi="Times New Roman" w:cs="Times New Roman"/>
                <w:b/>
                <w:bCs/>
                <w:color w:val="FFFFFF" w:themeColor="background1"/>
                <w:sz w:val="24"/>
                <w:szCs w:val="24"/>
                <w:lang w:val="en"/>
              </w:rPr>
              <w:t>Average of Score</w:t>
            </w:r>
          </w:p>
        </w:tc>
      </w:tr>
      <w:tr w:rsidR="4031B14C" w14:paraId="48ED4E1B" w14:textId="77777777" w:rsidTr="1D0A6485">
        <w:trPr>
          <w:trHeight w:val="300"/>
        </w:trPr>
        <w:tc>
          <w:tcPr>
            <w:tcW w:w="2820" w:type="dxa"/>
            <w:tcBorders>
              <w:top w:val="nil"/>
              <w:left w:val="nil"/>
              <w:bottom w:val="nil"/>
              <w:right w:val="nil"/>
            </w:tcBorders>
            <w:vAlign w:val="bottom"/>
          </w:tcPr>
          <w:p w14:paraId="0A73EE71" w14:textId="04A8B212"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negative</w:t>
            </w:r>
          </w:p>
        </w:tc>
        <w:tc>
          <w:tcPr>
            <w:tcW w:w="3480" w:type="dxa"/>
            <w:tcBorders>
              <w:top w:val="nil"/>
              <w:left w:val="nil"/>
              <w:bottom w:val="nil"/>
              <w:right w:val="nil"/>
            </w:tcBorders>
            <w:vAlign w:val="bottom"/>
          </w:tcPr>
          <w:p w14:paraId="3050DDFF" w14:textId="793FDCBE"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43</w:t>
            </w:r>
          </w:p>
        </w:tc>
        <w:tc>
          <w:tcPr>
            <w:tcW w:w="3030" w:type="dxa"/>
            <w:tcBorders>
              <w:top w:val="nil"/>
              <w:left w:val="nil"/>
              <w:bottom w:val="nil"/>
              <w:right w:val="nil"/>
            </w:tcBorders>
            <w:vAlign w:val="bottom"/>
          </w:tcPr>
          <w:p w14:paraId="49BD4354" w14:textId="0F061019"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29%</w:t>
            </w:r>
          </w:p>
        </w:tc>
      </w:tr>
      <w:tr w:rsidR="4031B14C" w14:paraId="72A6419F" w14:textId="77777777" w:rsidTr="1D0A6485">
        <w:trPr>
          <w:trHeight w:val="300"/>
        </w:trPr>
        <w:tc>
          <w:tcPr>
            <w:tcW w:w="2820" w:type="dxa"/>
            <w:tcBorders>
              <w:top w:val="nil"/>
              <w:left w:val="nil"/>
              <w:bottom w:val="nil"/>
              <w:right w:val="nil"/>
            </w:tcBorders>
            <w:vAlign w:val="bottom"/>
          </w:tcPr>
          <w:p w14:paraId="3F965D13" w14:textId="465536A9"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neutral</w:t>
            </w:r>
          </w:p>
        </w:tc>
        <w:tc>
          <w:tcPr>
            <w:tcW w:w="3480" w:type="dxa"/>
            <w:tcBorders>
              <w:top w:val="nil"/>
              <w:left w:val="nil"/>
              <w:bottom w:val="nil"/>
              <w:right w:val="nil"/>
            </w:tcBorders>
            <w:vAlign w:val="bottom"/>
          </w:tcPr>
          <w:p w14:paraId="0D604E8F" w14:textId="5CC7CE74"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24</w:t>
            </w:r>
          </w:p>
        </w:tc>
        <w:tc>
          <w:tcPr>
            <w:tcW w:w="3030" w:type="dxa"/>
            <w:tcBorders>
              <w:top w:val="nil"/>
              <w:left w:val="nil"/>
              <w:bottom w:val="nil"/>
              <w:right w:val="nil"/>
            </w:tcBorders>
            <w:vAlign w:val="bottom"/>
          </w:tcPr>
          <w:p w14:paraId="30E0E0C7" w14:textId="54B24C6F"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52%</w:t>
            </w:r>
          </w:p>
        </w:tc>
      </w:tr>
      <w:tr w:rsidR="4031B14C" w14:paraId="54D39EDD" w14:textId="77777777" w:rsidTr="1D0A6485">
        <w:trPr>
          <w:trHeight w:val="300"/>
        </w:trPr>
        <w:tc>
          <w:tcPr>
            <w:tcW w:w="2820" w:type="dxa"/>
            <w:tcBorders>
              <w:top w:val="nil"/>
              <w:left w:val="nil"/>
              <w:bottom w:val="nil"/>
              <w:right w:val="nil"/>
            </w:tcBorders>
            <w:vAlign w:val="bottom"/>
          </w:tcPr>
          <w:p w14:paraId="144D33A9" w14:textId="7E36676A"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positive</w:t>
            </w:r>
          </w:p>
        </w:tc>
        <w:tc>
          <w:tcPr>
            <w:tcW w:w="3480" w:type="dxa"/>
            <w:tcBorders>
              <w:top w:val="nil"/>
              <w:left w:val="nil"/>
              <w:bottom w:val="nil"/>
              <w:right w:val="nil"/>
            </w:tcBorders>
            <w:vAlign w:val="bottom"/>
          </w:tcPr>
          <w:p w14:paraId="4A71221D" w14:textId="60169EFA"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59</w:t>
            </w:r>
          </w:p>
        </w:tc>
        <w:tc>
          <w:tcPr>
            <w:tcW w:w="3030" w:type="dxa"/>
            <w:tcBorders>
              <w:top w:val="nil"/>
              <w:left w:val="nil"/>
              <w:bottom w:val="nil"/>
              <w:right w:val="nil"/>
            </w:tcBorders>
            <w:vAlign w:val="bottom"/>
          </w:tcPr>
          <w:p w14:paraId="2E2ED0CA" w14:textId="740AFFBE"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68%</w:t>
            </w:r>
          </w:p>
        </w:tc>
      </w:tr>
      <w:tr w:rsidR="4031B14C" w14:paraId="39BAB040" w14:textId="77777777" w:rsidTr="1D0A6485">
        <w:trPr>
          <w:trHeight w:val="300"/>
        </w:trPr>
        <w:tc>
          <w:tcPr>
            <w:tcW w:w="2820" w:type="dxa"/>
            <w:tcBorders>
              <w:top w:val="single" w:sz="6" w:space="0" w:color="305496"/>
              <w:left w:val="nil"/>
              <w:bottom w:val="single" w:sz="6" w:space="0" w:color="305496"/>
              <w:right w:val="nil"/>
            </w:tcBorders>
            <w:vAlign w:val="bottom"/>
          </w:tcPr>
          <w:p w14:paraId="5CDAE0EF" w14:textId="3E57EB1B"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b/>
                <w:bCs/>
                <w:color w:val="000000" w:themeColor="text1"/>
                <w:sz w:val="24"/>
                <w:szCs w:val="24"/>
                <w:lang w:val="en"/>
              </w:rPr>
              <w:t>Grand Total</w:t>
            </w:r>
          </w:p>
        </w:tc>
        <w:tc>
          <w:tcPr>
            <w:tcW w:w="3480" w:type="dxa"/>
            <w:tcBorders>
              <w:top w:val="single" w:sz="6" w:space="0" w:color="305496"/>
              <w:left w:val="nil"/>
              <w:bottom w:val="single" w:sz="6" w:space="0" w:color="305496"/>
              <w:right w:val="nil"/>
            </w:tcBorders>
            <w:vAlign w:val="bottom"/>
          </w:tcPr>
          <w:p w14:paraId="624DF1C7" w14:textId="7E1D7CEB"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b/>
                <w:bCs/>
                <w:color w:val="000000" w:themeColor="text1"/>
                <w:sz w:val="24"/>
                <w:szCs w:val="24"/>
                <w:lang w:val="en"/>
              </w:rPr>
              <w:t>126</w:t>
            </w:r>
          </w:p>
        </w:tc>
        <w:tc>
          <w:tcPr>
            <w:tcW w:w="3030" w:type="dxa"/>
            <w:tcBorders>
              <w:top w:val="single" w:sz="6" w:space="0" w:color="305496"/>
              <w:left w:val="nil"/>
              <w:bottom w:val="single" w:sz="6" w:space="0" w:color="305496"/>
              <w:right w:val="nil"/>
            </w:tcBorders>
            <w:vAlign w:val="bottom"/>
          </w:tcPr>
          <w:p w14:paraId="2F4B6989" w14:textId="68D973D8"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b/>
                <w:bCs/>
                <w:color w:val="000000" w:themeColor="text1"/>
                <w:sz w:val="24"/>
                <w:szCs w:val="24"/>
              </w:rPr>
              <w:t>49.66</w:t>
            </w:r>
            <w:r w:rsidRPr="1D0A6485">
              <w:rPr>
                <w:rFonts w:ascii="Times New Roman" w:eastAsia="Times New Roman" w:hAnsi="Times New Roman" w:cs="Times New Roman"/>
                <w:b/>
                <w:bCs/>
                <w:color w:val="000000" w:themeColor="text1"/>
                <w:sz w:val="24"/>
                <w:szCs w:val="24"/>
                <w:lang w:val="en"/>
              </w:rPr>
              <w:t>%</w:t>
            </w:r>
          </w:p>
        </w:tc>
      </w:tr>
    </w:tbl>
    <w:p w14:paraId="72DF9748" w14:textId="77777777" w:rsidR="00762861" w:rsidRDefault="00762861" w:rsidP="003416CA">
      <w:pPr>
        <w:jc w:val="both"/>
        <w:rPr>
          <w:rFonts w:ascii="Times New Roman" w:eastAsia="Times New Roman" w:hAnsi="Times New Roman" w:cs="Times New Roman"/>
          <w:color w:val="000000" w:themeColor="text1"/>
          <w:sz w:val="24"/>
          <w:szCs w:val="24"/>
        </w:rPr>
      </w:pPr>
    </w:p>
    <w:p w14:paraId="6D932929" w14:textId="06BB8D63" w:rsidR="4031B14C" w:rsidRDefault="1D0A6485" w:rsidP="00762861">
      <w:pPr>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b/>
          <w:bCs/>
          <w:color w:val="000000" w:themeColor="text1"/>
          <w:sz w:val="24"/>
          <w:szCs w:val="24"/>
          <w:lang w:val="en"/>
        </w:rPr>
        <w:t>Q5. To what extent has access to online lectures improved your learning?</w:t>
      </w:r>
    </w:p>
    <w:p w14:paraId="24800CFA" w14:textId="2DB93660" w:rsidR="4031B14C" w:rsidRDefault="1D0A6485" w:rsidP="00762861">
      <w:pPr>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Among 152 respondents</w:t>
      </w:r>
      <w:r w:rsidR="00FF019A">
        <w:rPr>
          <w:rFonts w:ascii="Times New Roman" w:eastAsia="Times New Roman" w:hAnsi="Times New Roman" w:cs="Times New Roman"/>
          <w:color w:val="000000" w:themeColor="text1"/>
          <w:sz w:val="24"/>
          <w:szCs w:val="24"/>
          <w:lang w:val="en"/>
        </w:rPr>
        <w:t>,</w:t>
      </w:r>
      <w:r w:rsidRPr="1D0A6485">
        <w:rPr>
          <w:rFonts w:ascii="Times New Roman" w:eastAsia="Times New Roman" w:hAnsi="Times New Roman" w:cs="Times New Roman"/>
          <w:color w:val="000000" w:themeColor="text1"/>
          <w:sz w:val="24"/>
          <w:szCs w:val="24"/>
          <w:lang w:val="en"/>
        </w:rPr>
        <w:t xml:space="preserve"> 30 (19.7%) think that Online Classes </w:t>
      </w:r>
      <w:r w:rsidR="00FF019A">
        <w:rPr>
          <w:rFonts w:ascii="Times New Roman" w:eastAsia="Times New Roman" w:hAnsi="Times New Roman" w:cs="Times New Roman"/>
          <w:color w:val="000000" w:themeColor="text1"/>
          <w:sz w:val="24"/>
          <w:szCs w:val="24"/>
          <w:lang w:val="en"/>
        </w:rPr>
        <w:t>have</w:t>
      </w:r>
      <w:r w:rsidRPr="1D0A6485">
        <w:rPr>
          <w:rFonts w:ascii="Times New Roman" w:eastAsia="Times New Roman" w:hAnsi="Times New Roman" w:cs="Times New Roman"/>
          <w:color w:val="000000" w:themeColor="text1"/>
          <w:sz w:val="24"/>
          <w:szCs w:val="24"/>
          <w:lang w:val="en"/>
        </w:rPr>
        <w:t xml:space="preserve"> not improved their overall learning experience to any extent. This may be the effect of </w:t>
      </w:r>
      <w:r w:rsidR="00FF019A">
        <w:rPr>
          <w:rFonts w:ascii="Times New Roman" w:eastAsia="Times New Roman" w:hAnsi="Times New Roman" w:cs="Times New Roman"/>
          <w:color w:val="000000" w:themeColor="text1"/>
          <w:sz w:val="24"/>
          <w:szCs w:val="24"/>
          <w:lang w:val="en"/>
        </w:rPr>
        <w:t xml:space="preserve">a </w:t>
      </w:r>
      <w:r w:rsidRPr="1D0A6485">
        <w:rPr>
          <w:rFonts w:ascii="Times New Roman" w:eastAsia="Times New Roman" w:hAnsi="Times New Roman" w:cs="Times New Roman"/>
          <w:color w:val="000000" w:themeColor="text1"/>
          <w:sz w:val="24"/>
          <w:szCs w:val="24"/>
          <w:lang w:val="en"/>
        </w:rPr>
        <w:t xml:space="preserve">sudden shift from conventional to online classes without </w:t>
      </w:r>
      <w:r w:rsidR="00FF019A">
        <w:rPr>
          <w:rFonts w:ascii="Times New Roman" w:eastAsia="Times New Roman" w:hAnsi="Times New Roman" w:cs="Times New Roman"/>
          <w:color w:val="000000" w:themeColor="text1"/>
          <w:sz w:val="24"/>
          <w:szCs w:val="24"/>
          <w:lang w:val="en"/>
        </w:rPr>
        <w:t>much time to update and accommodate</w:t>
      </w:r>
      <w:r w:rsidRPr="1D0A6485">
        <w:rPr>
          <w:rFonts w:ascii="Times New Roman" w:eastAsia="Times New Roman" w:hAnsi="Times New Roman" w:cs="Times New Roman"/>
          <w:color w:val="000000" w:themeColor="text1"/>
          <w:sz w:val="24"/>
          <w:szCs w:val="24"/>
          <w:lang w:val="en"/>
        </w:rPr>
        <w:t xml:space="preserve"> the curriculum for online learning. Forty-five (29.6%) respondents think this has not </w:t>
      </w:r>
      <w:r w:rsidR="00FF019A">
        <w:rPr>
          <w:rFonts w:ascii="Times New Roman" w:eastAsia="Times New Roman" w:hAnsi="Times New Roman" w:cs="Times New Roman"/>
          <w:color w:val="000000" w:themeColor="text1"/>
          <w:sz w:val="24"/>
          <w:szCs w:val="24"/>
          <w:lang w:val="en"/>
        </w:rPr>
        <w:t>improved</w:t>
      </w:r>
      <w:r w:rsidRPr="1D0A6485">
        <w:rPr>
          <w:rFonts w:ascii="Times New Roman" w:eastAsia="Times New Roman" w:hAnsi="Times New Roman" w:cs="Times New Roman"/>
          <w:color w:val="000000" w:themeColor="text1"/>
          <w:sz w:val="24"/>
          <w:szCs w:val="24"/>
          <w:lang w:val="en"/>
        </w:rPr>
        <w:t xml:space="preserve"> their learning experience</w:t>
      </w:r>
      <w:r w:rsidR="00FF019A">
        <w:rPr>
          <w:rFonts w:ascii="Times New Roman" w:eastAsia="Times New Roman" w:hAnsi="Times New Roman" w:cs="Times New Roman"/>
          <w:color w:val="000000" w:themeColor="text1"/>
          <w:sz w:val="24"/>
          <w:szCs w:val="24"/>
          <w:lang w:val="en"/>
        </w:rPr>
        <w:t>,</w:t>
      </w:r>
      <w:r w:rsidRPr="1D0A6485">
        <w:rPr>
          <w:rFonts w:ascii="Times New Roman" w:eastAsia="Times New Roman" w:hAnsi="Times New Roman" w:cs="Times New Roman"/>
          <w:color w:val="000000" w:themeColor="text1"/>
          <w:sz w:val="24"/>
          <w:szCs w:val="24"/>
          <w:lang w:val="en"/>
        </w:rPr>
        <w:t xml:space="preserve"> even to a very </w:t>
      </w:r>
      <w:r w:rsidR="00FF019A">
        <w:rPr>
          <w:rFonts w:ascii="Times New Roman" w:eastAsia="Times New Roman" w:hAnsi="Times New Roman" w:cs="Times New Roman"/>
          <w:color w:val="000000" w:themeColor="text1"/>
          <w:sz w:val="24"/>
          <w:szCs w:val="24"/>
          <w:lang w:val="en"/>
        </w:rPr>
        <w:t>small</w:t>
      </w:r>
      <w:r w:rsidRPr="1D0A6485">
        <w:rPr>
          <w:rFonts w:ascii="Times New Roman" w:eastAsia="Times New Roman" w:hAnsi="Times New Roman" w:cs="Times New Roman"/>
          <w:color w:val="000000" w:themeColor="text1"/>
          <w:sz w:val="24"/>
          <w:szCs w:val="24"/>
          <w:lang w:val="en"/>
        </w:rPr>
        <w:t xml:space="preserve"> extent. Forty-nine (32.24%) responses were neutral. Twenty-five (16.45%) participants think that online classes have somewhat improved their learning experience</w:t>
      </w:r>
      <w:r w:rsidR="00FF019A">
        <w:rPr>
          <w:rFonts w:ascii="Times New Roman" w:eastAsia="Times New Roman" w:hAnsi="Times New Roman" w:cs="Times New Roman"/>
          <w:color w:val="000000" w:themeColor="text1"/>
          <w:sz w:val="24"/>
          <w:szCs w:val="24"/>
          <w:lang w:val="en"/>
        </w:rPr>
        <w:t>. Three</w:t>
      </w:r>
      <w:r w:rsidRPr="1D0A6485">
        <w:rPr>
          <w:rFonts w:ascii="Times New Roman" w:eastAsia="Times New Roman" w:hAnsi="Times New Roman" w:cs="Times New Roman"/>
          <w:color w:val="000000" w:themeColor="text1"/>
          <w:sz w:val="24"/>
          <w:szCs w:val="24"/>
          <w:lang w:val="en"/>
        </w:rPr>
        <w:t xml:space="preserve"> (1.98%) respondents think that the shift from physical to online classes has improved their learning experience </w:t>
      </w:r>
      <w:r w:rsidR="00FF019A">
        <w:rPr>
          <w:rFonts w:ascii="Times New Roman" w:eastAsia="Times New Roman" w:hAnsi="Times New Roman" w:cs="Times New Roman"/>
          <w:color w:val="000000" w:themeColor="text1"/>
          <w:sz w:val="24"/>
          <w:szCs w:val="24"/>
          <w:lang w:val="en"/>
        </w:rPr>
        <w:t>greatly</w:t>
      </w:r>
      <w:r w:rsidRPr="1D0A6485">
        <w:rPr>
          <w:rFonts w:ascii="Times New Roman" w:eastAsia="Times New Roman" w:hAnsi="Times New Roman" w:cs="Times New Roman"/>
          <w:color w:val="000000" w:themeColor="text1"/>
          <w:sz w:val="24"/>
          <w:szCs w:val="24"/>
          <w:lang w:val="en"/>
        </w:rPr>
        <w:t xml:space="preserve">. </w:t>
      </w:r>
    </w:p>
    <w:p w14:paraId="51C04308" w14:textId="26458EED" w:rsidR="4031B14C" w:rsidRDefault="4031B14C" w:rsidP="4031B14C">
      <w:pPr>
        <w:ind w:firstLine="360"/>
        <w:jc w:val="both"/>
        <w:rPr>
          <w:rFonts w:ascii="Times New Roman" w:eastAsia="Times New Roman" w:hAnsi="Times New Roman" w:cs="Times New Roman"/>
          <w:color w:val="000000" w:themeColor="text1"/>
          <w:sz w:val="24"/>
          <w:szCs w:val="24"/>
        </w:rPr>
      </w:pPr>
    </w:p>
    <w:p w14:paraId="23B259BC" w14:textId="70ECBE58" w:rsidR="4031B14C" w:rsidRDefault="4031B14C" w:rsidP="4031B14C">
      <w:pPr>
        <w:ind w:firstLine="360"/>
        <w:jc w:val="both"/>
        <w:rPr>
          <w:rFonts w:ascii="Times New Roman" w:eastAsia="Times New Roman" w:hAnsi="Times New Roman" w:cs="Times New Roman"/>
          <w:color w:val="000000" w:themeColor="text1"/>
          <w:sz w:val="24"/>
          <w:szCs w:val="24"/>
        </w:rPr>
      </w:pPr>
    </w:p>
    <w:p w14:paraId="5DBFCC03" w14:textId="329577EE" w:rsidR="4031B14C" w:rsidRDefault="4031B14C" w:rsidP="4031B14C">
      <w:pPr>
        <w:ind w:firstLine="360"/>
        <w:jc w:val="both"/>
        <w:rPr>
          <w:rFonts w:ascii="Times New Roman" w:eastAsia="Times New Roman" w:hAnsi="Times New Roman" w:cs="Times New Roman"/>
          <w:color w:val="000000" w:themeColor="text1"/>
          <w:sz w:val="24"/>
          <w:szCs w:val="24"/>
        </w:rPr>
      </w:pPr>
      <w:r>
        <w:rPr>
          <w:noProof/>
        </w:rPr>
        <w:lastRenderedPageBreak/>
        <w:drawing>
          <wp:inline distT="0" distB="0" distL="0" distR="0" wp14:anchorId="00B6B5F0" wp14:editId="41EC46FB">
            <wp:extent cx="4572000" cy="22288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1">
                      <a:extLst>
                        <a:ext uri="{28A0092B-C50C-407E-A947-70E740481C1C}">
                          <a14:useLocalDpi xmlns:a14="http://schemas.microsoft.com/office/drawing/2010/main" val="0"/>
                        </a:ext>
                      </a:extLst>
                    </a:blip>
                    <a:stretch>
                      <a:fillRect/>
                    </a:stretch>
                  </pic:blipFill>
                  <pic:spPr>
                    <a:xfrm>
                      <a:off x="0" y="0"/>
                      <a:ext cx="4572000" cy="2228850"/>
                    </a:xfrm>
                    <a:prstGeom prst="rect">
                      <a:avLst/>
                    </a:prstGeom>
                  </pic:spPr>
                </pic:pic>
              </a:graphicData>
            </a:graphic>
          </wp:inline>
        </w:drawing>
      </w:r>
    </w:p>
    <w:p w14:paraId="0C9359F6" w14:textId="6882DD05" w:rsidR="4031B14C" w:rsidRDefault="1D0A6485" w:rsidP="4031B14C">
      <w:pPr>
        <w:ind w:firstLine="360"/>
        <w:jc w:val="both"/>
        <w:rPr>
          <w:rFonts w:ascii="Times New Roman" w:eastAsia="Times New Roman" w:hAnsi="Times New Roman" w:cs="Times New Roman"/>
          <w:color w:val="202124"/>
          <w:sz w:val="24"/>
          <w:szCs w:val="24"/>
        </w:rPr>
      </w:pPr>
      <w:r w:rsidRPr="1D0A6485">
        <w:rPr>
          <w:rFonts w:ascii="Times New Roman" w:eastAsia="Times New Roman" w:hAnsi="Times New Roman" w:cs="Times New Roman"/>
          <w:color w:val="000000" w:themeColor="text1"/>
          <w:sz w:val="24"/>
          <w:szCs w:val="24"/>
          <w:lang w:val="en"/>
        </w:rPr>
        <w:t xml:space="preserve">Figure 6: </w:t>
      </w:r>
      <w:r w:rsidR="00143D69">
        <w:rPr>
          <w:rFonts w:ascii="Times New Roman" w:eastAsia="Times New Roman" w:hAnsi="Times New Roman" w:cs="Times New Roman"/>
          <w:color w:val="000000" w:themeColor="text1"/>
          <w:sz w:val="24"/>
          <w:szCs w:val="24"/>
          <w:lang w:val="en"/>
        </w:rPr>
        <w:t>Respondents'</w:t>
      </w:r>
      <w:r w:rsidRPr="1D0A6485">
        <w:rPr>
          <w:rFonts w:ascii="Times New Roman" w:eastAsia="Times New Roman" w:hAnsi="Times New Roman" w:cs="Times New Roman"/>
          <w:color w:val="000000" w:themeColor="text1"/>
          <w:sz w:val="24"/>
          <w:szCs w:val="24"/>
          <w:lang w:val="en"/>
        </w:rPr>
        <w:t xml:space="preserve"> feedback in </w:t>
      </w:r>
      <w:r w:rsidRPr="1D0A6485">
        <w:rPr>
          <w:rFonts w:ascii="Times New Roman" w:eastAsia="Times New Roman" w:hAnsi="Times New Roman" w:cs="Times New Roman"/>
          <w:color w:val="202124"/>
          <w:sz w:val="24"/>
          <w:szCs w:val="24"/>
          <w:lang w:val="en"/>
        </w:rPr>
        <w:t>5-point Likert Scale from Q5</w:t>
      </w:r>
    </w:p>
    <w:p w14:paraId="0C3B146D" w14:textId="7F7D0ED8" w:rsidR="4031B14C" w:rsidRDefault="1D0A6485" w:rsidP="00762861">
      <w:pPr>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 xml:space="preserve">Analyzing the sentiment of the responses, this is observed that the sentiment of </w:t>
      </w:r>
      <w:r w:rsidR="00FF019A">
        <w:rPr>
          <w:rFonts w:ascii="Times New Roman" w:eastAsia="Times New Roman" w:hAnsi="Times New Roman" w:cs="Times New Roman"/>
          <w:color w:val="000000" w:themeColor="text1"/>
          <w:sz w:val="24"/>
          <w:szCs w:val="24"/>
          <w:lang w:val="en"/>
        </w:rPr>
        <w:t xml:space="preserve">the </w:t>
      </w:r>
      <w:r w:rsidRPr="1D0A6485">
        <w:rPr>
          <w:rFonts w:ascii="Times New Roman" w:eastAsia="Times New Roman" w:hAnsi="Times New Roman" w:cs="Times New Roman"/>
          <w:color w:val="000000" w:themeColor="text1"/>
          <w:sz w:val="24"/>
          <w:szCs w:val="24"/>
          <w:lang w:val="en"/>
        </w:rPr>
        <w:t xml:space="preserve">overall learning experience with online classes has </w:t>
      </w:r>
      <w:r w:rsidR="00FF019A">
        <w:rPr>
          <w:rFonts w:ascii="Times New Roman" w:eastAsia="Times New Roman" w:hAnsi="Times New Roman" w:cs="Times New Roman"/>
          <w:color w:val="000000" w:themeColor="text1"/>
          <w:sz w:val="24"/>
          <w:szCs w:val="24"/>
          <w:lang w:val="en"/>
        </w:rPr>
        <w:t>a great</w:t>
      </w:r>
      <w:r w:rsidRPr="1D0A6485">
        <w:rPr>
          <w:rFonts w:ascii="Times New Roman" w:eastAsia="Times New Roman" w:hAnsi="Times New Roman" w:cs="Times New Roman"/>
          <w:color w:val="000000" w:themeColor="text1"/>
          <w:sz w:val="24"/>
          <w:szCs w:val="24"/>
          <w:lang w:val="en"/>
        </w:rPr>
        <w:t xml:space="preserve"> score of 43%. This sentiment score of 43% depicts that the respondents </w:t>
      </w:r>
      <w:r w:rsidR="00FF019A">
        <w:rPr>
          <w:rFonts w:ascii="Times New Roman" w:eastAsia="Times New Roman" w:hAnsi="Times New Roman" w:cs="Times New Roman"/>
          <w:color w:val="000000" w:themeColor="text1"/>
          <w:sz w:val="24"/>
          <w:szCs w:val="24"/>
          <w:lang w:val="en"/>
        </w:rPr>
        <w:t>have</w:t>
      </w:r>
      <w:r w:rsidRPr="1D0A6485">
        <w:rPr>
          <w:rFonts w:ascii="Times New Roman" w:eastAsia="Times New Roman" w:hAnsi="Times New Roman" w:cs="Times New Roman"/>
          <w:color w:val="000000" w:themeColor="text1"/>
          <w:sz w:val="24"/>
          <w:szCs w:val="24"/>
          <w:lang w:val="en"/>
        </w:rPr>
        <w:t xml:space="preserve"> a negative sentiment towards online lectures in Bangladesh. 126 respondents briefly described the reasoning behind their answer to the Likert Scale, 63(50%) responses had negative sentiment in them with an average score of 23%. 22(17.46%) of the responses were neutral</w:t>
      </w:r>
      <w:r w:rsidR="00FF019A">
        <w:rPr>
          <w:rFonts w:ascii="Times New Roman" w:eastAsia="Times New Roman" w:hAnsi="Times New Roman" w:cs="Times New Roman"/>
          <w:color w:val="000000" w:themeColor="text1"/>
          <w:sz w:val="24"/>
          <w:szCs w:val="24"/>
          <w:lang w:val="en"/>
        </w:rPr>
        <w:t>,</w:t>
      </w:r>
      <w:r w:rsidRPr="1D0A6485">
        <w:rPr>
          <w:rFonts w:ascii="Times New Roman" w:eastAsia="Times New Roman" w:hAnsi="Times New Roman" w:cs="Times New Roman"/>
          <w:color w:val="000000" w:themeColor="text1"/>
          <w:sz w:val="24"/>
          <w:szCs w:val="24"/>
          <w:lang w:val="en"/>
        </w:rPr>
        <w:t xml:space="preserve"> having an average sentiment score of 53%. 41(32.54%) responses have positive sentiment in their </w:t>
      </w:r>
      <w:r w:rsidR="003F4220">
        <w:rPr>
          <w:rFonts w:ascii="Times New Roman" w:eastAsia="Times New Roman" w:hAnsi="Times New Roman" w:cs="Times New Roman"/>
          <w:color w:val="000000" w:themeColor="text1"/>
          <w:sz w:val="24"/>
          <w:szCs w:val="24"/>
          <w:lang w:val="en"/>
        </w:rPr>
        <w:t>description</w:t>
      </w:r>
      <w:r w:rsidRPr="1D0A6485">
        <w:rPr>
          <w:rFonts w:ascii="Times New Roman" w:eastAsia="Times New Roman" w:hAnsi="Times New Roman" w:cs="Times New Roman"/>
          <w:color w:val="000000" w:themeColor="text1"/>
          <w:sz w:val="24"/>
          <w:szCs w:val="24"/>
          <w:lang w:val="en"/>
        </w:rPr>
        <w:t>. The sentiment score for these positive statements is 68%.</w:t>
      </w:r>
    </w:p>
    <w:p w14:paraId="21E6568B" w14:textId="7FA6D39E" w:rsidR="4031B14C" w:rsidRDefault="4031B14C" w:rsidP="4031B14C">
      <w:pPr>
        <w:ind w:firstLine="360"/>
        <w:jc w:val="both"/>
        <w:rPr>
          <w:rFonts w:ascii="Times New Roman" w:eastAsia="Times New Roman" w:hAnsi="Times New Roman" w:cs="Times New Roman"/>
          <w:color w:val="000000" w:themeColor="text1"/>
          <w:sz w:val="24"/>
          <w:szCs w:val="24"/>
        </w:rPr>
      </w:pPr>
    </w:p>
    <w:p w14:paraId="42FAC336" w14:textId="0C1B4D15" w:rsidR="4031B14C" w:rsidRDefault="1D0A6485" w:rsidP="003416CA">
      <w:pPr>
        <w:jc w:val="both"/>
        <w:rPr>
          <w:rFonts w:ascii="Times New Roman" w:eastAsia="Times New Roman" w:hAnsi="Times New Roman" w:cs="Times New Roman"/>
          <w:color w:val="202124"/>
          <w:sz w:val="24"/>
          <w:szCs w:val="24"/>
        </w:rPr>
      </w:pPr>
      <w:r w:rsidRPr="1D0A6485">
        <w:rPr>
          <w:rFonts w:ascii="Times New Roman" w:eastAsia="Times New Roman" w:hAnsi="Times New Roman" w:cs="Times New Roman"/>
          <w:color w:val="202124"/>
          <w:sz w:val="24"/>
          <w:szCs w:val="24"/>
          <w:lang w:val="en"/>
        </w:rPr>
        <w:t>Table 6:  Sentiment analysis summary for Q5</w:t>
      </w:r>
    </w:p>
    <w:tbl>
      <w:tblPr>
        <w:tblW w:w="0" w:type="auto"/>
        <w:tblLayout w:type="fixed"/>
        <w:tblLook w:val="04A0" w:firstRow="1" w:lastRow="0" w:firstColumn="1" w:lastColumn="0" w:noHBand="0" w:noVBand="1"/>
      </w:tblPr>
      <w:tblGrid>
        <w:gridCol w:w="2820"/>
        <w:gridCol w:w="3480"/>
        <w:gridCol w:w="3030"/>
      </w:tblGrid>
      <w:tr w:rsidR="4031B14C" w14:paraId="06C7E137" w14:textId="77777777" w:rsidTr="1D0A6485">
        <w:trPr>
          <w:trHeight w:val="300"/>
        </w:trPr>
        <w:tc>
          <w:tcPr>
            <w:tcW w:w="2820" w:type="dxa"/>
            <w:tcBorders>
              <w:top w:val="single" w:sz="6" w:space="0" w:color="305496"/>
              <w:left w:val="nil"/>
              <w:bottom w:val="nil"/>
              <w:right w:val="nil"/>
            </w:tcBorders>
            <w:shd w:val="clear" w:color="auto" w:fill="4472C4" w:themeFill="accent1"/>
            <w:vAlign w:val="bottom"/>
          </w:tcPr>
          <w:p w14:paraId="19028B6F" w14:textId="495EDF64" w:rsidR="4031B14C" w:rsidRDefault="1D0A6485" w:rsidP="4031B14C">
            <w:pPr>
              <w:ind w:firstLine="360"/>
              <w:jc w:val="both"/>
              <w:rPr>
                <w:rFonts w:ascii="Times New Roman" w:eastAsia="Times New Roman" w:hAnsi="Times New Roman" w:cs="Times New Roman"/>
                <w:color w:val="FFFFFF" w:themeColor="background1"/>
                <w:sz w:val="24"/>
                <w:szCs w:val="24"/>
              </w:rPr>
            </w:pPr>
            <w:r w:rsidRPr="1D0A6485">
              <w:rPr>
                <w:rFonts w:ascii="Times New Roman" w:eastAsia="Times New Roman" w:hAnsi="Times New Roman" w:cs="Times New Roman"/>
                <w:b/>
                <w:bCs/>
                <w:color w:val="FFFFFF" w:themeColor="background1"/>
                <w:sz w:val="24"/>
                <w:szCs w:val="24"/>
                <w:lang w:val="en"/>
              </w:rPr>
              <w:t>Row Labels</w:t>
            </w:r>
          </w:p>
        </w:tc>
        <w:tc>
          <w:tcPr>
            <w:tcW w:w="3480" w:type="dxa"/>
            <w:tcBorders>
              <w:top w:val="single" w:sz="6" w:space="0" w:color="305496"/>
              <w:left w:val="nil"/>
              <w:bottom w:val="nil"/>
              <w:right w:val="nil"/>
            </w:tcBorders>
            <w:shd w:val="clear" w:color="auto" w:fill="4472C4" w:themeFill="accent1"/>
            <w:vAlign w:val="bottom"/>
          </w:tcPr>
          <w:p w14:paraId="42A3B68E" w14:textId="26978119" w:rsidR="4031B14C" w:rsidRDefault="1D0A6485" w:rsidP="4031B14C">
            <w:pPr>
              <w:ind w:firstLine="360"/>
              <w:jc w:val="both"/>
              <w:rPr>
                <w:rFonts w:ascii="Times New Roman" w:eastAsia="Times New Roman" w:hAnsi="Times New Roman" w:cs="Times New Roman"/>
                <w:color w:val="FFFFFF" w:themeColor="background1"/>
                <w:sz w:val="24"/>
                <w:szCs w:val="24"/>
              </w:rPr>
            </w:pPr>
            <w:r w:rsidRPr="1D0A6485">
              <w:rPr>
                <w:rFonts w:ascii="Times New Roman" w:eastAsia="Times New Roman" w:hAnsi="Times New Roman" w:cs="Times New Roman"/>
                <w:b/>
                <w:bCs/>
                <w:color w:val="FFFFFF" w:themeColor="background1"/>
                <w:sz w:val="24"/>
                <w:szCs w:val="24"/>
                <w:lang w:val="en"/>
              </w:rPr>
              <w:t>Count of Response</w:t>
            </w:r>
          </w:p>
        </w:tc>
        <w:tc>
          <w:tcPr>
            <w:tcW w:w="3030" w:type="dxa"/>
            <w:tcBorders>
              <w:top w:val="single" w:sz="6" w:space="0" w:color="305496"/>
              <w:left w:val="nil"/>
              <w:bottom w:val="nil"/>
              <w:right w:val="nil"/>
            </w:tcBorders>
            <w:shd w:val="clear" w:color="auto" w:fill="4472C4" w:themeFill="accent1"/>
            <w:vAlign w:val="bottom"/>
          </w:tcPr>
          <w:p w14:paraId="5D0F1D30" w14:textId="4DAE2684" w:rsidR="4031B14C" w:rsidRDefault="1D0A6485" w:rsidP="4031B14C">
            <w:pPr>
              <w:ind w:firstLine="360"/>
              <w:jc w:val="both"/>
              <w:rPr>
                <w:rFonts w:ascii="Times New Roman" w:eastAsia="Times New Roman" w:hAnsi="Times New Roman" w:cs="Times New Roman"/>
                <w:color w:val="FFFFFF" w:themeColor="background1"/>
                <w:sz w:val="24"/>
                <w:szCs w:val="24"/>
              </w:rPr>
            </w:pPr>
            <w:r w:rsidRPr="1D0A6485">
              <w:rPr>
                <w:rFonts w:ascii="Times New Roman" w:eastAsia="Times New Roman" w:hAnsi="Times New Roman" w:cs="Times New Roman"/>
                <w:b/>
                <w:bCs/>
                <w:color w:val="FFFFFF" w:themeColor="background1"/>
                <w:sz w:val="24"/>
                <w:szCs w:val="24"/>
                <w:lang w:val="en"/>
              </w:rPr>
              <w:t>Average of Score</w:t>
            </w:r>
          </w:p>
        </w:tc>
      </w:tr>
      <w:tr w:rsidR="4031B14C" w14:paraId="639529D2" w14:textId="77777777" w:rsidTr="1D0A6485">
        <w:trPr>
          <w:trHeight w:val="300"/>
        </w:trPr>
        <w:tc>
          <w:tcPr>
            <w:tcW w:w="2820" w:type="dxa"/>
            <w:tcBorders>
              <w:top w:val="nil"/>
              <w:left w:val="nil"/>
              <w:bottom w:val="nil"/>
              <w:right w:val="nil"/>
            </w:tcBorders>
            <w:vAlign w:val="bottom"/>
          </w:tcPr>
          <w:p w14:paraId="57029CBB" w14:textId="70E86234"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negative</w:t>
            </w:r>
          </w:p>
        </w:tc>
        <w:tc>
          <w:tcPr>
            <w:tcW w:w="3480" w:type="dxa"/>
            <w:tcBorders>
              <w:top w:val="nil"/>
              <w:left w:val="nil"/>
              <w:bottom w:val="nil"/>
              <w:right w:val="nil"/>
            </w:tcBorders>
            <w:vAlign w:val="bottom"/>
          </w:tcPr>
          <w:p w14:paraId="4AA651C5" w14:textId="17D7FB77"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63</w:t>
            </w:r>
          </w:p>
        </w:tc>
        <w:tc>
          <w:tcPr>
            <w:tcW w:w="3030" w:type="dxa"/>
            <w:tcBorders>
              <w:top w:val="nil"/>
              <w:left w:val="nil"/>
              <w:bottom w:val="nil"/>
              <w:right w:val="nil"/>
            </w:tcBorders>
            <w:vAlign w:val="bottom"/>
          </w:tcPr>
          <w:p w14:paraId="032BA2B5" w14:textId="4B7602E4"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23%</w:t>
            </w:r>
          </w:p>
        </w:tc>
      </w:tr>
      <w:tr w:rsidR="4031B14C" w14:paraId="01A164CA" w14:textId="77777777" w:rsidTr="1D0A6485">
        <w:trPr>
          <w:trHeight w:val="300"/>
        </w:trPr>
        <w:tc>
          <w:tcPr>
            <w:tcW w:w="2820" w:type="dxa"/>
            <w:tcBorders>
              <w:top w:val="nil"/>
              <w:left w:val="nil"/>
              <w:bottom w:val="nil"/>
              <w:right w:val="nil"/>
            </w:tcBorders>
            <w:vAlign w:val="bottom"/>
          </w:tcPr>
          <w:p w14:paraId="117A42FC" w14:textId="6BC950EC"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neutral</w:t>
            </w:r>
          </w:p>
        </w:tc>
        <w:tc>
          <w:tcPr>
            <w:tcW w:w="3480" w:type="dxa"/>
            <w:tcBorders>
              <w:top w:val="nil"/>
              <w:left w:val="nil"/>
              <w:bottom w:val="nil"/>
              <w:right w:val="nil"/>
            </w:tcBorders>
            <w:vAlign w:val="bottom"/>
          </w:tcPr>
          <w:p w14:paraId="4773ECFD" w14:textId="714C2A2D"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22</w:t>
            </w:r>
          </w:p>
        </w:tc>
        <w:tc>
          <w:tcPr>
            <w:tcW w:w="3030" w:type="dxa"/>
            <w:tcBorders>
              <w:top w:val="nil"/>
              <w:left w:val="nil"/>
              <w:bottom w:val="nil"/>
              <w:right w:val="nil"/>
            </w:tcBorders>
            <w:vAlign w:val="bottom"/>
          </w:tcPr>
          <w:p w14:paraId="58AC038E" w14:textId="3447FE31"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53%</w:t>
            </w:r>
          </w:p>
        </w:tc>
      </w:tr>
      <w:tr w:rsidR="4031B14C" w14:paraId="0B8CEED4" w14:textId="77777777" w:rsidTr="1D0A6485">
        <w:trPr>
          <w:trHeight w:val="300"/>
        </w:trPr>
        <w:tc>
          <w:tcPr>
            <w:tcW w:w="2820" w:type="dxa"/>
            <w:tcBorders>
              <w:top w:val="nil"/>
              <w:left w:val="nil"/>
              <w:bottom w:val="nil"/>
              <w:right w:val="nil"/>
            </w:tcBorders>
            <w:vAlign w:val="bottom"/>
          </w:tcPr>
          <w:p w14:paraId="7D1E85D9" w14:textId="7F9374D0"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positive</w:t>
            </w:r>
          </w:p>
        </w:tc>
        <w:tc>
          <w:tcPr>
            <w:tcW w:w="3480" w:type="dxa"/>
            <w:tcBorders>
              <w:top w:val="nil"/>
              <w:left w:val="nil"/>
              <w:bottom w:val="nil"/>
              <w:right w:val="nil"/>
            </w:tcBorders>
            <w:vAlign w:val="bottom"/>
          </w:tcPr>
          <w:p w14:paraId="4DC56448" w14:textId="5E43421A"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41</w:t>
            </w:r>
          </w:p>
        </w:tc>
        <w:tc>
          <w:tcPr>
            <w:tcW w:w="3030" w:type="dxa"/>
            <w:tcBorders>
              <w:top w:val="nil"/>
              <w:left w:val="nil"/>
              <w:bottom w:val="nil"/>
              <w:right w:val="nil"/>
            </w:tcBorders>
            <w:vAlign w:val="bottom"/>
          </w:tcPr>
          <w:p w14:paraId="3025A29D" w14:textId="1038B4C1"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68%</w:t>
            </w:r>
          </w:p>
        </w:tc>
      </w:tr>
      <w:tr w:rsidR="4031B14C" w14:paraId="11163D37" w14:textId="77777777" w:rsidTr="1D0A6485">
        <w:trPr>
          <w:trHeight w:val="300"/>
        </w:trPr>
        <w:tc>
          <w:tcPr>
            <w:tcW w:w="2820" w:type="dxa"/>
            <w:tcBorders>
              <w:top w:val="single" w:sz="6" w:space="0" w:color="305496"/>
              <w:left w:val="nil"/>
              <w:bottom w:val="single" w:sz="6" w:space="0" w:color="305496"/>
              <w:right w:val="nil"/>
            </w:tcBorders>
            <w:vAlign w:val="bottom"/>
          </w:tcPr>
          <w:p w14:paraId="1BBBC4E5" w14:textId="152C049E"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b/>
                <w:bCs/>
                <w:color w:val="000000" w:themeColor="text1"/>
                <w:sz w:val="24"/>
                <w:szCs w:val="24"/>
                <w:lang w:val="en"/>
              </w:rPr>
              <w:t>Grand Total</w:t>
            </w:r>
          </w:p>
        </w:tc>
        <w:tc>
          <w:tcPr>
            <w:tcW w:w="3480" w:type="dxa"/>
            <w:tcBorders>
              <w:top w:val="single" w:sz="6" w:space="0" w:color="305496"/>
              <w:left w:val="nil"/>
              <w:bottom w:val="single" w:sz="6" w:space="0" w:color="305496"/>
              <w:right w:val="nil"/>
            </w:tcBorders>
            <w:vAlign w:val="bottom"/>
          </w:tcPr>
          <w:p w14:paraId="1089A7DF" w14:textId="634289BD"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b/>
                <w:bCs/>
                <w:color w:val="000000" w:themeColor="text1"/>
                <w:sz w:val="24"/>
                <w:szCs w:val="24"/>
                <w:lang w:val="en"/>
              </w:rPr>
              <w:t>126</w:t>
            </w:r>
          </w:p>
        </w:tc>
        <w:tc>
          <w:tcPr>
            <w:tcW w:w="3030" w:type="dxa"/>
            <w:tcBorders>
              <w:top w:val="single" w:sz="6" w:space="0" w:color="305496"/>
              <w:left w:val="nil"/>
              <w:bottom w:val="single" w:sz="6" w:space="0" w:color="305496"/>
              <w:right w:val="nil"/>
            </w:tcBorders>
            <w:vAlign w:val="bottom"/>
          </w:tcPr>
          <w:p w14:paraId="6AE63F19" w14:textId="0A1BBDF1" w:rsidR="4031B14C" w:rsidRDefault="1D0A6485" w:rsidP="4031B14C">
            <w:pPr>
              <w:ind w:firstLine="360"/>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b/>
                <w:bCs/>
                <w:color w:val="000000" w:themeColor="text1"/>
                <w:sz w:val="24"/>
                <w:szCs w:val="24"/>
                <w:lang w:val="en"/>
              </w:rPr>
              <w:t>43%</w:t>
            </w:r>
          </w:p>
        </w:tc>
      </w:tr>
    </w:tbl>
    <w:p w14:paraId="755ED4B4" w14:textId="5883D77E" w:rsidR="4031B14C" w:rsidRDefault="4031B14C" w:rsidP="4031B14C">
      <w:pPr>
        <w:ind w:firstLine="360"/>
        <w:jc w:val="both"/>
        <w:rPr>
          <w:rFonts w:ascii="Times New Roman" w:eastAsia="Times New Roman" w:hAnsi="Times New Roman" w:cs="Times New Roman"/>
          <w:color w:val="000000" w:themeColor="text1"/>
          <w:sz w:val="24"/>
          <w:szCs w:val="24"/>
        </w:rPr>
      </w:pPr>
    </w:p>
    <w:p w14:paraId="427A8754" w14:textId="3C598D2D" w:rsidR="4031B14C" w:rsidRDefault="1D0A6485" w:rsidP="00762861">
      <w:pPr>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b/>
          <w:bCs/>
          <w:color w:val="000000" w:themeColor="text1"/>
          <w:sz w:val="24"/>
          <w:szCs w:val="24"/>
          <w:lang w:val="en"/>
        </w:rPr>
        <w:t>Q6. Do you think online classes have affected your co-curricular activities?</w:t>
      </w:r>
    </w:p>
    <w:p w14:paraId="597DECD8" w14:textId="471F3A52" w:rsidR="4031B14C" w:rsidRDefault="1D0A6485" w:rsidP="00762861">
      <w:pPr>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Being physically absent from the campus has affected the co-curricular activities of many students</w:t>
      </w:r>
      <w:r w:rsidR="009A4213">
        <w:rPr>
          <w:rFonts w:ascii="Times New Roman" w:eastAsia="Times New Roman" w:hAnsi="Times New Roman" w:cs="Times New Roman"/>
          <w:color w:val="000000" w:themeColor="text1"/>
          <w:sz w:val="24"/>
          <w:szCs w:val="24"/>
          <w:lang w:val="en"/>
        </w:rPr>
        <w:t>.</w:t>
      </w:r>
      <w:r w:rsidR="009A4213">
        <w:rPr>
          <w:rFonts w:ascii="Times New Roman" w:eastAsia="Times New Roman" w:hAnsi="Times New Roman" w:cs="Times New Roman"/>
          <w:color w:val="000000" w:themeColor="text1"/>
          <w:sz w:val="24"/>
          <w:szCs w:val="24"/>
        </w:rPr>
        <w:t xml:space="preserve"> </w:t>
      </w:r>
      <w:r w:rsidRPr="1D0A6485">
        <w:rPr>
          <w:rFonts w:ascii="Times New Roman" w:eastAsia="Times New Roman" w:hAnsi="Times New Roman" w:cs="Times New Roman"/>
          <w:color w:val="000000" w:themeColor="text1"/>
          <w:sz w:val="24"/>
          <w:szCs w:val="24"/>
          <w:lang w:val="en"/>
        </w:rPr>
        <w:t xml:space="preserve">The chart shows that 136 (52%) respondents opine that </w:t>
      </w:r>
      <w:r w:rsidR="003F4220">
        <w:rPr>
          <w:rFonts w:ascii="Times New Roman" w:eastAsia="Times New Roman" w:hAnsi="Times New Roman" w:cs="Times New Roman"/>
          <w:color w:val="000000" w:themeColor="text1"/>
          <w:sz w:val="24"/>
          <w:szCs w:val="24"/>
          <w:lang w:val="en"/>
        </w:rPr>
        <w:t>this sudden transition has affected their co-curricular activities</w:t>
      </w:r>
      <w:r w:rsidRPr="1D0A6485">
        <w:rPr>
          <w:rFonts w:ascii="Times New Roman" w:eastAsia="Times New Roman" w:hAnsi="Times New Roman" w:cs="Times New Roman"/>
          <w:color w:val="000000" w:themeColor="text1"/>
          <w:sz w:val="24"/>
          <w:szCs w:val="24"/>
          <w:lang w:val="en"/>
        </w:rPr>
        <w:t xml:space="preserve">. 92(35%) respondents think that </w:t>
      </w:r>
      <w:r w:rsidR="003F4220">
        <w:rPr>
          <w:rFonts w:ascii="Times New Roman" w:eastAsia="Times New Roman" w:hAnsi="Times New Roman" w:cs="Times New Roman"/>
          <w:color w:val="000000" w:themeColor="text1"/>
          <w:sz w:val="24"/>
          <w:szCs w:val="24"/>
          <w:lang w:val="en"/>
        </w:rPr>
        <w:t>they are</w:t>
      </w:r>
      <w:r w:rsidRPr="1D0A6485">
        <w:rPr>
          <w:rFonts w:ascii="Times New Roman" w:eastAsia="Times New Roman" w:hAnsi="Times New Roman" w:cs="Times New Roman"/>
          <w:color w:val="000000" w:themeColor="text1"/>
          <w:sz w:val="24"/>
          <w:szCs w:val="24"/>
          <w:lang w:val="en"/>
        </w:rPr>
        <w:t xml:space="preserve"> unaffected by this. This may </w:t>
      </w:r>
      <w:r w:rsidR="003F4220">
        <w:rPr>
          <w:rFonts w:ascii="Times New Roman" w:eastAsia="Times New Roman" w:hAnsi="Times New Roman" w:cs="Times New Roman"/>
          <w:color w:val="000000" w:themeColor="text1"/>
          <w:sz w:val="24"/>
          <w:szCs w:val="24"/>
          <w:lang w:val="en"/>
        </w:rPr>
        <w:t>be</w:t>
      </w:r>
      <w:r w:rsidRPr="1D0A6485">
        <w:rPr>
          <w:rFonts w:ascii="Times New Roman" w:eastAsia="Times New Roman" w:hAnsi="Times New Roman" w:cs="Times New Roman"/>
          <w:color w:val="000000" w:themeColor="text1"/>
          <w:sz w:val="24"/>
          <w:szCs w:val="24"/>
          <w:lang w:val="en"/>
        </w:rPr>
        <w:t xml:space="preserve"> because their co-curricular activities (such as graphic designing and so on) </w:t>
      </w:r>
      <w:r w:rsidR="003F4220">
        <w:rPr>
          <w:rFonts w:ascii="Times New Roman" w:eastAsia="Times New Roman" w:hAnsi="Times New Roman" w:cs="Times New Roman"/>
          <w:color w:val="000000" w:themeColor="text1"/>
          <w:sz w:val="24"/>
          <w:szCs w:val="24"/>
          <w:lang w:val="en"/>
        </w:rPr>
        <w:t>do not</w:t>
      </w:r>
      <w:r w:rsidRPr="1D0A6485">
        <w:rPr>
          <w:rFonts w:ascii="Times New Roman" w:eastAsia="Times New Roman" w:hAnsi="Times New Roman" w:cs="Times New Roman"/>
          <w:color w:val="000000" w:themeColor="text1"/>
          <w:sz w:val="24"/>
          <w:szCs w:val="24"/>
          <w:lang w:val="en"/>
        </w:rPr>
        <w:t xml:space="preserve"> require them to be on the campus. 35(13%) of the respondents are unsure about the answer.</w:t>
      </w:r>
    </w:p>
    <w:p w14:paraId="09298267" w14:textId="53E293CF" w:rsidR="4031B14C" w:rsidRDefault="4031B14C" w:rsidP="4031B14C">
      <w:pPr>
        <w:ind w:firstLine="360"/>
        <w:jc w:val="both"/>
        <w:rPr>
          <w:rFonts w:ascii="Times New Roman" w:eastAsia="Times New Roman" w:hAnsi="Times New Roman" w:cs="Times New Roman"/>
          <w:color w:val="000000" w:themeColor="text1"/>
          <w:sz w:val="24"/>
          <w:szCs w:val="24"/>
        </w:rPr>
      </w:pPr>
    </w:p>
    <w:p w14:paraId="227C9ABA" w14:textId="1E9F28A3" w:rsidR="00841757" w:rsidRDefault="00841757" w:rsidP="0D7ACBD8">
      <w:pPr>
        <w:jc w:val="both"/>
        <w:rPr>
          <w:lang w:val="en"/>
        </w:rPr>
      </w:pPr>
      <w:r>
        <w:rPr>
          <w:noProof/>
        </w:rPr>
        <w:lastRenderedPageBreak/>
        <w:drawing>
          <wp:inline distT="0" distB="0" distL="0" distR="0" wp14:anchorId="4A06F47C" wp14:editId="536B940F">
            <wp:extent cx="5943600" cy="4010025"/>
            <wp:effectExtent l="0" t="0" r="0" b="0"/>
            <wp:docPr id="373295338" name="Picture 373295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295338"/>
                    <pic:cNvPicPr/>
                  </pic:nvPicPr>
                  <pic:blipFill>
                    <a:blip r:embed="rId12">
                      <a:extLst>
                        <a:ext uri="{28A0092B-C50C-407E-A947-70E740481C1C}">
                          <a14:useLocalDpi xmlns:a14="http://schemas.microsoft.com/office/drawing/2010/main" val="0"/>
                        </a:ext>
                      </a:extLst>
                    </a:blip>
                    <a:stretch>
                      <a:fillRect/>
                    </a:stretch>
                  </pic:blipFill>
                  <pic:spPr>
                    <a:xfrm>
                      <a:off x="0" y="0"/>
                      <a:ext cx="5943600" cy="4010025"/>
                    </a:xfrm>
                    <a:prstGeom prst="rect">
                      <a:avLst/>
                    </a:prstGeom>
                  </pic:spPr>
                </pic:pic>
              </a:graphicData>
            </a:graphic>
          </wp:inline>
        </w:drawing>
      </w:r>
    </w:p>
    <w:p w14:paraId="7D4CC98B" w14:textId="06586ECE" w:rsidR="4031B14C" w:rsidRDefault="1D0A6485" w:rsidP="00762861">
      <w:pPr>
        <w:jc w:val="both"/>
        <w:rPr>
          <w:rFonts w:ascii="Times New Roman" w:eastAsia="Times New Roman" w:hAnsi="Times New Roman" w:cs="Times New Roman"/>
          <w:color w:val="202124"/>
          <w:sz w:val="24"/>
          <w:szCs w:val="24"/>
        </w:rPr>
      </w:pPr>
      <w:r w:rsidRPr="1D0A6485">
        <w:rPr>
          <w:rFonts w:ascii="Times New Roman" w:eastAsia="Times New Roman" w:hAnsi="Times New Roman" w:cs="Times New Roman"/>
          <w:b/>
          <w:bCs/>
          <w:color w:val="000000" w:themeColor="text1"/>
          <w:sz w:val="24"/>
          <w:szCs w:val="24"/>
          <w:lang w:val="en"/>
        </w:rPr>
        <w:t xml:space="preserve">Figure 7: </w:t>
      </w:r>
      <w:r w:rsidR="00143D69">
        <w:rPr>
          <w:rFonts w:ascii="Times New Roman" w:eastAsia="Times New Roman" w:hAnsi="Times New Roman" w:cs="Times New Roman"/>
          <w:color w:val="000000" w:themeColor="text1"/>
          <w:sz w:val="24"/>
          <w:szCs w:val="24"/>
          <w:lang w:val="en"/>
        </w:rPr>
        <w:t>Respondents'</w:t>
      </w:r>
      <w:r w:rsidRPr="1D0A6485">
        <w:rPr>
          <w:rFonts w:ascii="Times New Roman" w:eastAsia="Times New Roman" w:hAnsi="Times New Roman" w:cs="Times New Roman"/>
          <w:color w:val="000000" w:themeColor="text1"/>
          <w:sz w:val="24"/>
          <w:szCs w:val="24"/>
          <w:lang w:val="en"/>
        </w:rPr>
        <w:t xml:space="preserve"> feedback in </w:t>
      </w:r>
      <w:r w:rsidRPr="1D0A6485">
        <w:rPr>
          <w:rFonts w:ascii="Times New Roman" w:eastAsia="Times New Roman" w:hAnsi="Times New Roman" w:cs="Times New Roman"/>
          <w:color w:val="202124"/>
          <w:sz w:val="24"/>
          <w:szCs w:val="24"/>
          <w:lang w:val="en"/>
        </w:rPr>
        <w:t>5-point Likert Scale from Q6</w:t>
      </w:r>
    </w:p>
    <w:p w14:paraId="496B244D" w14:textId="31ADB764" w:rsidR="4031B14C" w:rsidRDefault="4031B14C" w:rsidP="4031B14C">
      <w:pPr>
        <w:ind w:firstLine="360"/>
        <w:jc w:val="both"/>
        <w:rPr>
          <w:rFonts w:ascii="Times New Roman" w:eastAsia="Times New Roman" w:hAnsi="Times New Roman" w:cs="Times New Roman"/>
          <w:color w:val="000000" w:themeColor="text1"/>
          <w:sz w:val="24"/>
          <w:szCs w:val="24"/>
        </w:rPr>
      </w:pPr>
    </w:p>
    <w:p w14:paraId="6D686051" w14:textId="7A93B0C2" w:rsidR="4031B14C" w:rsidRDefault="1D0A6485" w:rsidP="00841757">
      <w:pPr>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b/>
          <w:bCs/>
          <w:color w:val="000000" w:themeColor="text1"/>
          <w:sz w:val="24"/>
          <w:szCs w:val="24"/>
          <w:lang w:val="en"/>
        </w:rPr>
        <w:t>Q7. In which state do you attend your online classes?</w:t>
      </w:r>
    </w:p>
    <w:p w14:paraId="11891C0B" w14:textId="49512A52" w:rsidR="4031B14C" w:rsidRDefault="1D0A6485" w:rsidP="00841757">
      <w:pPr>
        <w:jc w:val="both"/>
        <w:rPr>
          <w:rFonts w:ascii="Times New Roman" w:eastAsia="Times New Roman" w:hAnsi="Times New Roman" w:cs="Times New Roman"/>
          <w:color w:val="0000FF"/>
          <w:sz w:val="24"/>
          <w:szCs w:val="24"/>
        </w:rPr>
      </w:pPr>
      <w:r w:rsidRPr="1D0A6485">
        <w:rPr>
          <w:rFonts w:ascii="Times New Roman" w:eastAsia="Times New Roman" w:hAnsi="Times New Roman" w:cs="Times New Roman"/>
          <w:color w:val="000000" w:themeColor="text1"/>
          <w:sz w:val="24"/>
          <w:szCs w:val="24"/>
          <w:lang w:val="en"/>
        </w:rPr>
        <w:t xml:space="preserve">The figure shows different states in which the students participate in online classes. </w:t>
      </w:r>
      <w:r w:rsidR="003F4220">
        <w:rPr>
          <w:rFonts w:ascii="Times New Roman" w:eastAsia="Times New Roman" w:hAnsi="Times New Roman" w:cs="Times New Roman"/>
          <w:color w:val="000000" w:themeColor="text1"/>
          <w:sz w:val="24"/>
          <w:szCs w:val="24"/>
          <w:lang w:val="en"/>
        </w:rPr>
        <w:t>There has</w:t>
      </w:r>
      <w:r w:rsidRPr="1D0A6485">
        <w:rPr>
          <w:rFonts w:ascii="Times New Roman" w:eastAsia="Times New Roman" w:hAnsi="Times New Roman" w:cs="Times New Roman"/>
          <w:color w:val="000000" w:themeColor="text1"/>
          <w:sz w:val="24"/>
          <w:szCs w:val="24"/>
          <w:lang w:val="en"/>
        </w:rPr>
        <w:t xml:space="preserve"> been an </w:t>
      </w:r>
      <w:r w:rsidR="003F4220">
        <w:rPr>
          <w:rFonts w:ascii="Times New Roman" w:eastAsia="Times New Roman" w:hAnsi="Times New Roman" w:cs="Times New Roman"/>
          <w:color w:val="000000" w:themeColor="text1"/>
          <w:sz w:val="24"/>
          <w:szCs w:val="24"/>
          <w:lang w:val="en"/>
        </w:rPr>
        <w:t>exciting</w:t>
      </w:r>
      <w:r w:rsidRPr="1D0A6485">
        <w:rPr>
          <w:rFonts w:ascii="Times New Roman" w:eastAsia="Times New Roman" w:hAnsi="Times New Roman" w:cs="Times New Roman"/>
          <w:color w:val="000000" w:themeColor="text1"/>
          <w:sz w:val="24"/>
          <w:szCs w:val="24"/>
          <w:lang w:val="en"/>
        </w:rPr>
        <w:t xml:space="preserve"> variation in the </w:t>
      </w:r>
      <w:r w:rsidR="00143D69">
        <w:rPr>
          <w:rFonts w:ascii="Times New Roman" w:eastAsia="Times New Roman" w:hAnsi="Times New Roman" w:cs="Times New Roman"/>
          <w:color w:val="000000" w:themeColor="text1"/>
          <w:sz w:val="24"/>
          <w:szCs w:val="24"/>
          <w:lang w:val="en"/>
        </w:rPr>
        <w:t>participants'</w:t>
      </w:r>
      <w:r w:rsidRPr="1D0A6485">
        <w:rPr>
          <w:rFonts w:ascii="Times New Roman" w:eastAsia="Times New Roman" w:hAnsi="Times New Roman" w:cs="Times New Roman"/>
          <w:color w:val="000000" w:themeColor="text1"/>
          <w:sz w:val="24"/>
          <w:szCs w:val="24"/>
          <w:lang w:val="en"/>
        </w:rPr>
        <w:t xml:space="preserve"> answers. Almost 52% of the participants attend their classes with multiple </w:t>
      </w:r>
      <w:r w:rsidR="003F4220">
        <w:rPr>
          <w:rFonts w:ascii="Times New Roman" w:eastAsia="Times New Roman" w:hAnsi="Times New Roman" w:cs="Times New Roman"/>
          <w:color w:val="000000" w:themeColor="text1"/>
          <w:sz w:val="24"/>
          <w:szCs w:val="24"/>
          <w:lang w:val="en"/>
        </w:rPr>
        <w:t>distractions that are</w:t>
      </w:r>
      <w:r w:rsidRPr="1D0A6485">
        <w:rPr>
          <w:rFonts w:ascii="Times New Roman" w:eastAsia="Times New Roman" w:hAnsi="Times New Roman" w:cs="Times New Roman"/>
          <w:color w:val="000000" w:themeColor="text1"/>
          <w:sz w:val="24"/>
          <w:szCs w:val="24"/>
          <w:lang w:val="en"/>
        </w:rPr>
        <w:t xml:space="preserve"> very concerning. The students with </w:t>
      </w:r>
      <w:r w:rsidR="003F4220">
        <w:rPr>
          <w:rFonts w:ascii="Times New Roman" w:eastAsia="Times New Roman" w:hAnsi="Times New Roman" w:cs="Times New Roman"/>
          <w:color w:val="000000" w:themeColor="text1"/>
          <w:sz w:val="24"/>
          <w:szCs w:val="24"/>
          <w:lang w:val="en"/>
        </w:rPr>
        <w:t>more significant</w:t>
      </w:r>
      <w:r w:rsidRPr="1D0A6485">
        <w:rPr>
          <w:rFonts w:ascii="Times New Roman" w:eastAsia="Times New Roman" w:hAnsi="Times New Roman" w:cs="Times New Roman"/>
          <w:color w:val="000000" w:themeColor="text1"/>
          <w:sz w:val="24"/>
          <w:szCs w:val="24"/>
          <w:lang w:val="en"/>
        </w:rPr>
        <w:t xml:space="preserve"> numbers of online courses also reported less exposure to effective teaching practices and lower quality of interactions.</w:t>
      </w:r>
    </w:p>
    <w:p w14:paraId="6E96022D" w14:textId="4FA88876" w:rsidR="4031B14C" w:rsidRDefault="4031B14C" w:rsidP="4031B14C">
      <w:pPr>
        <w:ind w:firstLine="360"/>
        <w:jc w:val="both"/>
        <w:rPr>
          <w:rFonts w:ascii="Times New Roman" w:eastAsia="Times New Roman" w:hAnsi="Times New Roman" w:cs="Times New Roman"/>
          <w:color w:val="000000" w:themeColor="text1"/>
          <w:sz w:val="24"/>
          <w:szCs w:val="24"/>
        </w:rPr>
      </w:pPr>
    </w:p>
    <w:p w14:paraId="16B13D85" w14:textId="44F95FC3" w:rsidR="4031B14C" w:rsidRDefault="4031B14C" w:rsidP="4031B14C">
      <w:pPr>
        <w:ind w:firstLine="360"/>
        <w:jc w:val="both"/>
        <w:rPr>
          <w:rFonts w:ascii="Times New Roman" w:eastAsia="Times New Roman" w:hAnsi="Times New Roman" w:cs="Times New Roman"/>
          <w:color w:val="000000" w:themeColor="text1"/>
          <w:sz w:val="24"/>
          <w:szCs w:val="24"/>
        </w:rPr>
      </w:pPr>
    </w:p>
    <w:p w14:paraId="36A46E75" w14:textId="7F5778A0" w:rsidR="4031B14C" w:rsidRDefault="4031B14C" w:rsidP="00841757">
      <w:pPr>
        <w:jc w:val="both"/>
        <w:rPr>
          <w:rFonts w:ascii="Times New Roman" w:eastAsia="Times New Roman" w:hAnsi="Times New Roman" w:cs="Times New Roman"/>
          <w:color w:val="202124"/>
          <w:sz w:val="24"/>
          <w:szCs w:val="24"/>
        </w:rPr>
      </w:pPr>
      <w:r>
        <w:rPr>
          <w:noProof/>
        </w:rPr>
        <w:lastRenderedPageBreak/>
        <w:drawing>
          <wp:inline distT="0" distB="0" distL="0" distR="0" wp14:anchorId="1AD26E6D" wp14:editId="7DEEE419">
            <wp:extent cx="5721752" cy="3766820"/>
            <wp:effectExtent l="0" t="0" r="635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3">
                      <a:extLst>
                        <a:ext uri="{28A0092B-C50C-407E-A947-70E740481C1C}">
                          <a14:useLocalDpi xmlns:a14="http://schemas.microsoft.com/office/drawing/2010/main" val="0"/>
                        </a:ext>
                      </a:extLst>
                    </a:blip>
                    <a:stretch>
                      <a:fillRect/>
                    </a:stretch>
                  </pic:blipFill>
                  <pic:spPr>
                    <a:xfrm>
                      <a:off x="0" y="0"/>
                      <a:ext cx="5721752" cy="3766820"/>
                    </a:xfrm>
                    <a:prstGeom prst="rect">
                      <a:avLst/>
                    </a:prstGeom>
                  </pic:spPr>
                </pic:pic>
              </a:graphicData>
            </a:graphic>
          </wp:inline>
        </w:drawing>
      </w:r>
      <w:r w:rsidR="1D0A6485" w:rsidRPr="1D0A6485">
        <w:rPr>
          <w:rFonts w:ascii="Times New Roman" w:eastAsia="Times New Roman" w:hAnsi="Times New Roman" w:cs="Times New Roman"/>
          <w:b/>
          <w:bCs/>
          <w:color w:val="000000" w:themeColor="text1"/>
          <w:sz w:val="24"/>
          <w:szCs w:val="24"/>
          <w:lang w:val="en"/>
        </w:rPr>
        <w:t>Figure 8:</w:t>
      </w:r>
      <w:r w:rsidR="1D0A6485" w:rsidRPr="1D0A6485">
        <w:rPr>
          <w:rFonts w:ascii="Times New Roman" w:eastAsia="Times New Roman" w:hAnsi="Times New Roman" w:cs="Times New Roman"/>
          <w:color w:val="000000" w:themeColor="text1"/>
          <w:sz w:val="24"/>
          <w:szCs w:val="24"/>
          <w:lang w:val="en"/>
        </w:rPr>
        <w:t xml:space="preserve"> </w:t>
      </w:r>
      <w:r w:rsidR="00143D69">
        <w:rPr>
          <w:rFonts w:ascii="Times New Roman" w:eastAsia="Times New Roman" w:hAnsi="Times New Roman" w:cs="Times New Roman"/>
          <w:color w:val="000000" w:themeColor="text1"/>
          <w:sz w:val="24"/>
          <w:szCs w:val="24"/>
          <w:lang w:val="en"/>
        </w:rPr>
        <w:t>Respondents'</w:t>
      </w:r>
      <w:r w:rsidR="1D0A6485" w:rsidRPr="1D0A6485">
        <w:rPr>
          <w:rFonts w:ascii="Times New Roman" w:eastAsia="Times New Roman" w:hAnsi="Times New Roman" w:cs="Times New Roman"/>
          <w:color w:val="000000" w:themeColor="text1"/>
          <w:sz w:val="24"/>
          <w:szCs w:val="24"/>
          <w:lang w:val="en"/>
        </w:rPr>
        <w:t xml:space="preserve"> feedback in </w:t>
      </w:r>
      <w:r w:rsidR="1D0A6485" w:rsidRPr="1D0A6485">
        <w:rPr>
          <w:rFonts w:ascii="Times New Roman" w:eastAsia="Times New Roman" w:hAnsi="Times New Roman" w:cs="Times New Roman"/>
          <w:color w:val="202124"/>
          <w:sz w:val="24"/>
          <w:szCs w:val="24"/>
          <w:lang w:val="en"/>
        </w:rPr>
        <w:t>5-point Likert Scale from Q7</w:t>
      </w:r>
    </w:p>
    <w:p w14:paraId="0918C120" w14:textId="36FA811C" w:rsidR="4031B14C" w:rsidRDefault="4031B14C" w:rsidP="4031B14C">
      <w:pPr>
        <w:ind w:firstLine="360"/>
        <w:jc w:val="both"/>
        <w:rPr>
          <w:rFonts w:ascii="Times New Roman" w:eastAsia="Times New Roman" w:hAnsi="Times New Roman" w:cs="Times New Roman"/>
          <w:color w:val="000000" w:themeColor="text1"/>
          <w:sz w:val="24"/>
          <w:szCs w:val="24"/>
        </w:rPr>
      </w:pPr>
    </w:p>
    <w:p w14:paraId="41FA0873" w14:textId="5EAACC5A" w:rsidR="4031B14C" w:rsidRDefault="1D0A6485" w:rsidP="003416CA">
      <w:pPr>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 xml:space="preserve">Analyzing the results, 48% of the participants join their classes in conjunction with </w:t>
      </w:r>
      <w:r w:rsidR="003F4220">
        <w:rPr>
          <w:rFonts w:ascii="Times New Roman" w:eastAsia="Times New Roman" w:hAnsi="Times New Roman" w:cs="Times New Roman"/>
          <w:color w:val="000000" w:themeColor="text1"/>
          <w:sz w:val="24"/>
          <w:szCs w:val="24"/>
          <w:lang w:val="en"/>
        </w:rPr>
        <w:t>study-related</w:t>
      </w:r>
      <w:r w:rsidRPr="1D0A6485">
        <w:rPr>
          <w:rFonts w:ascii="Times New Roman" w:eastAsia="Times New Roman" w:hAnsi="Times New Roman" w:cs="Times New Roman"/>
          <w:color w:val="000000" w:themeColor="text1"/>
          <w:sz w:val="24"/>
          <w:szCs w:val="24"/>
          <w:lang w:val="en"/>
        </w:rPr>
        <w:t xml:space="preserve"> materials. Though this number is good, this can be a lot better.  The figure shows that 78 (29%) of the respondents participate in class while doing other things. </w:t>
      </w:r>
      <w:r w:rsidR="003F4220">
        <w:rPr>
          <w:rFonts w:ascii="Times New Roman" w:eastAsia="Times New Roman" w:hAnsi="Times New Roman" w:cs="Times New Roman"/>
          <w:color w:val="000000" w:themeColor="text1"/>
          <w:sz w:val="24"/>
          <w:szCs w:val="24"/>
          <w:lang w:val="en"/>
        </w:rPr>
        <w:t>In contrast,</w:t>
      </w:r>
      <w:r w:rsidRPr="1D0A6485">
        <w:rPr>
          <w:rFonts w:ascii="Times New Roman" w:eastAsia="Times New Roman" w:hAnsi="Times New Roman" w:cs="Times New Roman"/>
          <w:color w:val="000000" w:themeColor="text1"/>
          <w:sz w:val="24"/>
          <w:szCs w:val="24"/>
          <w:lang w:val="en"/>
        </w:rPr>
        <w:t xml:space="preserve"> 52 (20%) of them join classes in conjunction with different electronic media. Three percent of the respondents stated other different scenarios.  </w:t>
      </w:r>
    </w:p>
    <w:p w14:paraId="2D4CA27C" w14:textId="6B3E4E7A" w:rsidR="4031B14C" w:rsidRPr="003416CA" w:rsidRDefault="00143D69" w:rsidP="003416CA">
      <w:pPr>
        <w:pStyle w:val="Quote"/>
        <w:ind w:left="720" w:right="1422"/>
        <w:jc w:val="both"/>
        <w:rPr>
          <w:rFonts w:ascii="Times New Roman" w:eastAsia="Times New Roman" w:hAnsi="Times New Roman" w:cs="Times New Roman"/>
          <w:color w:val="5A5A5A"/>
          <w:sz w:val="24"/>
          <w:szCs w:val="24"/>
          <w:lang w:val="en"/>
        </w:rPr>
      </w:pPr>
      <w:r>
        <w:rPr>
          <w:rFonts w:ascii="Times New Roman" w:eastAsia="Times New Roman" w:hAnsi="Times New Roman" w:cs="Times New Roman"/>
          <w:color w:val="5A5A5A"/>
          <w:sz w:val="24"/>
          <w:szCs w:val="24"/>
          <w:lang w:val="en"/>
        </w:rPr>
        <w:t>"</w:t>
      </w:r>
      <w:r w:rsidR="1D0A6485" w:rsidRPr="1D0A6485">
        <w:rPr>
          <w:rFonts w:ascii="Times New Roman" w:eastAsia="Times New Roman" w:hAnsi="Times New Roman" w:cs="Times New Roman"/>
          <w:color w:val="5A5A5A"/>
          <w:sz w:val="24"/>
          <w:szCs w:val="24"/>
          <w:lang w:val="en"/>
        </w:rPr>
        <w:t>It depends on the situation. If I find the class interesting and motivating, I will concentrate fully.</w:t>
      </w:r>
      <w:r>
        <w:rPr>
          <w:rFonts w:ascii="Times New Roman" w:eastAsia="Times New Roman" w:hAnsi="Times New Roman" w:cs="Times New Roman"/>
          <w:color w:val="5A5A5A"/>
          <w:sz w:val="24"/>
          <w:szCs w:val="24"/>
          <w:lang w:val="en"/>
        </w:rPr>
        <w:t>"</w:t>
      </w:r>
    </w:p>
    <w:p w14:paraId="6AB7D124" w14:textId="29806F9F" w:rsidR="003416CA" w:rsidRPr="003416CA" w:rsidRDefault="00143D69" w:rsidP="003416CA">
      <w:pPr>
        <w:pStyle w:val="Quote"/>
        <w:ind w:left="720" w:right="1422"/>
        <w:jc w:val="both"/>
        <w:rPr>
          <w:rFonts w:ascii="Times New Roman" w:eastAsia="Times New Roman" w:hAnsi="Times New Roman" w:cs="Times New Roman"/>
          <w:color w:val="5A5A5A"/>
          <w:sz w:val="24"/>
          <w:szCs w:val="24"/>
          <w:lang w:val="en"/>
        </w:rPr>
      </w:pPr>
      <w:r>
        <w:rPr>
          <w:rFonts w:ascii="Times New Roman" w:eastAsia="Times New Roman" w:hAnsi="Times New Roman" w:cs="Times New Roman"/>
          <w:color w:val="5A5A5A"/>
          <w:sz w:val="24"/>
          <w:szCs w:val="24"/>
          <w:lang w:val="en"/>
        </w:rPr>
        <w:t>"</w:t>
      </w:r>
      <w:r w:rsidR="1D0A6485" w:rsidRPr="1D0A6485">
        <w:rPr>
          <w:rFonts w:ascii="Times New Roman" w:eastAsia="Times New Roman" w:hAnsi="Times New Roman" w:cs="Times New Roman"/>
          <w:color w:val="5A5A5A"/>
          <w:sz w:val="24"/>
          <w:szCs w:val="24"/>
          <w:lang w:val="en"/>
        </w:rPr>
        <w:t>I attend while I am sleeping.</w:t>
      </w:r>
      <w:r>
        <w:rPr>
          <w:rFonts w:ascii="Times New Roman" w:eastAsia="Times New Roman" w:hAnsi="Times New Roman" w:cs="Times New Roman"/>
          <w:color w:val="5A5A5A"/>
          <w:sz w:val="24"/>
          <w:szCs w:val="24"/>
          <w:lang w:val="en"/>
        </w:rPr>
        <w:t>"</w:t>
      </w:r>
    </w:p>
    <w:p w14:paraId="3A867312" w14:textId="6E6D8262" w:rsidR="4031B14C" w:rsidRPr="003416CA" w:rsidRDefault="00143D69" w:rsidP="003416CA">
      <w:pPr>
        <w:pStyle w:val="Quote"/>
        <w:ind w:left="720" w:right="1422"/>
        <w:jc w:val="both"/>
        <w:rPr>
          <w:rFonts w:ascii="Times New Roman" w:eastAsia="Times New Roman" w:hAnsi="Times New Roman" w:cs="Times New Roman"/>
          <w:color w:val="5A5A5A"/>
          <w:sz w:val="24"/>
          <w:szCs w:val="24"/>
          <w:lang w:val="en"/>
        </w:rPr>
      </w:pPr>
      <w:r>
        <w:rPr>
          <w:rFonts w:ascii="Times New Roman" w:eastAsia="Times New Roman" w:hAnsi="Times New Roman" w:cs="Times New Roman"/>
          <w:color w:val="5A5A5A"/>
          <w:sz w:val="24"/>
          <w:szCs w:val="24"/>
          <w:lang w:val="en"/>
        </w:rPr>
        <w:t>"</w:t>
      </w:r>
      <w:r w:rsidR="1D0A6485" w:rsidRPr="1D0A6485">
        <w:rPr>
          <w:rFonts w:ascii="Times New Roman" w:eastAsia="Times New Roman" w:hAnsi="Times New Roman" w:cs="Times New Roman"/>
          <w:color w:val="5A5A5A"/>
          <w:sz w:val="24"/>
          <w:szCs w:val="24"/>
          <w:lang w:val="en"/>
        </w:rPr>
        <w:t>It basically depends on the class lecture. I use to participate in the interesting one and ignore the boring one.</w:t>
      </w:r>
      <w:r>
        <w:rPr>
          <w:rFonts w:ascii="Times New Roman" w:eastAsia="Times New Roman" w:hAnsi="Times New Roman" w:cs="Times New Roman"/>
          <w:color w:val="5A5A5A"/>
          <w:sz w:val="24"/>
          <w:szCs w:val="24"/>
          <w:lang w:val="en"/>
        </w:rPr>
        <w:t>"</w:t>
      </w:r>
    </w:p>
    <w:p w14:paraId="1F433287" w14:textId="4758BBD7" w:rsidR="4031B14C" w:rsidRPr="003416CA" w:rsidRDefault="00143D69" w:rsidP="003416CA">
      <w:pPr>
        <w:pStyle w:val="Quote"/>
        <w:ind w:left="720" w:right="1422"/>
        <w:jc w:val="both"/>
        <w:rPr>
          <w:rFonts w:ascii="Times New Roman" w:eastAsia="Times New Roman" w:hAnsi="Times New Roman" w:cs="Times New Roman"/>
          <w:color w:val="5A5A5A"/>
          <w:sz w:val="24"/>
          <w:szCs w:val="24"/>
          <w:lang w:val="en"/>
        </w:rPr>
      </w:pPr>
      <w:r>
        <w:rPr>
          <w:rFonts w:ascii="Times New Roman" w:eastAsia="Times New Roman" w:hAnsi="Times New Roman" w:cs="Times New Roman"/>
          <w:color w:val="5A5A5A"/>
          <w:sz w:val="24"/>
          <w:szCs w:val="24"/>
          <w:lang w:val="en"/>
        </w:rPr>
        <w:t>"</w:t>
      </w:r>
      <w:r w:rsidR="1D0A6485" w:rsidRPr="1D0A6485">
        <w:rPr>
          <w:rFonts w:ascii="Times New Roman" w:eastAsia="Times New Roman" w:hAnsi="Times New Roman" w:cs="Times New Roman"/>
          <w:color w:val="5A5A5A"/>
          <w:sz w:val="24"/>
          <w:szCs w:val="24"/>
          <w:lang w:val="en"/>
        </w:rPr>
        <w:t>I find myself watching recordings of previous classes because the recordings can be paused</w:t>
      </w:r>
      <w:r w:rsidR="003F4220">
        <w:rPr>
          <w:rFonts w:ascii="Times New Roman" w:eastAsia="Times New Roman" w:hAnsi="Times New Roman" w:cs="Times New Roman"/>
          <w:color w:val="5A5A5A"/>
          <w:sz w:val="24"/>
          <w:szCs w:val="24"/>
          <w:lang w:val="en"/>
        </w:rPr>
        <w:t>,</w:t>
      </w:r>
      <w:r w:rsidR="1D0A6485" w:rsidRPr="1D0A6485">
        <w:rPr>
          <w:rFonts w:ascii="Times New Roman" w:eastAsia="Times New Roman" w:hAnsi="Times New Roman" w:cs="Times New Roman"/>
          <w:color w:val="5A5A5A"/>
          <w:sz w:val="24"/>
          <w:szCs w:val="24"/>
          <w:lang w:val="en"/>
        </w:rPr>
        <w:t xml:space="preserve"> and I seem to need breaks far more frequently due to the nature of the lectures as mentioned above.</w:t>
      </w:r>
      <w:r>
        <w:rPr>
          <w:rFonts w:ascii="Times New Roman" w:eastAsia="Times New Roman" w:hAnsi="Times New Roman" w:cs="Times New Roman"/>
          <w:color w:val="5A5A5A"/>
          <w:sz w:val="24"/>
          <w:szCs w:val="24"/>
          <w:lang w:val="en"/>
        </w:rPr>
        <w:t>"</w:t>
      </w:r>
    </w:p>
    <w:p w14:paraId="0396BA3A" w14:textId="77777777" w:rsidR="003416CA" w:rsidRDefault="003416CA" w:rsidP="00841757">
      <w:pPr>
        <w:jc w:val="both"/>
        <w:rPr>
          <w:rFonts w:ascii="Times New Roman" w:eastAsia="Times New Roman" w:hAnsi="Times New Roman" w:cs="Times New Roman"/>
          <w:b/>
          <w:bCs/>
          <w:color w:val="000000" w:themeColor="text1"/>
          <w:sz w:val="24"/>
          <w:szCs w:val="24"/>
          <w:lang w:val="en"/>
        </w:rPr>
      </w:pPr>
    </w:p>
    <w:p w14:paraId="1717D3D7" w14:textId="77777777" w:rsidR="009A4213" w:rsidRDefault="009A4213" w:rsidP="00841757">
      <w:pPr>
        <w:jc w:val="both"/>
        <w:rPr>
          <w:rFonts w:ascii="Times New Roman" w:eastAsia="Times New Roman" w:hAnsi="Times New Roman" w:cs="Times New Roman"/>
          <w:b/>
          <w:bCs/>
          <w:color w:val="000000" w:themeColor="text1"/>
          <w:sz w:val="24"/>
          <w:szCs w:val="24"/>
          <w:lang w:val="en"/>
        </w:rPr>
      </w:pPr>
    </w:p>
    <w:p w14:paraId="4C815C67" w14:textId="77777777" w:rsidR="009A4213" w:rsidRDefault="009A4213" w:rsidP="00841757">
      <w:pPr>
        <w:jc w:val="both"/>
        <w:rPr>
          <w:rFonts w:ascii="Times New Roman" w:eastAsia="Times New Roman" w:hAnsi="Times New Roman" w:cs="Times New Roman"/>
          <w:b/>
          <w:bCs/>
          <w:color w:val="000000" w:themeColor="text1"/>
          <w:sz w:val="24"/>
          <w:szCs w:val="24"/>
          <w:lang w:val="en"/>
        </w:rPr>
      </w:pPr>
    </w:p>
    <w:p w14:paraId="6BA30D50" w14:textId="08269DD3" w:rsidR="4031B14C" w:rsidRDefault="1D0A6485" w:rsidP="00841757">
      <w:pPr>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b/>
          <w:bCs/>
          <w:color w:val="000000" w:themeColor="text1"/>
          <w:sz w:val="24"/>
          <w:szCs w:val="24"/>
          <w:lang w:val="en"/>
        </w:rPr>
        <w:lastRenderedPageBreak/>
        <w:t>5. Policy implications</w:t>
      </w:r>
    </w:p>
    <w:p w14:paraId="7C353976" w14:textId="708D4677" w:rsidR="00100EB2" w:rsidRDefault="1D0A6485" w:rsidP="3005DB5A">
      <w:pPr>
        <w:jc w:val="both"/>
        <w:rPr>
          <w:rFonts w:ascii="Times New Roman" w:eastAsia="Times New Roman" w:hAnsi="Times New Roman" w:cs="Times New Roman"/>
          <w:color w:val="000000" w:themeColor="text1"/>
          <w:sz w:val="24"/>
          <w:szCs w:val="24"/>
          <w:lang w:val="en"/>
        </w:rPr>
      </w:pPr>
      <w:r w:rsidRPr="1D0A6485">
        <w:rPr>
          <w:rFonts w:ascii="Times New Roman" w:eastAsia="Times New Roman" w:hAnsi="Times New Roman" w:cs="Times New Roman"/>
          <w:color w:val="000000" w:themeColor="text1"/>
          <w:sz w:val="24"/>
          <w:szCs w:val="24"/>
          <w:lang w:val="en"/>
        </w:rPr>
        <w:t xml:space="preserve">The findings of this study advocate for </w:t>
      </w:r>
      <w:r w:rsidR="003F4220">
        <w:rPr>
          <w:rFonts w:ascii="Times New Roman" w:eastAsia="Times New Roman" w:hAnsi="Times New Roman" w:cs="Times New Roman"/>
          <w:color w:val="000000" w:themeColor="text1"/>
          <w:sz w:val="24"/>
          <w:szCs w:val="24"/>
          <w:lang w:val="en"/>
        </w:rPr>
        <w:t>several</w:t>
      </w:r>
      <w:r w:rsidRPr="1D0A6485">
        <w:rPr>
          <w:rFonts w:ascii="Times New Roman" w:eastAsia="Times New Roman" w:hAnsi="Times New Roman" w:cs="Times New Roman"/>
          <w:color w:val="000000" w:themeColor="text1"/>
          <w:sz w:val="24"/>
          <w:szCs w:val="24"/>
          <w:lang w:val="en"/>
        </w:rPr>
        <w:t xml:space="preserve"> policy implications </w:t>
      </w:r>
      <w:r w:rsidR="003F4220">
        <w:rPr>
          <w:rFonts w:ascii="Times New Roman" w:eastAsia="Times New Roman" w:hAnsi="Times New Roman" w:cs="Times New Roman"/>
          <w:color w:val="000000" w:themeColor="text1"/>
          <w:sz w:val="24"/>
          <w:szCs w:val="24"/>
          <w:lang w:val="en"/>
        </w:rPr>
        <w:t>at</w:t>
      </w:r>
      <w:r w:rsidRPr="1D0A6485">
        <w:rPr>
          <w:rFonts w:ascii="Times New Roman" w:eastAsia="Times New Roman" w:hAnsi="Times New Roman" w:cs="Times New Roman"/>
          <w:color w:val="000000" w:themeColor="text1"/>
          <w:sz w:val="24"/>
          <w:szCs w:val="24"/>
          <w:lang w:val="en"/>
        </w:rPr>
        <w:t xml:space="preserve"> </w:t>
      </w:r>
      <w:r w:rsidR="003F4220">
        <w:rPr>
          <w:rFonts w:ascii="Times New Roman" w:eastAsia="Times New Roman" w:hAnsi="Times New Roman" w:cs="Times New Roman"/>
          <w:color w:val="000000" w:themeColor="text1"/>
          <w:sz w:val="24"/>
          <w:szCs w:val="24"/>
          <w:lang w:val="en"/>
        </w:rPr>
        <w:t xml:space="preserve">a </w:t>
      </w:r>
      <w:r w:rsidRPr="1D0A6485">
        <w:rPr>
          <w:rFonts w:ascii="Times New Roman" w:eastAsia="Times New Roman" w:hAnsi="Times New Roman" w:cs="Times New Roman"/>
          <w:color w:val="000000" w:themeColor="text1"/>
          <w:sz w:val="24"/>
          <w:szCs w:val="24"/>
          <w:lang w:val="en"/>
        </w:rPr>
        <w:t xml:space="preserve">national level. Regarding student engagement in online classes, a neutral result is found in sentiment analysis indicating a need </w:t>
      </w:r>
      <w:r w:rsidR="003F4220">
        <w:rPr>
          <w:rFonts w:ascii="Times New Roman" w:eastAsia="Times New Roman" w:hAnsi="Times New Roman" w:cs="Times New Roman"/>
          <w:color w:val="000000" w:themeColor="text1"/>
          <w:sz w:val="24"/>
          <w:szCs w:val="24"/>
          <w:lang w:val="en"/>
        </w:rPr>
        <w:t>for</w:t>
      </w:r>
      <w:r w:rsidRPr="1D0A6485">
        <w:rPr>
          <w:rFonts w:ascii="Times New Roman" w:eastAsia="Times New Roman" w:hAnsi="Times New Roman" w:cs="Times New Roman"/>
          <w:color w:val="000000" w:themeColor="text1"/>
          <w:sz w:val="24"/>
          <w:szCs w:val="24"/>
          <w:lang w:val="en"/>
        </w:rPr>
        <w:t xml:space="preserve"> policy formation in online teaching</w:t>
      </w:r>
      <w:r w:rsidR="003F4220">
        <w:rPr>
          <w:rFonts w:ascii="Times New Roman" w:eastAsia="Times New Roman" w:hAnsi="Times New Roman" w:cs="Times New Roman"/>
          <w:color w:val="000000" w:themeColor="text1"/>
          <w:sz w:val="24"/>
          <w:szCs w:val="24"/>
          <w:lang w:val="en"/>
        </w:rPr>
        <w:t>,</w:t>
      </w:r>
      <w:r w:rsidRPr="1D0A6485">
        <w:rPr>
          <w:rFonts w:ascii="Times New Roman" w:eastAsia="Times New Roman" w:hAnsi="Times New Roman" w:cs="Times New Roman"/>
          <w:color w:val="000000" w:themeColor="text1"/>
          <w:sz w:val="24"/>
          <w:szCs w:val="24"/>
          <w:lang w:val="en"/>
        </w:rPr>
        <w:t xml:space="preserve"> highlighting the need </w:t>
      </w:r>
      <w:r w:rsidR="003F4220">
        <w:rPr>
          <w:rFonts w:ascii="Times New Roman" w:eastAsia="Times New Roman" w:hAnsi="Times New Roman" w:cs="Times New Roman"/>
          <w:color w:val="000000" w:themeColor="text1"/>
          <w:sz w:val="24"/>
          <w:szCs w:val="24"/>
          <w:lang w:val="en"/>
        </w:rPr>
        <w:t>for</w:t>
      </w:r>
      <w:r w:rsidRPr="1D0A6485">
        <w:rPr>
          <w:rFonts w:ascii="Times New Roman" w:eastAsia="Times New Roman" w:hAnsi="Times New Roman" w:cs="Times New Roman"/>
          <w:color w:val="000000" w:themeColor="text1"/>
          <w:sz w:val="24"/>
          <w:szCs w:val="24"/>
          <w:lang w:val="en"/>
        </w:rPr>
        <w:t xml:space="preserve"> student engagement to make the classes more effective than last year. </w:t>
      </w:r>
    </w:p>
    <w:p w14:paraId="5AA90B73" w14:textId="38964127" w:rsidR="00100EB2" w:rsidRDefault="1D0A6485" w:rsidP="3005DB5A">
      <w:pPr>
        <w:jc w:val="both"/>
        <w:rPr>
          <w:rFonts w:ascii="Times New Roman" w:eastAsia="Times New Roman" w:hAnsi="Times New Roman" w:cs="Times New Roman"/>
          <w:color w:val="000000" w:themeColor="text1"/>
          <w:sz w:val="24"/>
          <w:szCs w:val="24"/>
          <w:lang w:val="en"/>
        </w:rPr>
      </w:pPr>
      <w:r w:rsidRPr="1D0A6485">
        <w:rPr>
          <w:rFonts w:ascii="Times New Roman" w:eastAsia="Times New Roman" w:hAnsi="Times New Roman" w:cs="Times New Roman"/>
          <w:color w:val="000000" w:themeColor="text1"/>
          <w:sz w:val="24"/>
          <w:szCs w:val="24"/>
          <w:lang w:val="en"/>
        </w:rPr>
        <w:t xml:space="preserve">Online classes have been heavily used during this covid-19 pandemic to avoid academic delays and keep the students in the loop. </w:t>
      </w:r>
      <w:r w:rsidR="003F4220">
        <w:rPr>
          <w:rFonts w:ascii="Times New Roman" w:eastAsia="Times New Roman" w:hAnsi="Times New Roman" w:cs="Times New Roman"/>
          <w:color w:val="000000" w:themeColor="text1"/>
          <w:sz w:val="24"/>
          <w:szCs w:val="24"/>
          <w:lang w:val="en"/>
        </w:rPr>
        <w:t>Nevertheless,</w:t>
      </w:r>
      <w:r w:rsidRPr="1D0A6485">
        <w:rPr>
          <w:rFonts w:ascii="Times New Roman" w:eastAsia="Times New Roman" w:hAnsi="Times New Roman" w:cs="Times New Roman"/>
          <w:color w:val="000000" w:themeColor="text1"/>
          <w:sz w:val="24"/>
          <w:szCs w:val="24"/>
          <w:lang w:val="en"/>
        </w:rPr>
        <w:t xml:space="preserve"> this sudden change without restructuring the curriculum in favor of the class delivery method </w:t>
      </w:r>
      <w:r w:rsidR="003F4220">
        <w:rPr>
          <w:rFonts w:ascii="Times New Roman" w:eastAsia="Times New Roman" w:hAnsi="Times New Roman" w:cs="Times New Roman"/>
          <w:color w:val="000000" w:themeColor="text1"/>
          <w:sz w:val="24"/>
          <w:szCs w:val="24"/>
          <w:lang w:val="en"/>
        </w:rPr>
        <w:t>very concerns</w:t>
      </w:r>
      <w:r w:rsidRPr="1D0A6485">
        <w:rPr>
          <w:rFonts w:ascii="Times New Roman" w:eastAsia="Times New Roman" w:hAnsi="Times New Roman" w:cs="Times New Roman"/>
          <w:color w:val="000000" w:themeColor="text1"/>
          <w:sz w:val="24"/>
          <w:szCs w:val="24"/>
          <w:lang w:val="en"/>
        </w:rPr>
        <w:t xml:space="preserve"> when it comes to </w:t>
      </w:r>
      <w:r w:rsidR="00143D69">
        <w:rPr>
          <w:rFonts w:ascii="Times New Roman" w:eastAsia="Times New Roman" w:hAnsi="Times New Roman" w:cs="Times New Roman"/>
          <w:color w:val="000000" w:themeColor="text1"/>
          <w:sz w:val="24"/>
          <w:szCs w:val="24"/>
          <w:lang w:val="en"/>
        </w:rPr>
        <w:t>students'</w:t>
      </w:r>
      <w:r w:rsidRPr="1D0A6485">
        <w:rPr>
          <w:rFonts w:ascii="Times New Roman" w:eastAsia="Times New Roman" w:hAnsi="Times New Roman" w:cs="Times New Roman"/>
          <w:color w:val="000000" w:themeColor="text1"/>
          <w:sz w:val="24"/>
          <w:szCs w:val="24"/>
          <w:lang w:val="en"/>
        </w:rPr>
        <w:t xml:space="preserve"> engagement in various forms.  </w:t>
      </w:r>
      <w:r w:rsidR="003F4220">
        <w:rPr>
          <w:rFonts w:ascii="Times New Roman" w:eastAsia="Times New Roman" w:hAnsi="Times New Roman" w:cs="Times New Roman"/>
          <w:color w:val="000000" w:themeColor="text1"/>
          <w:sz w:val="24"/>
          <w:szCs w:val="24"/>
          <w:lang w:val="en"/>
        </w:rPr>
        <w:t>An immediate</w:t>
      </w:r>
      <w:r w:rsidRPr="1D0A6485">
        <w:rPr>
          <w:rFonts w:ascii="Times New Roman" w:eastAsia="Times New Roman" w:hAnsi="Times New Roman" w:cs="Times New Roman"/>
          <w:color w:val="000000" w:themeColor="text1"/>
          <w:sz w:val="24"/>
          <w:szCs w:val="24"/>
          <w:lang w:val="en"/>
        </w:rPr>
        <w:t xml:space="preserve"> and scientific approach to mitigate the engagement problem is very much needed to have a significant improvement over the current position.</w:t>
      </w:r>
    </w:p>
    <w:p w14:paraId="2CCAC8D9" w14:textId="7AF4C3CC" w:rsidR="4031B14C" w:rsidRDefault="4031B14C" w:rsidP="4031B14C">
      <w:pPr>
        <w:ind w:firstLine="360"/>
        <w:jc w:val="both"/>
        <w:rPr>
          <w:rFonts w:ascii="Times New Roman" w:eastAsia="Times New Roman" w:hAnsi="Times New Roman" w:cs="Times New Roman"/>
          <w:color w:val="000000" w:themeColor="text1"/>
          <w:sz w:val="24"/>
          <w:szCs w:val="24"/>
        </w:rPr>
      </w:pPr>
    </w:p>
    <w:p w14:paraId="7EB945B8" w14:textId="1266E9BA" w:rsidR="4031B14C" w:rsidRDefault="1D0A6485" w:rsidP="00762861">
      <w:pPr>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b/>
          <w:bCs/>
          <w:color w:val="000000" w:themeColor="text1"/>
          <w:sz w:val="24"/>
          <w:szCs w:val="24"/>
          <w:lang w:val="en"/>
        </w:rPr>
        <w:t>6. limitations and future research</w:t>
      </w:r>
    </w:p>
    <w:p w14:paraId="2F79AB88" w14:textId="1250D05E" w:rsidR="4031B14C" w:rsidRDefault="1D0A6485" w:rsidP="00762861">
      <w:pPr>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color w:val="000000" w:themeColor="text1"/>
          <w:sz w:val="24"/>
          <w:szCs w:val="24"/>
          <w:lang w:val="en"/>
        </w:rPr>
        <w:t xml:space="preserve">This study is not out of limitations. For convenience, this study did not focus </w:t>
      </w:r>
      <w:r w:rsidR="003F4220">
        <w:rPr>
          <w:rFonts w:ascii="Times New Roman" w:eastAsia="Times New Roman" w:hAnsi="Times New Roman" w:cs="Times New Roman"/>
          <w:color w:val="000000" w:themeColor="text1"/>
          <w:sz w:val="24"/>
          <w:szCs w:val="24"/>
          <w:lang w:val="en"/>
        </w:rPr>
        <w:t xml:space="preserve">on </w:t>
      </w:r>
      <w:r w:rsidRPr="1D0A6485">
        <w:rPr>
          <w:rFonts w:ascii="Times New Roman" w:eastAsia="Times New Roman" w:hAnsi="Times New Roman" w:cs="Times New Roman"/>
          <w:color w:val="000000" w:themeColor="text1"/>
          <w:sz w:val="24"/>
          <w:szCs w:val="24"/>
          <w:lang w:val="en"/>
        </w:rPr>
        <w:t xml:space="preserve">collecting data from the poor student group highlighting their financial condition. Respondents from rural </w:t>
      </w:r>
      <w:r w:rsidR="003F4220">
        <w:rPr>
          <w:rFonts w:ascii="Times New Roman" w:eastAsia="Times New Roman" w:hAnsi="Times New Roman" w:cs="Times New Roman"/>
          <w:color w:val="000000" w:themeColor="text1"/>
          <w:sz w:val="24"/>
          <w:szCs w:val="24"/>
          <w:lang w:val="en"/>
        </w:rPr>
        <w:t>areas</w:t>
      </w:r>
      <w:r w:rsidRPr="1D0A6485">
        <w:rPr>
          <w:rFonts w:ascii="Times New Roman" w:eastAsia="Times New Roman" w:hAnsi="Times New Roman" w:cs="Times New Roman"/>
          <w:color w:val="000000" w:themeColor="text1"/>
          <w:sz w:val="24"/>
          <w:szCs w:val="24"/>
          <w:lang w:val="en"/>
        </w:rPr>
        <w:t xml:space="preserve"> and urban </w:t>
      </w:r>
      <w:r w:rsidR="003F4220">
        <w:rPr>
          <w:rFonts w:ascii="Times New Roman" w:eastAsia="Times New Roman" w:hAnsi="Times New Roman" w:cs="Times New Roman"/>
          <w:color w:val="000000" w:themeColor="text1"/>
          <w:sz w:val="24"/>
          <w:szCs w:val="24"/>
          <w:lang w:val="en"/>
        </w:rPr>
        <w:t>areas</w:t>
      </w:r>
      <w:r w:rsidRPr="1D0A6485">
        <w:rPr>
          <w:rFonts w:ascii="Times New Roman" w:eastAsia="Times New Roman" w:hAnsi="Times New Roman" w:cs="Times New Roman"/>
          <w:color w:val="000000" w:themeColor="text1"/>
          <w:sz w:val="24"/>
          <w:szCs w:val="24"/>
          <w:lang w:val="en"/>
        </w:rPr>
        <w:t xml:space="preserve"> were not also considered. Thus, this </w:t>
      </w:r>
      <w:r w:rsidR="00143D69">
        <w:rPr>
          <w:rFonts w:ascii="Times New Roman" w:eastAsia="Times New Roman" w:hAnsi="Times New Roman" w:cs="Times New Roman"/>
          <w:color w:val="000000" w:themeColor="text1"/>
          <w:sz w:val="24"/>
          <w:szCs w:val="24"/>
          <w:lang w:val="en"/>
        </w:rPr>
        <w:t>study's</w:t>
      </w:r>
      <w:r w:rsidRPr="1D0A6485">
        <w:rPr>
          <w:rFonts w:ascii="Times New Roman" w:eastAsia="Times New Roman" w:hAnsi="Times New Roman" w:cs="Times New Roman"/>
          <w:color w:val="000000" w:themeColor="text1"/>
          <w:sz w:val="24"/>
          <w:szCs w:val="24"/>
          <w:lang w:val="en"/>
        </w:rPr>
        <w:t xml:space="preserve"> results may not be </w:t>
      </w:r>
      <w:r w:rsidR="003F4220">
        <w:rPr>
          <w:rFonts w:ascii="Times New Roman" w:eastAsia="Times New Roman" w:hAnsi="Times New Roman" w:cs="Times New Roman"/>
          <w:color w:val="000000" w:themeColor="text1"/>
          <w:sz w:val="24"/>
          <w:szCs w:val="24"/>
          <w:lang w:val="en"/>
        </w:rPr>
        <w:t>equally</w:t>
      </w:r>
      <w:r w:rsidRPr="1D0A6485">
        <w:rPr>
          <w:rFonts w:ascii="Times New Roman" w:eastAsia="Times New Roman" w:hAnsi="Times New Roman" w:cs="Times New Roman"/>
          <w:color w:val="000000" w:themeColor="text1"/>
          <w:sz w:val="24"/>
          <w:szCs w:val="24"/>
          <w:lang w:val="en"/>
        </w:rPr>
        <w:t xml:space="preserve"> applicable for the students from </w:t>
      </w:r>
      <w:r w:rsidR="003F4220">
        <w:rPr>
          <w:rFonts w:ascii="Times New Roman" w:eastAsia="Times New Roman" w:hAnsi="Times New Roman" w:cs="Times New Roman"/>
          <w:color w:val="000000" w:themeColor="text1"/>
          <w:sz w:val="24"/>
          <w:szCs w:val="24"/>
          <w:lang w:val="en"/>
        </w:rPr>
        <w:t xml:space="preserve">a </w:t>
      </w:r>
      <w:r w:rsidRPr="1D0A6485">
        <w:rPr>
          <w:rFonts w:ascii="Times New Roman" w:eastAsia="Times New Roman" w:hAnsi="Times New Roman" w:cs="Times New Roman"/>
          <w:color w:val="000000" w:themeColor="text1"/>
          <w:sz w:val="24"/>
          <w:szCs w:val="24"/>
          <w:lang w:val="en"/>
        </w:rPr>
        <w:t xml:space="preserve">remote area. The failure to monitor the response rate and the risk of missing data are two disadvantages of questionnaires used as self-reported measures. As a result, specific questions had missing data or had fewer respondents. </w:t>
      </w:r>
    </w:p>
    <w:p w14:paraId="72EA33FD" w14:textId="297C9801" w:rsidR="00100EB2" w:rsidRDefault="1D0A6485" w:rsidP="00762861">
      <w:pPr>
        <w:jc w:val="both"/>
        <w:rPr>
          <w:rFonts w:ascii="Times New Roman" w:eastAsia="Times New Roman" w:hAnsi="Times New Roman" w:cs="Times New Roman"/>
          <w:color w:val="000000" w:themeColor="text1"/>
          <w:sz w:val="24"/>
          <w:szCs w:val="24"/>
          <w:lang w:val="en"/>
        </w:rPr>
      </w:pPr>
      <w:r w:rsidRPr="1D0A6485">
        <w:rPr>
          <w:rFonts w:ascii="Times New Roman" w:eastAsia="Times New Roman" w:hAnsi="Times New Roman" w:cs="Times New Roman"/>
          <w:color w:val="000000" w:themeColor="text1"/>
          <w:sz w:val="24"/>
          <w:szCs w:val="24"/>
          <w:lang w:val="en"/>
        </w:rPr>
        <w:t xml:space="preserve">We used sentiment analysis to back up the findings of the </w:t>
      </w:r>
      <w:r w:rsidR="00143D69">
        <w:rPr>
          <w:rFonts w:ascii="Times New Roman" w:eastAsia="Times New Roman" w:hAnsi="Times New Roman" w:cs="Times New Roman"/>
          <w:color w:val="000000" w:themeColor="text1"/>
          <w:sz w:val="24"/>
          <w:szCs w:val="24"/>
          <w:lang w:val="en"/>
        </w:rPr>
        <w:t>questionnaire's</w:t>
      </w:r>
      <w:r w:rsidRPr="1D0A6485">
        <w:rPr>
          <w:rFonts w:ascii="Times New Roman" w:eastAsia="Times New Roman" w:hAnsi="Times New Roman" w:cs="Times New Roman"/>
          <w:color w:val="000000" w:themeColor="text1"/>
          <w:sz w:val="24"/>
          <w:szCs w:val="24"/>
          <w:lang w:val="en"/>
        </w:rPr>
        <w:t xml:space="preserve"> self-reported data. </w:t>
      </w:r>
      <w:r w:rsidR="003F4220">
        <w:rPr>
          <w:rFonts w:ascii="Times New Roman" w:eastAsia="Times New Roman" w:hAnsi="Times New Roman" w:cs="Times New Roman"/>
          <w:color w:val="000000" w:themeColor="text1"/>
          <w:sz w:val="24"/>
          <w:szCs w:val="24"/>
          <w:lang w:val="en"/>
        </w:rPr>
        <w:t>Nevertheless,</w:t>
      </w:r>
      <w:r w:rsidRPr="1D0A6485">
        <w:rPr>
          <w:rFonts w:ascii="Times New Roman" w:eastAsia="Times New Roman" w:hAnsi="Times New Roman" w:cs="Times New Roman"/>
          <w:color w:val="000000" w:themeColor="text1"/>
          <w:sz w:val="24"/>
          <w:szCs w:val="24"/>
          <w:lang w:val="en"/>
        </w:rPr>
        <w:t xml:space="preserve"> sentiment analysis restricts the ability to pre-train any dataset and relies on a pre-trained classifier, so the findings do not reliably score the sentiments. In addition, most sentiment analysis algorithms ignore the meaning of the document. Shorter sentences are more reliable than large blocks of text for the classifier used in this analysis. However, AML outperforms other resources like the Stanford NLP Sentiment Analysis engine </w:t>
      </w:r>
      <w:r w:rsidR="4031B14C" w:rsidRPr="1D0A6485">
        <w:rPr>
          <w:rFonts w:ascii="Times New Roman" w:eastAsia="Times New Roman" w:hAnsi="Times New Roman" w:cs="Times New Roman"/>
          <w:color w:val="000000" w:themeColor="text1"/>
          <w:sz w:val="24"/>
          <w:szCs w:val="24"/>
          <w:lang w:val="en"/>
        </w:rPr>
        <w:fldChar w:fldCharType="begin"/>
      </w:r>
      <w:r w:rsidR="4031B14C" w:rsidRPr="1D0A6485">
        <w:rPr>
          <w:rFonts w:ascii="Times New Roman" w:eastAsia="Times New Roman" w:hAnsi="Times New Roman" w:cs="Times New Roman"/>
          <w:color w:val="000000" w:themeColor="text1"/>
          <w:sz w:val="24"/>
          <w:szCs w:val="24"/>
          <w:lang w:val="en"/>
        </w:rPr>
        <w:instrText xml:space="preserve"> ADDIN ZOTERO_ITEM CSL_CITATION {"citationID":"gIOIrsOI","properties":{"formattedCitation":"(Chatterjee &amp; Perrizo, 2016)","plainCitation":"(Chatterjee &amp; Perrizo, 2016)","noteIndex":0},"citationItems":[{"id":43,"uris":["http://zotero.org/users/local/SRh9d10S/items/RFI3HW74"],"uri":["http://zotero.org/users/local/SRh9d10S/items/RFI3HW74"],"itemData":{"id":43,"type":"paper-conference","abstract":"The paper discusses the bias of investors and the affect it has on the volatility of the stocks in the market. We also show how sentiment analysis can be run on the pulled tweets and why we chose the Microsoft Azure sentiment analyzer over the other commercial sentiment analyzer tools. Finally, we provide some future direction where we plan to take this research forward and conclude with some closing remarks.","container-title":"2016 IEEE/ACM International Conference on Advances in Social Networks Analysis and Mining (ASONAM)","DOI":"10.1109/ASONAM.2016.7752388","event":"2016 IEEE/ACM International Conference on Advances in Social Networks Analysis and Mining (ASONAM)","page":"1177-1180","source":"IEEE Xplore","title":"Investor classification and sentiment analysis","author":[{"family":"Chatterjee","given":"Arijit"},{"family":"Perrizo","given":"William"}],"issued":{"date-parts":[["2016",8]]}}}],"schema":"https://github.com/citation-style-language/schema/raw/master/csl-citation.json"} </w:instrText>
      </w:r>
      <w:r w:rsidR="4031B14C" w:rsidRPr="1D0A6485">
        <w:rPr>
          <w:rFonts w:ascii="Times New Roman" w:eastAsia="Times New Roman" w:hAnsi="Times New Roman" w:cs="Times New Roman"/>
          <w:color w:val="000000" w:themeColor="text1"/>
          <w:sz w:val="24"/>
          <w:szCs w:val="24"/>
          <w:lang w:val="en"/>
        </w:rPr>
        <w:fldChar w:fldCharType="separate"/>
      </w:r>
      <w:r w:rsidRPr="1D0A6485">
        <w:rPr>
          <w:rFonts w:ascii="Times New Roman" w:eastAsia="Times New Roman" w:hAnsi="Times New Roman" w:cs="Times New Roman"/>
          <w:noProof/>
          <w:color w:val="000000" w:themeColor="text1"/>
          <w:sz w:val="24"/>
          <w:szCs w:val="24"/>
          <w:lang w:val="en"/>
        </w:rPr>
        <w:t>(Chatterjee &amp; Perrizo, 2016)</w:t>
      </w:r>
      <w:r w:rsidR="4031B14C" w:rsidRPr="1D0A6485">
        <w:rPr>
          <w:rFonts w:ascii="Times New Roman" w:eastAsia="Times New Roman" w:hAnsi="Times New Roman" w:cs="Times New Roman"/>
          <w:color w:val="000000" w:themeColor="text1"/>
          <w:sz w:val="24"/>
          <w:szCs w:val="24"/>
          <w:lang w:val="en"/>
        </w:rPr>
        <w:fldChar w:fldCharType="end"/>
      </w:r>
      <w:r w:rsidRPr="1D0A6485">
        <w:rPr>
          <w:rFonts w:ascii="Times New Roman" w:eastAsia="Times New Roman" w:hAnsi="Times New Roman" w:cs="Times New Roman"/>
          <w:color w:val="000000" w:themeColor="text1"/>
          <w:sz w:val="24"/>
          <w:szCs w:val="24"/>
          <w:lang w:val="en"/>
        </w:rPr>
        <w:t>. Furthermore, since the questionnaire was distributed to students from various academic divisions and levels around the university, the analysis did not capture the design of the videos or their length, which may have differed.</w:t>
      </w:r>
    </w:p>
    <w:p w14:paraId="7AA89023" w14:textId="01C535B0" w:rsidR="00100EB2" w:rsidRDefault="1D0A6485" w:rsidP="00762861">
      <w:pPr>
        <w:jc w:val="both"/>
        <w:rPr>
          <w:rFonts w:ascii="Times New Roman" w:eastAsia="Times New Roman" w:hAnsi="Times New Roman" w:cs="Times New Roman"/>
          <w:color w:val="000000" w:themeColor="text1"/>
          <w:sz w:val="24"/>
          <w:szCs w:val="24"/>
        </w:rPr>
      </w:pPr>
      <w:r w:rsidRPr="1D0A6485">
        <w:rPr>
          <w:rFonts w:ascii="Times New Roman" w:eastAsia="Times New Roman" w:hAnsi="Times New Roman" w:cs="Times New Roman"/>
          <w:b/>
          <w:bCs/>
          <w:color w:val="000000" w:themeColor="text1"/>
          <w:sz w:val="24"/>
          <w:szCs w:val="24"/>
          <w:lang w:val="en"/>
        </w:rPr>
        <w:t>7.</w:t>
      </w:r>
      <w:r w:rsidR="008A390F">
        <w:rPr>
          <w:rFonts w:ascii="Times New Roman" w:eastAsia="Times New Roman" w:hAnsi="Times New Roman" w:cs="Times New Roman"/>
          <w:b/>
          <w:bCs/>
          <w:color w:val="000000" w:themeColor="text1"/>
          <w:sz w:val="24"/>
          <w:szCs w:val="24"/>
          <w:lang w:val="en"/>
        </w:rPr>
        <w:t xml:space="preserve"> </w:t>
      </w:r>
      <w:r w:rsidRPr="1D0A6485">
        <w:rPr>
          <w:rFonts w:ascii="Times New Roman" w:eastAsia="Times New Roman" w:hAnsi="Times New Roman" w:cs="Times New Roman"/>
          <w:b/>
          <w:bCs/>
          <w:color w:val="000000" w:themeColor="text1"/>
          <w:sz w:val="24"/>
          <w:szCs w:val="24"/>
          <w:lang w:val="en"/>
        </w:rPr>
        <w:t>Conclusions</w:t>
      </w:r>
    </w:p>
    <w:p w14:paraId="4D649EB6" w14:textId="0E460052" w:rsidR="003416CA" w:rsidRDefault="1D0A6485" w:rsidP="009A4213">
      <w:pPr>
        <w:jc w:val="both"/>
        <w:rPr>
          <w:rFonts w:ascii="Times New Roman" w:eastAsia="Times New Roman" w:hAnsi="Times New Roman" w:cs="Times New Roman"/>
          <w:color w:val="000000" w:themeColor="text1"/>
          <w:sz w:val="24"/>
          <w:szCs w:val="24"/>
          <w:lang w:val="en"/>
        </w:rPr>
      </w:pPr>
      <w:r w:rsidRPr="1D0A6485">
        <w:rPr>
          <w:rFonts w:ascii="Times New Roman" w:eastAsia="Times New Roman" w:hAnsi="Times New Roman" w:cs="Times New Roman"/>
          <w:color w:val="000000" w:themeColor="text1"/>
          <w:sz w:val="24"/>
          <w:szCs w:val="24"/>
          <w:lang w:val="en"/>
        </w:rPr>
        <w:t xml:space="preserve">The results from this study shed light </w:t>
      </w:r>
      <w:r w:rsidR="003F4220">
        <w:rPr>
          <w:rFonts w:ascii="Times New Roman" w:eastAsia="Times New Roman" w:hAnsi="Times New Roman" w:cs="Times New Roman"/>
          <w:color w:val="000000" w:themeColor="text1"/>
          <w:sz w:val="24"/>
          <w:szCs w:val="24"/>
          <w:lang w:val="en"/>
        </w:rPr>
        <w:t>on</w:t>
      </w:r>
      <w:r w:rsidRPr="1D0A6485">
        <w:rPr>
          <w:rFonts w:ascii="Times New Roman" w:eastAsia="Times New Roman" w:hAnsi="Times New Roman" w:cs="Times New Roman"/>
          <w:color w:val="000000" w:themeColor="text1"/>
          <w:sz w:val="24"/>
          <w:szCs w:val="24"/>
          <w:lang w:val="en"/>
        </w:rPr>
        <w:t xml:space="preserve"> the acute need </w:t>
      </w:r>
      <w:r w:rsidR="003F4220">
        <w:rPr>
          <w:rFonts w:ascii="Times New Roman" w:eastAsia="Times New Roman" w:hAnsi="Times New Roman" w:cs="Times New Roman"/>
          <w:color w:val="000000" w:themeColor="text1"/>
          <w:sz w:val="24"/>
          <w:szCs w:val="24"/>
          <w:lang w:val="en"/>
        </w:rPr>
        <w:t>for</w:t>
      </w:r>
      <w:r w:rsidRPr="1D0A6485">
        <w:rPr>
          <w:rFonts w:ascii="Times New Roman" w:eastAsia="Times New Roman" w:hAnsi="Times New Roman" w:cs="Times New Roman"/>
          <w:color w:val="000000" w:themeColor="text1"/>
          <w:sz w:val="24"/>
          <w:szCs w:val="24"/>
          <w:lang w:val="en"/>
        </w:rPr>
        <w:t xml:space="preserve"> </w:t>
      </w:r>
      <w:r w:rsidR="003F4220">
        <w:rPr>
          <w:rFonts w:ascii="Times New Roman" w:eastAsia="Times New Roman" w:hAnsi="Times New Roman" w:cs="Times New Roman"/>
          <w:color w:val="000000" w:themeColor="text1"/>
          <w:sz w:val="24"/>
          <w:szCs w:val="24"/>
          <w:lang w:val="en"/>
        </w:rPr>
        <w:t>several</w:t>
      </w:r>
      <w:r w:rsidRPr="1D0A6485">
        <w:rPr>
          <w:rFonts w:ascii="Times New Roman" w:eastAsia="Times New Roman" w:hAnsi="Times New Roman" w:cs="Times New Roman"/>
          <w:color w:val="000000" w:themeColor="text1"/>
          <w:sz w:val="24"/>
          <w:szCs w:val="24"/>
          <w:lang w:val="en"/>
        </w:rPr>
        <w:t xml:space="preserve"> future research. </w:t>
      </w:r>
      <w:r w:rsidR="003F4220">
        <w:rPr>
          <w:rFonts w:ascii="Times New Roman" w:eastAsia="Times New Roman" w:hAnsi="Times New Roman" w:cs="Times New Roman"/>
          <w:color w:val="000000" w:themeColor="text1"/>
          <w:sz w:val="24"/>
          <w:szCs w:val="24"/>
          <w:lang w:val="en"/>
        </w:rPr>
        <w:t>There</w:t>
      </w:r>
      <w:r w:rsidRPr="1D0A6485">
        <w:rPr>
          <w:rFonts w:ascii="Times New Roman" w:eastAsia="Times New Roman" w:hAnsi="Times New Roman" w:cs="Times New Roman"/>
          <w:color w:val="000000" w:themeColor="text1"/>
          <w:sz w:val="24"/>
          <w:szCs w:val="24"/>
          <w:lang w:val="en"/>
        </w:rPr>
        <w:t xml:space="preserve"> is a clear need </w:t>
      </w:r>
      <w:r w:rsidR="003F4220">
        <w:rPr>
          <w:rFonts w:ascii="Times New Roman" w:eastAsia="Times New Roman" w:hAnsi="Times New Roman" w:cs="Times New Roman"/>
          <w:color w:val="000000" w:themeColor="text1"/>
          <w:sz w:val="24"/>
          <w:szCs w:val="24"/>
          <w:lang w:val="en"/>
        </w:rPr>
        <w:t>for</w:t>
      </w:r>
      <w:r w:rsidRPr="1D0A6485">
        <w:rPr>
          <w:rFonts w:ascii="Times New Roman" w:eastAsia="Times New Roman" w:hAnsi="Times New Roman" w:cs="Times New Roman"/>
          <w:color w:val="000000" w:themeColor="text1"/>
          <w:sz w:val="24"/>
          <w:szCs w:val="24"/>
          <w:lang w:val="en"/>
        </w:rPr>
        <w:t xml:space="preserve"> rigorous study on technology adoption among the students for online classes</w:t>
      </w:r>
      <w:r w:rsidR="003F4220">
        <w:rPr>
          <w:rFonts w:ascii="Times New Roman" w:eastAsia="Times New Roman" w:hAnsi="Times New Roman" w:cs="Times New Roman"/>
          <w:color w:val="000000" w:themeColor="text1"/>
          <w:sz w:val="24"/>
          <w:szCs w:val="24"/>
          <w:lang w:val="en"/>
        </w:rPr>
        <w:t xml:space="preserve"> based on the technology adoption theory</w:t>
      </w:r>
      <w:r w:rsidRPr="1D0A6485">
        <w:rPr>
          <w:rFonts w:ascii="Times New Roman" w:eastAsia="Times New Roman" w:hAnsi="Times New Roman" w:cs="Times New Roman"/>
          <w:color w:val="000000" w:themeColor="text1"/>
          <w:sz w:val="24"/>
          <w:szCs w:val="24"/>
          <w:lang w:val="en"/>
        </w:rPr>
        <w:t xml:space="preserve">. </w:t>
      </w:r>
      <w:r w:rsidR="00143D69">
        <w:rPr>
          <w:rFonts w:ascii="Times New Roman" w:eastAsia="Times New Roman" w:hAnsi="Times New Roman" w:cs="Times New Roman"/>
          <w:color w:val="000000" w:themeColor="text1"/>
          <w:sz w:val="24"/>
          <w:szCs w:val="24"/>
          <w:lang w:val="en"/>
        </w:rPr>
        <w:t>Our</w:t>
      </w:r>
      <w:r w:rsidRPr="1D0A6485">
        <w:rPr>
          <w:rFonts w:ascii="Times New Roman" w:eastAsia="Times New Roman" w:hAnsi="Times New Roman" w:cs="Times New Roman"/>
          <w:color w:val="000000" w:themeColor="text1"/>
          <w:sz w:val="24"/>
          <w:szCs w:val="24"/>
          <w:lang w:val="en"/>
        </w:rPr>
        <w:t xml:space="preserve"> sentiment analysis illustrates how qualitative data can be triangulated to confirm or contest research findings</w:t>
      </w:r>
      <w:r w:rsidR="00143D69">
        <w:rPr>
          <w:rFonts w:ascii="Times New Roman" w:eastAsia="Times New Roman" w:hAnsi="Times New Roman" w:cs="Times New Roman"/>
          <w:color w:val="000000" w:themeColor="text1"/>
          <w:sz w:val="24"/>
          <w:szCs w:val="24"/>
          <w:lang w:val="en"/>
        </w:rPr>
        <w:t xml:space="preserve"> with different types of data available to researchers</w:t>
      </w:r>
      <w:r w:rsidRPr="1D0A6485">
        <w:rPr>
          <w:rFonts w:ascii="Times New Roman" w:eastAsia="Times New Roman" w:hAnsi="Times New Roman" w:cs="Times New Roman"/>
          <w:color w:val="000000" w:themeColor="text1"/>
          <w:sz w:val="24"/>
          <w:szCs w:val="24"/>
          <w:lang w:val="en"/>
        </w:rPr>
        <w:t>. In addition to that</w:t>
      </w:r>
      <w:r w:rsidR="003F4220">
        <w:rPr>
          <w:rFonts w:ascii="Times New Roman" w:eastAsia="Times New Roman" w:hAnsi="Times New Roman" w:cs="Times New Roman"/>
          <w:color w:val="000000" w:themeColor="text1"/>
          <w:sz w:val="24"/>
          <w:szCs w:val="24"/>
          <w:lang w:val="en"/>
        </w:rPr>
        <w:t>,</w:t>
      </w:r>
      <w:r w:rsidRPr="1D0A6485">
        <w:rPr>
          <w:rFonts w:ascii="Times New Roman" w:eastAsia="Times New Roman" w:hAnsi="Times New Roman" w:cs="Times New Roman"/>
          <w:color w:val="000000" w:themeColor="text1"/>
          <w:sz w:val="24"/>
          <w:szCs w:val="24"/>
          <w:lang w:val="en"/>
        </w:rPr>
        <w:t xml:space="preserve"> study on poor society and remote </w:t>
      </w:r>
      <w:r w:rsidR="003F4220">
        <w:rPr>
          <w:rFonts w:ascii="Times New Roman" w:eastAsia="Times New Roman" w:hAnsi="Times New Roman" w:cs="Times New Roman"/>
          <w:color w:val="000000" w:themeColor="text1"/>
          <w:sz w:val="24"/>
          <w:szCs w:val="24"/>
          <w:lang w:val="en"/>
        </w:rPr>
        <w:t>areas</w:t>
      </w:r>
      <w:r w:rsidRPr="1D0A6485">
        <w:rPr>
          <w:rFonts w:ascii="Times New Roman" w:eastAsia="Times New Roman" w:hAnsi="Times New Roman" w:cs="Times New Roman"/>
          <w:color w:val="000000" w:themeColor="text1"/>
          <w:sz w:val="24"/>
          <w:szCs w:val="24"/>
          <w:lang w:val="en"/>
        </w:rPr>
        <w:t xml:space="preserve"> would </w:t>
      </w:r>
      <w:r w:rsidR="003F4220">
        <w:rPr>
          <w:rFonts w:ascii="Times New Roman" w:eastAsia="Times New Roman" w:hAnsi="Times New Roman" w:cs="Times New Roman"/>
          <w:color w:val="000000" w:themeColor="text1"/>
          <w:sz w:val="24"/>
          <w:szCs w:val="24"/>
          <w:lang w:val="en"/>
        </w:rPr>
        <w:t>help</w:t>
      </w:r>
      <w:r w:rsidRPr="1D0A6485">
        <w:rPr>
          <w:rFonts w:ascii="Times New Roman" w:eastAsia="Times New Roman" w:hAnsi="Times New Roman" w:cs="Times New Roman"/>
          <w:color w:val="000000" w:themeColor="text1"/>
          <w:sz w:val="24"/>
          <w:szCs w:val="24"/>
          <w:lang w:val="en"/>
        </w:rPr>
        <w:t xml:space="preserve"> develop a unique national policy. We will collect further data about online classes in the future and compare it to what students said and the learning analytics gathered from the system. It would also be crucial to look into how undergraduate students reacted to online versus postgraduate students. We assumed that various students look at online classes in different ways. Understanding how individuals and groups used these tools will help educators tailor learning support to their specific needs.</w:t>
      </w:r>
      <w:r w:rsidR="003416CA" w:rsidRPr="1D0A6485">
        <w:rPr>
          <w:rFonts w:ascii="Times New Roman" w:eastAsia="Times New Roman" w:hAnsi="Times New Roman" w:cs="Times New Roman"/>
          <w:color w:val="000000" w:themeColor="text1"/>
          <w:sz w:val="24"/>
          <w:szCs w:val="24"/>
          <w:lang w:val="en"/>
        </w:rPr>
        <w:br w:type="page"/>
      </w:r>
    </w:p>
    <w:p w14:paraId="4376B08A" w14:textId="2173077F" w:rsidR="003416CA" w:rsidRDefault="1D0A6485" w:rsidP="007D3437">
      <w:pPr>
        <w:spacing w:line="240" w:lineRule="auto"/>
        <w:contextualSpacing/>
        <w:jc w:val="both"/>
        <w:rPr>
          <w:rFonts w:ascii="Times New Roman" w:eastAsia="Times New Roman" w:hAnsi="Times New Roman" w:cs="Times New Roman"/>
          <w:b/>
          <w:bCs/>
          <w:color w:val="000000" w:themeColor="text1"/>
          <w:sz w:val="24"/>
          <w:szCs w:val="24"/>
          <w:lang w:val="en"/>
        </w:rPr>
      </w:pPr>
      <w:r w:rsidRPr="1D0A6485">
        <w:rPr>
          <w:rFonts w:ascii="Times New Roman" w:eastAsia="Times New Roman" w:hAnsi="Times New Roman" w:cs="Times New Roman"/>
          <w:b/>
          <w:bCs/>
          <w:color w:val="000000" w:themeColor="text1"/>
          <w:sz w:val="24"/>
          <w:szCs w:val="24"/>
          <w:lang w:val="en"/>
        </w:rPr>
        <w:lastRenderedPageBreak/>
        <w:t xml:space="preserve">References </w:t>
      </w:r>
    </w:p>
    <w:p w14:paraId="54F35034" w14:textId="1558B628" w:rsidR="000A27CD" w:rsidRDefault="000A27CD" w:rsidP="007D3437">
      <w:pPr>
        <w:spacing w:line="240" w:lineRule="auto"/>
        <w:contextualSpacing/>
        <w:jc w:val="both"/>
        <w:rPr>
          <w:rFonts w:ascii="Times New Roman" w:eastAsia="Times New Roman" w:hAnsi="Times New Roman" w:cs="Times New Roman"/>
          <w:b/>
          <w:bCs/>
          <w:color w:val="000000" w:themeColor="text1"/>
          <w:sz w:val="24"/>
          <w:szCs w:val="24"/>
          <w:lang w:val="en"/>
        </w:rPr>
      </w:pPr>
    </w:p>
    <w:p w14:paraId="18812BAD" w14:textId="77777777" w:rsidR="00143D69" w:rsidRPr="00143D69" w:rsidRDefault="000A27CD" w:rsidP="00143D69">
      <w:pPr>
        <w:pStyle w:val="Bibliography"/>
        <w:rPr>
          <w:rFonts w:ascii="Times New Roman" w:hAnsi="Times New Roman" w:cs="Times New Roman"/>
          <w:color w:val="000000"/>
          <w:sz w:val="24"/>
          <w:lang w:val="en-GB"/>
        </w:rPr>
      </w:pPr>
      <w:r w:rsidRPr="1D0A6485">
        <w:rPr>
          <w:rFonts w:eastAsia="Times New Roman" w:cs="Times New Roman"/>
          <w:b/>
          <w:bCs/>
          <w:color w:val="000000" w:themeColor="text1"/>
          <w:sz w:val="24"/>
          <w:lang w:val="en"/>
        </w:rPr>
        <w:fldChar w:fldCharType="begin"/>
      </w:r>
      <w:r w:rsidRPr="1D0A6485">
        <w:rPr>
          <w:rFonts w:eastAsia="Times New Roman" w:cs="Times New Roman"/>
          <w:b/>
          <w:bCs/>
          <w:color w:val="000000" w:themeColor="text1"/>
          <w:sz w:val="24"/>
          <w:lang w:val="en"/>
        </w:rPr>
        <w:instrText xml:space="preserve"> ADDIN ZOTERO_BIBL {"uncited":[],"omitted":[],"custom":[]} CSL_BIBLIOGRAPHY </w:instrText>
      </w:r>
      <w:r w:rsidRPr="1D0A6485">
        <w:rPr>
          <w:rFonts w:eastAsia="Times New Roman" w:cs="Times New Roman"/>
          <w:b/>
          <w:bCs/>
          <w:color w:val="000000" w:themeColor="text1"/>
          <w:sz w:val="24"/>
          <w:lang w:val="en"/>
        </w:rPr>
        <w:fldChar w:fldCharType="separate"/>
      </w:r>
      <w:r w:rsidR="00143D69" w:rsidRPr="00143D69">
        <w:rPr>
          <w:rFonts w:ascii="Times New Roman" w:hAnsi="Times New Roman" w:cs="Times New Roman"/>
          <w:color w:val="000000"/>
          <w:sz w:val="24"/>
          <w:lang w:val="en-GB"/>
        </w:rPr>
        <w:t xml:space="preserve">Chatterjee, A., &amp; Perrizo, W. (2016). Investor classification and sentiment analysis. </w:t>
      </w:r>
      <w:r w:rsidR="00143D69" w:rsidRPr="00143D69">
        <w:rPr>
          <w:rFonts w:ascii="Times New Roman" w:hAnsi="Times New Roman" w:cs="Times New Roman"/>
          <w:i/>
          <w:iCs/>
          <w:color w:val="000000"/>
          <w:sz w:val="24"/>
          <w:lang w:val="en-GB"/>
        </w:rPr>
        <w:t>2016 IEEE/ACM International Conference on Advances in Social Networks Analysis and Mining (ASONAM)</w:t>
      </w:r>
      <w:r w:rsidR="00143D69" w:rsidRPr="00143D69">
        <w:rPr>
          <w:rFonts w:ascii="Times New Roman" w:hAnsi="Times New Roman" w:cs="Times New Roman"/>
          <w:color w:val="000000"/>
          <w:sz w:val="24"/>
          <w:lang w:val="en-GB"/>
        </w:rPr>
        <w:t>, 1177–1180. https://doi.org/10.1109/ASONAM.2016.7752388</w:t>
      </w:r>
    </w:p>
    <w:p w14:paraId="2E754120" w14:textId="77777777" w:rsidR="00143D69" w:rsidRPr="00143D69" w:rsidRDefault="00143D69" w:rsidP="00143D69">
      <w:pPr>
        <w:pStyle w:val="Bibliography"/>
        <w:rPr>
          <w:rFonts w:ascii="Times New Roman" w:hAnsi="Times New Roman" w:cs="Times New Roman"/>
          <w:color w:val="000000"/>
          <w:sz w:val="24"/>
          <w:lang w:val="en-GB"/>
        </w:rPr>
      </w:pPr>
      <w:r w:rsidRPr="00143D69">
        <w:rPr>
          <w:rFonts w:ascii="Times New Roman" w:hAnsi="Times New Roman" w:cs="Times New Roman"/>
          <w:color w:val="000000"/>
          <w:sz w:val="24"/>
          <w:lang w:val="en-GB"/>
        </w:rPr>
        <w:t xml:space="preserve">Dixson, M. D. (n.d.). Creating effective student engagement in online courses: What do students find engaging? </w:t>
      </w:r>
      <w:r w:rsidRPr="00143D69">
        <w:rPr>
          <w:rFonts w:ascii="Times New Roman" w:hAnsi="Times New Roman" w:cs="Times New Roman"/>
          <w:i/>
          <w:iCs/>
          <w:color w:val="000000"/>
          <w:sz w:val="24"/>
          <w:lang w:val="en-GB"/>
        </w:rPr>
        <w:t>M. D.</w:t>
      </w:r>
      <w:r w:rsidRPr="00143D69">
        <w:rPr>
          <w:rFonts w:ascii="Times New Roman" w:hAnsi="Times New Roman" w:cs="Times New Roman"/>
          <w:color w:val="000000"/>
          <w:sz w:val="24"/>
          <w:lang w:val="en-GB"/>
        </w:rPr>
        <w:t xml:space="preserve">, </w:t>
      </w:r>
      <w:r w:rsidRPr="00143D69">
        <w:rPr>
          <w:rFonts w:ascii="Times New Roman" w:hAnsi="Times New Roman" w:cs="Times New Roman"/>
          <w:i/>
          <w:iCs/>
          <w:color w:val="000000"/>
          <w:sz w:val="24"/>
          <w:lang w:val="en-GB"/>
        </w:rPr>
        <w:t>10</w:t>
      </w:r>
      <w:r w:rsidRPr="00143D69">
        <w:rPr>
          <w:rFonts w:ascii="Times New Roman" w:hAnsi="Times New Roman" w:cs="Times New Roman"/>
          <w:color w:val="000000"/>
          <w:sz w:val="24"/>
          <w:lang w:val="en-GB"/>
        </w:rPr>
        <w:t>(2), 13.</w:t>
      </w:r>
    </w:p>
    <w:p w14:paraId="635021B8" w14:textId="52074983" w:rsidR="00143D69" w:rsidRPr="00143D69" w:rsidRDefault="00143D69" w:rsidP="00143D69">
      <w:pPr>
        <w:pStyle w:val="Bibliography"/>
        <w:rPr>
          <w:rFonts w:ascii="Times New Roman" w:hAnsi="Times New Roman" w:cs="Times New Roman"/>
          <w:color w:val="000000"/>
          <w:sz w:val="24"/>
          <w:lang w:val="en-GB"/>
        </w:rPr>
      </w:pPr>
      <w:r w:rsidRPr="00143D69">
        <w:rPr>
          <w:rFonts w:ascii="Times New Roman" w:hAnsi="Times New Roman" w:cs="Times New Roman"/>
          <w:color w:val="000000"/>
          <w:sz w:val="24"/>
          <w:lang w:val="en-GB"/>
        </w:rPr>
        <w:t xml:space="preserve">Ebbert, D., &amp; Dutke, S. (2020). Patterns in </w:t>
      </w:r>
      <w:r>
        <w:rPr>
          <w:rFonts w:ascii="Times New Roman" w:hAnsi="Times New Roman" w:cs="Times New Roman"/>
          <w:color w:val="000000"/>
          <w:sz w:val="24"/>
          <w:lang w:val="en-GB"/>
        </w:rPr>
        <w:t>Students'</w:t>
      </w:r>
      <w:r w:rsidRPr="00143D69">
        <w:rPr>
          <w:rFonts w:ascii="Times New Roman" w:hAnsi="Times New Roman" w:cs="Times New Roman"/>
          <w:color w:val="000000"/>
          <w:sz w:val="24"/>
          <w:lang w:val="en-GB"/>
        </w:rPr>
        <w:t xml:space="preserve"> Usage of Lecture Recordings: A Cluster Analysis of Self-Report Data. </w:t>
      </w:r>
      <w:r w:rsidRPr="00143D69">
        <w:rPr>
          <w:rFonts w:ascii="Times New Roman" w:hAnsi="Times New Roman" w:cs="Times New Roman"/>
          <w:i/>
          <w:iCs/>
          <w:color w:val="000000"/>
          <w:sz w:val="24"/>
          <w:lang w:val="en-GB"/>
        </w:rPr>
        <w:t>Research in Learning Technology</w:t>
      </w:r>
      <w:r w:rsidRPr="00143D69">
        <w:rPr>
          <w:rFonts w:ascii="Times New Roman" w:hAnsi="Times New Roman" w:cs="Times New Roman"/>
          <w:color w:val="000000"/>
          <w:sz w:val="24"/>
          <w:lang w:val="en-GB"/>
        </w:rPr>
        <w:t xml:space="preserve">, </w:t>
      </w:r>
      <w:r w:rsidRPr="00143D69">
        <w:rPr>
          <w:rFonts w:ascii="Times New Roman" w:hAnsi="Times New Roman" w:cs="Times New Roman"/>
          <w:i/>
          <w:iCs/>
          <w:color w:val="000000"/>
          <w:sz w:val="24"/>
          <w:lang w:val="en-GB"/>
        </w:rPr>
        <w:t>28</w:t>
      </w:r>
      <w:r w:rsidRPr="00143D69">
        <w:rPr>
          <w:rFonts w:ascii="Times New Roman" w:hAnsi="Times New Roman" w:cs="Times New Roman"/>
          <w:color w:val="000000"/>
          <w:sz w:val="24"/>
          <w:lang w:val="en-GB"/>
        </w:rPr>
        <w:t>. https://doi.org/10.25304/rlt.v28.2258</w:t>
      </w:r>
    </w:p>
    <w:p w14:paraId="142A796C" w14:textId="77777777" w:rsidR="00143D69" w:rsidRPr="00143D69" w:rsidRDefault="00143D69" w:rsidP="00143D69">
      <w:pPr>
        <w:pStyle w:val="Bibliography"/>
        <w:rPr>
          <w:rFonts w:ascii="Times New Roman" w:hAnsi="Times New Roman" w:cs="Times New Roman"/>
          <w:color w:val="000000"/>
          <w:sz w:val="24"/>
          <w:lang w:val="en-GB"/>
        </w:rPr>
      </w:pPr>
      <w:r w:rsidRPr="00143D69">
        <w:rPr>
          <w:rFonts w:ascii="Times New Roman" w:hAnsi="Times New Roman" w:cs="Times New Roman"/>
          <w:color w:val="000000"/>
          <w:sz w:val="24"/>
          <w:lang w:val="en-GB"/>
        </w:rPr>
        <w:t xml:space="preserve">Edwards, M. R., &amp; Clinton, M. E. (2019). A study exploring the impact of lecture capture availability and lecture capture usage on student attendance and attainment. </w:t>
      </w:r>
      <w:r w:rsidRPr="00143D69">
        <w:rPr>
          <w:rFonts w:ascii="Times New Roman" w:hAnsi="Times New Roman" w:cs="Times New Roman"/>
          <w:i/>
          <w:iCs/>
          <w:color w:val="000000"/>
          <w:sz w:val="24"/>
          <w:lang w:val="en-GB"/>
        </w:rPr>
        <w:t>Higher Education</w:t>
      </w:r>
      <w:r w:rsidRPr="00143D69">
        <w:rPr>
          <w:rFonts w:ascii="Times New Roman" w:hAnsi="Times New Roman" w:cs="Times New Roman"/>
          <w:color w:val="000000"/>
          <w:sz w:val="24"/>
          <w:lang w:val="en-GB"/>
        </w:rPr>
        <w:t xml:space="preserve">, </w:t>
      </w:r>
      <w:r w:rsidRPr="00143D69">
        <w:rPr>
          <w:rFonts w:ascii="Times New Roman" w:hAnsi="Times New Roman" w:cs="Times New Roman"/>
          <w:i/>
          <w:iCs/>
          <w:color w:val="000000"/>
          <w:sz w:val="24"/>
          <w:lang w:val="en-GB"/>
        </w:rPr>
        <w:t>77</w:t>
      </w:r>
      <w:r w:rsidRPr="00143D69">
        <w:rPr>
          <w:rFonts w:ascii="Times New Roman" w:hAnsi="Times New Roman" w:cs="Times New Roman"/>
          <w:color w:val="000000"/>
          <w:sz w:val="24"/>
          <w:lang w:val="en-GB"/>
        </w:rPr>
        <w:t>(3), 403–421. https://doi.org/10.1007/s10734-018-0275-9</w:t>
      </w:r>
    </w:p>
    <w:p w14:paraId="3C80D517" w14:textId="77777777" w:rsidR="00143D69" w:rsidRPr="00143D69" w:rsidRDefault="00143D69" w:rsidP="00143D69">
      <w:pPr>
        <w:pStyle w:val="Bibliography"/>
        <w:rPr>
          <w:rFonts w:ascii="Times New Roman" w:hAnsi="Times New Roman" w:cs="Times New Roman"/>
          <w:color w:val="000000"/>
          <w:sz w:val="24"/>
          <w:lang w:val="en-GB"/>
        </w:rPr>
      </w:pPr>
      <w:r w:rsidRPr="00143D69">
        <w:rPr>
          <w:rFonts w:ascii="Times New Roman" w:hAnsi="Times New Roman" w:cs="Times New Roman"/>
          <w:color w:val="000000"/>
          <w:sz w:val="24"/>
          <w:lang w:val="en-GB"/>
        </w:rPr>
        <w:t xml:space="preserve">Floyd, K. S., Harrington, S. J., &amp; Santiago, J. (n.d.). </w:t>
      </w:r>
      <w:r w:rsidRPr="00143D69">
        <w:rPr>
          <w:rFonts w:ascii="Times New Roman" w:hAnsi="Times New Roman" w:cs="Times New Roman"/>
          <w:i/>
          <w:iCs/>
          <w:color w:val="000000"/>
          <w:sz w:val="24"/>
          <w:lang w:val="en-GB"/>
        </w:rPr>
        <w:t>Editor: T. Grandon Gill The Effect of Engagement and Perceived Course Value on Deep and Surface Learning Strategies</w:t>
      </w:r>
      <w:r w:rsidRPr="00143D69">
        <w:rPr>
          <w:rFonts w:ascii="Times New Roman" w:hAnsi="Times New Roman" w:cs="Times New Roman"/>
          <w:color w:val="000000"/>
          <w:sz w:val="24"/>
          <w:lang w:val="en-GB"/>
        </w:rPr>
        <w:t>.</w:t>
      </w:r>
    </w:p>
    <w:p w14:paraId="357B9751" w14:textId="77777777" w:rsidR="00143D69" w:rsidRPr="00143D69" w:rsidRDefault="00143D69" w:rsidP="00143D69">
      <w:pPr>
        <w:pStyle w:val="Bibliography"/>
        <w:rPr>
          <w:rFonts w:ascii="Times New Roman" w:hAnsi="Times New Roman" w:cs="Times New Roman"/>
          <w:color w:val="000000"/>
          <w:sz w:val="24"/>
          <w:lang w:val="en-GB"/>
        </w:rPr>
      </w:pPr>
      <w:r w:rsidRPr="00143D69">
        <w:rPr>
          <w:rFonts w:ascii="Times New Roman" w:hAnsi="Times New Roman" w:cs="Times New Roman"/>
          <w:color w:val="000000"/>
          <w:sz w:val="24"/>
          <w:lang w:val="en-GB"/>
        </w:rPr>
        <w:t xml:space="preserve">Harper, S. R. (2009). Race-Conscious Student Engagement Practices and the Equitable Distribution of Enriching Educational Experiences. </w:t>
      </w:r>
      <w:r w:rsidRPr="00143D69">
        <w:rPr>
          <w:rFonts w:ascii="Times New Roman" w:hAnsi="Times New Roman" w:cs="Times New Roman"/>
          <w:i/>
          <w:iCs/>
          <w:color w:val="000000"/>
          <w:sz w:val="24"/>
          <w:lang w:val="en-GB"/>
        </w:rPr>
        <w:t>Liberal Education</w:t>
      </w:r>
      <w:r w:rsidRPr="00143D69">
        <w:rPr>
          <w:rFonts w:ascii="Times New Roman" w:hAnsi="Times New Roman" w:cs="Times New Roman"/>
          <w:color w:val="000000"/>
          <w:sz w:val="24"/>
          <w:lang w:val="en-GB"/>
        </w:rPr>
        <w:t xml:space="preserve">, </w:t>
      </w:r>
      <w:r w:rsidRPr="00143D69">
        <w:rPr>
          <w:rFonts w:ascii="Times New Roman" w:hAnsi="Times New Roman" w:cs="Times New Roman"/>
          <w:i/>
          <w:iCs/>
          <w:color w:val="000000"/>
          <w:sz w:val="24"/>
          <w:lang w:val="en-GB"/>
        </w:rPr>
        <w:t>95</w:t>
      </w:r>
      <w:r w:rsidRPr="00143D69">
        <w:rPr>
          <w:rFonts w:ascii="Times New Roman" w:hAnsi="Times New Roman" w:cs="Times New Roman"/>
          <w:color w:val="000000"/>
          <w:sz w:val="24"/>
          <w:lang w:val="en-GB"/>
        </w:rPr>
        <w:t>(4), 38–45.</w:t>
      </w:r>
    </w:p>
    <w:p w14:paraId="6168CE99" w14:textId="77777777" w:rsidR="00143D69" w:rsidRPr="00143D69" w:rsidRDefault="00143D69" w:rsidP="00143D69">
      <w:pPr>
        <w:pStyle w:val="Bibliography"/>
        <w:rPr>
          <w:rFonts w:ascii="Times New Roman" w:hAnsi="Times New Roman" w:cs="Times New Roman"/>
          <w:color w:val="000000"/>
          <w:sz w:val="24"/>
          <w:lang w:val="en-GB"/>
        </w:rPr>
      </w:pPr>
      <w:r w:rsidRPr="00143D69">
        <w:rPr>
          <w:rFonts w:ascii="Times New Roman" w:hAnsi="Times New Roman" w:cs="Times New Roman"/>
          <w:color w:val="000000"/>
          <w:sz w:val="24"/>
          <w:lang w:val="en-GB"/>
        </w:rPr>
        <w:t xml:space="preserve">Joseph-Richard, P., Jessop, T., Okafor, G., Almpanis, T., &amp; Price, D. (2018). Big brother or harbinger of best practice: Can lecture capture actually improve teaching? </w:t>
      </w:r>
      <w:r w:rsidRPr="00143D69">
        <w:rPr>
          <w:rFonts w:ascii="Times New Roman" w:hAnsi="Times New Roman" w:cs="Times New Roman"/>
          <w:i/>
          <w:iCs/>
          <w:color w:val="000000"/>
          <w:sz w:val="24"/>
          <w:lang w:val="en-GB"/>
        </w:rPr>
        <w:t>British Educational Research Journal</w:t>
      </w:r>
      <w:r w:rsidRPr="00143D69">
        <w:rPr>
          <w:rFonts w:ascii="Times New Roman" w:hAnsi="Times New Roman" w:cs="Times New Roman"/>
          <w:color w:val="000000"/>
          <w:sz w:val="24"/>
          <w:lang w:val="en-GB"/>
        </w:rPr>
        <w:t xml:space="preserve">, </w:t>
      </w:r>
      <w:r w:rsidRPr="00143D69">
        <w:rPr>
          <w:rFonts w:ascii="Times New Roman" w:hAnsi="Times New Roman" w:cs="Times New Roman"/>
          <w:i/>
          <w:iCs/>
          <w:color w:val="000000"/>
          <w:sz w:val="24"/>
          <w:lang w:val="en-GB"/>
        </w:rPr>
        <w:t>44</w:t>
      </w:r>
      <w:r w:rsidRPr="00143D69">
        <w:rPr>
          <w:rFonts w:ascii="Times New Roman" w:hAnsi="Times New Roman" w:cs="Times New Roman"/>
          <w:color w:val="000000"/>
          <w:sz w:val="24"/>
          <w:lang w:val="en-GB"/>
        </w:rPr>
        <w:t>(3), 377–392. https://doi.org/10.1002/berj.3336</w:t>
      </w:r>
    </w:p>
    <w:p w14:paraId="0CCAAB10" w14:textId="77777777" w:rsidR="00143D69" w:rsidRPr="00143D69" w:rsidRDefault="00143D69" w:rsidP="00143D69">
      <w:pPr>
        <w:pStyle w:val="Bibliography"/>
        <w:rPr>
          <w:rFonts w:ascii="Times New Roman" w:hAnsi="Times New Roman" w:cs="Times New Roman"/>
          <w:color w:val="000000"/>
          <w:sz w:val="24"/>
          <w:lang w:val="en-GB"/>
        </w:rPr>
      </w:pPr>
      <w:r w:rsidRPr="00143D69">
        <w:rPr>
          <w:rFonts w:ascii="Times New Roman" w:hAnsi="Times New Roman" w:cs="Times New Roman"/>
          <w:color w:val="000000"/>
          <w:sz w:val="24"/>
          <w:lang w:val="en-GB"/>
        </w:rPr>
        <w:t xml:space="preserve">Kuh, G. D. (2009). What Student Affairs Professionals Need to Know About Student Engagement. </w:t>
      </w:r>
      <w:r w:rsidRPr="00143D69">
        <w:rPr>
          <w:rFonts w:ascii="Times New Roman" w:hAnsi="Times New Roman" w:cs="Times New Roman"/>
          <w:i/>
          <w:iCs/>
          <w:color w:val="000000"/>
          <w:sz w:val="24"/>
          <w:lang w:val="en-GB"/>
        </w:rPr>
        <w:t>Journal of College Student Development</w:t>
      </w:r>
      <w:r w:rsidRPr="00143D69">
        <w:rPr>
          <w:rFonts w:ascii="Times New Roman" w:hAnsi="Times New Roman" w:cs="Times New Roman"/>
          <w:color w:val="000000"/>
          <w:sz w:val="24"/>
          <w:lang w:val="en-GB"/>
        </w:rPr>
        <w:t xml:space="preserve">, </w:t>
      </w:r>
      <w:r w:rsidRPr="00143D69">
        <w:rPr>
          <w:rFonts w:ascii="Times New Roman" w:hAnsi="Times New Roman" w:cs="Times New Roman"/>
          <w:i/>
          <w:iCs/>
          <w:color w:val="000000"/>
          <w:sz w:val="24"/>
          <w:lang w:val="en-GB"/>
        </w:rPr>
        <w:t>50</w:t>
      </w:r>
      <w:r w:rsidRPr="00143D69">
        <w:rPr>
          <w:rFonts w:ascii="Times New Roman" w:hAnsi="Times New Roman" w:cs="Times New Roman"/>
          <w:color w:val="000000"/>
          <w:sz w:val="24"/>
          <w:lang w:val="en-GB"/>
        </w:rPr>
        <w:t>(6), 683–706. https://doi.org/10.1353/csd.0.0099</w:t>
      </w:r>
    </w:p>
    <w:p w14:paraId="5611325E" w14:textId="77777777" w:rsidR="00143D69" w:rsidRPr="00143D69" w:rsidRDefault="00143D69" w:rsidP="00143D69">
      <w:pPr>
        <w:pStyle w:val="Bibliography"/>
        <w:rPr>
          <w:rFonts w:ascii="Times New Roman" w:hAnsi="Times New Roman" w:cs="Times New Roman"/>
          <w:color w:val="000000"/>
          <w:sz w:val="24"/>
          <w:lang w:val="en-GB"/>
        </w:rPr>
      </w:pPr>
      <w:r w:rsidRPr="00143D69">
        <w:rPr>
          <w:rFonts w:ascii="Times New Roman" w:hAnsi="Times New Roman" w:cs="Times New Roman"/>
          <w:color w:val="000000"/>
          <w:sz w:val="24"/>
          <w:lang w:val="en-GB"/>
        </w:rPr>
        <w:lastRenderedPageBreak/>
        <w:t xml:space="preserve">Lundberg, I. E., Tjärnlund, A., Bottai, M., Werth, V. P., Pilkington, C., Visser, M. de, Alfredsson, L., Amato, A. A., Barohn, R. J., Liang, M. H., Singh, J. A., Aggarwal, R., Arnardottir, S., Chinoy, H., Cooper, R. G., Dankó, K., Dimachkie, M. M., Feldman, B. M., Torre, I. G.-D. L., … Rider, L. G. (2017). 2017 European League Against Rheumatism/American College of Rheumatology Classification Criteria for Adult and Juvenile Idiopathic Inflammatory Myopathies and Their Major Subgroups. </w:t>
      </w:r>
      <w:r w:rsidRPr="00143D69">
        <w:rPr>
          <w:rFonts w:ascii="Times New Roman" w:hAnsi="Times New Roman" w:cs="Times New Roman"/>
          <w:i/>
          <w:iCs/>
          <w:color w:val="000000"/>
          <w:sz w:val="24"/>
          <w:lang w:val="en-GB"/>
        </w:rPr>
        <w:t>Arthritis &amp; Rheumatology</w:t>
      </w:r>
      <w:r w:rsidRPr="00143D69">
        <w:rPr>
          <w:rFonts w:ascii="Times New Roman" w:hAnsi="Times New Roman" w:cs="Times New Roman"/>
          <w:color w:val="000000"/>
          <w:sz w:val="24"/>
          <w:lang w:val="en-GB"/>
        </w:rPr>
        <w:t xml:space="preserve">, </w:t>
      </w:r>
      <w:r w:rsidRPr="00143D69">
        <w:rPr>
          <w:rFonts w:ascii="Times New Roman" w:hAnsi="Times New Roman" w:cs="Times New Roman"/>
          <w:i/>
          <w:iCs/>
          <w:color w:val="000000"/>
          <w:sz w:val="24"/>
          <w:lang w:val="en-GB"/>
        </w:rPr>
        <w:t>69</w:t>
      </w:r>
      <w:r w:rsidRPr="00143D69">
        <w:rPr>
          <w:rFonts w:ascii="Times New Roman" w:hAnsi="Times New Roman" w:cs="Times New Roman"/>
          <w:color w:val="000000"/>
          <w:sz w:val="24"/>
          <w:lang w:val="en-GB"/>
        </w:rPr>
        <w:t>(12), 2271–2282. https://doi.org/10.1002/art.40320</w:t>
      </w:r>
    </w:p>
    <w:p w14:paraId="6CC62AC5" w14:textId="77777777" w:rsidR="00143D69" w:rsidRPr="00143D69" w:rsidRDefault="00143D69" w:rsidP="00143D69">
      <w:pPr>
        <w:pStyle w:val="Bibliography"/>
        <w:rPr>
          <w:rFonts w:ascii="Times New Roman" w:hAnsi="Times New Roman" w:cs="Times New Roman"/>
          <w:color w:val="000000"/>
          <w:sz w:val="24"/>
          <w:lang w:val="en-GB"/>
        </w:rPr>
      </w:pPr>
      <w:r w:rsidRPr="00143D69">
        <w:rPr>
          <w:rFonts w:ascii="Times New Roman" w:hAnsi="Times New Roman" w:cs="Times New Roman"/>
          <w:color w:val="000000"/>
          <w:sz w:val="24"/>
          <w:lang w:val="en-GB"/>
        </w:rPr>
        <w:t xml:space="preserve">Nkomo, L. M., &amp; Daniel, B. K. (2021a). Sentiment Analysis of Student Engagement with Lecture Recording. </w:t>
      </w:r>
      <w:r w:rsidRPr="00143D69">
        <w:rPr>
          <w:rFonts w:ascii="Times New Roman" w:hAnsi="Times New Roman" w:cs="Times New Roman"/>
          <w:i/>
          <w:iCs/>
          <w:color w:val="000000"/>
          <w:sz w:val="24"/>
          <w:lang w:val="en-GB"/>
        </w:rPr>
        <w:t>TechTrends</w:t>
      </w:r>
      <w:r w:rsidRPr="00143D69">
        <w:rPr>
          <w:rFonts w:ascii="Times New Roman" w:hAnsi="Times New Roman" w:cs="Times New Roman"/>
          <w:color w:val="000000"/>
          <w:sz w:val="24"/>
          <w:lang w:val="en-GB"/>
        </w:rPr>
        <w:t xml:space="preserve">, </w:t>
      </w:r>
      <w:r w:rsidRPr="00143D69">
        <w:rPr>
          <w:rFonts w:ascii="Times New Roman" w:hAnsi="Times New Roman" w:cs="Times New Roman"/>
          <w:i/>
          <w:iCs/>
          <w:color w:val="000000"/>
          <w:sz w:val="24"/>
          <w:lang w:val="en-GB"/>
        </w:rPr>
        <w:t>65</w:t>
      </w:r>
      <w:r w:rsidRPr="00143D69">
        <w:rPr>
          <w:rFonts w:ascii="Times New Roman" w:hAnsi="Times New Roman" w:cs="Times New Roman"/>
          <w:color w:val="000000"/>
          <w:sz w:val="24"/>
          <w:lang w:val="en-GB"/>
        </w:rPr>
        <w:t>(2), 213–224. https://doi.org/10.1007/s11528-020-00563-8</w:t>
      </w:r>
    </w:p>
    <w:p w14:paraId="0963B39E" w14:textId="77777777" w:rsidR="00143D69" w:rsidRPr="00143D69" w:rsidRDefault="00143D69" w:rsidP="00143D69">
      <w:pPr>
        <w:pStyle w:val="Bibliography"/>
        <w:rPr>
          <w:rFonts w:ascii="Times New Roman" w:hAnsi="Times New Roman" w:cs="Times New Roman"/>
          <w:color w:val="000000"/>
          <w:sz w:val="24"/>
          <w:lang w:val="en-GB"/>
        </w:rPr>
      </w:pPr>
      <w:r w:rsidRPr="00143D69">
        <w:rPr>
          <w:rFonts w:ascii="Times New Roman" w:hAnsi="Times New Roman" w:cs="Times New Roman"/>
          <w:color w:val="000000"/>
          <w:sz w:val="24"/>
          <w:lang w:val="en-GB"/>
        </w:rPr>
        <w:t xml:space="preserve">Nkomo, L. M., &amp; Daniel, B. K. (2021b). Sentiment Analysis of Student Engagement with Lecture Recording. </w:t>
      </w:r>
      <w:r w:rsidRPr="00143D69">
        <w:rPr>
          <w:rFonts w:ascii="Times New Roman" w:hAnsi="Times New Roman" w:cs="Times New Roman"/>
          <w:i/>
          <w:iCs/>
          <w:color w:val="000000"/>
          <w:sz w:val="24"/>
          <w:lang w:val="en-GB"/>
        </w:rPr>
        <w:t>TechTrends</w:t>
      </w:r>
      <w:r w:rsidRPr="00143D69">
        <w:rPr>
          <w:rFonts w:ascii="Times New Roman" w:hAnsi="Times New Roman" w:cs="Times New Roman"/>
          <w:color w:val="000000"/>
          <w:sz w:val="24"/>
          <w:lang w:val="en-GB"/>
        </w:rPr>
        <w:t xml:space="preserve">, </w:t>
      </w:r>
      <w:r w:rsidRPr="00143D69">
        <w:rPr>
          <w:rFonts w:ascii="Times New Roman" w:hAnsi="Times New Roman" w:cs="Times New Roman"/>
          <w:i/>
          <w:iCs/>
          <w:color w:val="000000"/>
          <w:sz w:val="24"/>
          <w:lang w:val="en-GB"/>
        </w:rPr>
        <w:t>65</w:t>
      </w:r>
      <w:r w:rsidRPr="00143D69">
        <w:rPr>
          <w:rFonts w:ascii="Times New Roman" w:hAnsi="Times New Roman" w:cs="Times New Roman"/>
          <w:color w:val="000000"/>
          <w:sz w:val="24"/>
          <w:lang w:val="en-GB"/>
        </w:rPr>
        <w:t>(2), 213–224. https://doi.org/10.1007/s11528-020-00563-8</w:t>
      </w:r>
    </w:p>
    <w:p w14:paraId="50EE652D" w14:textId="77777777" w:rsidR="00143D69" w:rsidRPr="00143D69" w:rsidRDefault="00143D69" w:rsidP="00143D69">
      <w:pPr>
        <w:pStyle w:val="Bibliography"/>
        <w:rPr>
          <w:rFonts w:ascii="Times New Roman" w:hAnsi="Times New Roman" w:cs="Times New Roman"/>
          <w:color w:val="000000"/>
          <w:sz w:val="24"/>
          <w:lang w:val="en-GB"/>
        </w:rPr>
      </w:pPr>
      <w:r w:rsidRPr="00143D69">
        <w:rPr>
          <w:rFonts w:ascii="Times New Roman" w:hAnsi="Times New Roman" w:cs="Times New Roman"/>
          <w:color w:val="000000"/>
          <w:sz w:val="24"/>
          <w:lang w:val="en-GB"/>
        </w:rPr>
        <w:t xml:space="preserve">Nkomo, L. M., Daniel, B. K., &amp; Butson, R. J. (2021). Synthesis of student engagement with digital technologies: A systematic review of the literature. </w:t>
      </w:r>
      <w:r w:rsidRPr="00143D69">
        <w:rPr>
          <w:rFonts w:ascii="Times New Roman" w:hAnsi="Times New Roman" w:cs="Times New Roman"/>
          <w:i/>
          <w:iCs/>
          <w:color w:val="000000"/>
          <w:sz w:val="24"/>
          <w:lang w:val="en-GB"/>
        </w:rPr>
        <w:t>International Journal of Educational Technology in Higher Education</w:t>
      </w:r>
      <w:r w:rsidRPr="00143D69">
        <w:rPr>
          <w:rFonts w:ascii="Times New Roman" w:hAnsi="Times New Roman" w:cs="Times New Roman"/>
          <w:color w:val="000000"/>
          <w:sz w:val="24"/>
          <w:lang w:val="en-GB"/>
        </w:rPr>
        <w:t xml:space="preserve">, </w:t>
      </w:r>
      <w:r w:rsidRPr="00143D69">
        <w:rPr>
          <w:rFonts w:ascii="Times New Roman" w:hAnsi="Times New Roman" w:cs="Times New Roman"/>
          <w:i/>
          <w:iCs/>
          <w:color w:val="000000"/>
          <w:sz w:val="24"/>
          <w:lang w:val="en-GB"/>
        </w:rPr>
        <w:t>18</w:t>
      </w:r>
      <w:r w:rsidRPr="00143D69">
        <w:rPr>
          <w:rFonts w:ascii="Times New Roman" w:hAnsi="Times New Roman" w:cs="Times New Roman"/>
          <w:color w:val="000000"/>
          <w:sz w:val="24"/>
          <w:lang w:val="en-GB"/>
        </w:rPr>
        <w:t>(1), 34. https://doi.org/10.1186/s41239-021-00270-1</w:t>
      </w:r>
    </w:p>
    <w:p w14:paraId="64AC52B3" w14:textId="77777777" w:rsidR="00143D69" w:rsidRPr="00143D69" w:rsidRDefault="00143D69" w:rsidP="00143D69">
      <w:pPr>
        <w:pStyle w:val="Bibliography"/>
        <w:rPr>
          <w:rFonts w:ascii="Times New Roman" w:hAnsi="Times New Roman" w:cs="Times New Roman"/>
          <w:color w:val="000000"/>
          <w:sz w:val="24"/>
          <w:lang w:val="en-GB"/>
        </w:rPr>
      </w:pPr>
      <w:r w:rsidRPr="00143D69">
        <w:rPr>
          <w:rFonts w:ascii="Times New Roman" w:hAnsi="Times New Roman" w:cs="Times New Roman"/>
          <w:color w:val="000000"/>
          <w:sz w:val="24"/>
          <w:lang w:val="en-GB"/>
        </w:rPr>
        <w:t xml:space="preserve">St. Clair, B., &amp; Jensen, J. L. (2020). Modulators of Test-Enhanced Learning in Post-Secondary Biology. </w:t>
      </w:r>
      <w:r w:rsidRPr="00143D69">
        <w:rPr>
          <w:rFonts w:ascii="Times New Roman" w:hAnsi="Times New Roman" w:cs="Times New Roman"/>
          <w:i/>
          <w:iCs/>
          <w:color w:val="000000"/>
          <w:sz w:val="24"/>
          <w:lang w:val="en-GB"/>
        </w:rPr>
        <w:t>Bioscene: Journal of College Biology Teaching</w:t>
      </w:r>
      <w:r w:rsidRPr="00143D69">
        <w:rPr>
          <w:rFonts w:ascii="Times New Roman" w:hAnsi="Times New Roman" w:cs="Times New Roman"/>
          <w:color w:val="000000"/>
          <w:sz w:val="24"/>
          <w:lang w:val="en-GB"/>
        </w:rPr>
        <w:t xml:space="preserve">, </w:t>
      </w:r>
      <w:r w:rsidRPr="00143D69">
        <w:rPr>
          <w:rFonts w:ascii="Times New Roman" w:hAnsi="Times New Roman" w:cs="Times New Roman"/>
          <w:i/>
          <w:iCs/>
          <w:color w:val="000000"/>
          <w:sz w:val="24"/>
          <w:lang w:val="en-GB"/>
        </w:rPr>
        <w:t>46</w:t>
      </w:r>
      <w:r w:rsidRPr="00143D69">
        <w:rPr>
          <w:rFonts w:ascii="Times New Roman" w:hAnsi="Times New Roman" w:cs="Times New Roman"/>
          <w:color w:val="000000"/>
          <w:sz w:val="24"/>
          <w:lang w:val="en-GB"/>
        </w:rPr>
        <w:t>(2), 22–29.</w:t>
      </w:r>
    </w:p>
    <w:p w14:paraId="41ED97AF" w14:textId="77777777" w:rsidR="00143D69" w:rsidRPr="00143D69" w:rsidRDefault="00143D69" w:rsidP="00143D69">
      <w:pPr>
        <w:pStyle w:val="Bibliography"/>
        <w:rPr>
          <w:rFonts w:ascii="Times New Roman" w:hAnsi="Times New Roman" w:cs="Times New Roman"/>
          <w:color w:val="000000"/>
          <w:sz w:val="24"/>
          <w:lang w:val="en-GB"/>
        </w:rPr>
      </w:pPr>
      <w:r w:rsidRPr="00143D69">
        <w:rPr>
          <w:rFonts w:ascii="Times New Roman" w:hAnsi="Times New Roman" w:cs="Times New Roman"/>
          <w:color w:val="000000"/>
          <w:sz w:val="24"/>
          <w:lang w:val="en-GB"/>
        </w:rPr>
        <w:t xml:space="preserve">Trowler, V. (n.d.). </w:t>
      </w:r>
      <w:r w:rsidRPr="00143D69">
        <w:rPr>
          <w:rFonts w:ascii="Times New Roman" w:hAnsi="Times New Roman" w:cs="Times New Roman"/>
          <w:i/>
          <w:iCs/>
          <w:color w:val="000000"/>
          <w:sz w:val="24"/>
          <w:lang w:val="en-GB"/>
        </w:rPr>
        <w:t>Student engagement literature review</w:t>
      </w:r>
      <w:r w:rsidRPr="00143D69">
        <w:rPr>
          <w:rFonts w:ascii="Times New Roman" w:hAnsi="Times New Roman" w:cs="Times New Roman"/>
          <w:color w:val="000000"/>
          <w:sz w:val="24"/>
          <w:lang w:val="en-GB"/>
        </w:rPr>
        <w:t>. 75.</w:t>
      </w:r>
    </w:p>
    <w:p w14:paraId="52E0FBAD" w14:textId="77777777" w:rsidR="00143D69" w:rsidRPr="00143D69" w:rsidRDefault="00143D69" w:rsidP="00143D69">
      <w:pPr>
        <w:pStyle w:val="Bibliography"/>
        <w:rPr>
          <w:rFonts w:ascii="Times New Roman" w:hAnsi="Times New Roman" w:cs="Times New Roman"/>
          <w:color w:val="000000"/>
          <w:sz w:val="24"/>
          <w:lang w:val="en-GB"/>
        </w:rPr>
      </w:pPr>
      <w:r w:rsidRPr="00143D69">
        <w:rPr>
          <w:rFonts w:ascii="Times New Roman" w:hAnsi="Times New Roman" w:cs="Times New Roman"/>
          <w:color w:val="000000"/>
          <w:sz w:val="24"/>
          <w:lang w:val="en-GB"/>
        </w:rPr>
        <w:t xml:space="preserve">Visser, S. N., Danielson, M. L., Bitsko, R. H., Holbrook, J. R., Kogan, M. D., Ghandour, R. M., Perou, R., &amp; Blumberg, S. J. (2014). Trends in the Parent-Report of Health Care Provider-Diagnosed and Medicated Attention-Deficit/Hyperactivity Disorder: United </w:t>
      </w:r>
      <w:r w:rsidRPr="00143D69">
        <w:rPr>
          <w:rFonts w:ascii="Times New Roman" w:hAnsi="Times New Roman" w:cs="Times New Roman"/>
          <w:color w:val="000000"/>
          <w:sz w:val="24"/>
          <w:lang w:val="en-GB"/>
        </w:rPr>
        <w:lastRenderedPageBreak/>
        <w:t xml:space="preserve">States, 2003–2011. </w:t>
      </w:r>
      <w:r w:rsidRPr="00143D69">
        <w:rPr>
          <w:rFonts w:ascii="Times New Roman" w:hAnsi="Times New Roman" w:cs="Times New Roman"/>
          <w:i/>
          <w:iCs/>
          <w:color w:val="000000"/>
          <w:sz w:val="24"/>
          <w:lang w:val="en-GB"/>
        </w:rPr>
        <w:t>Journal of the American Academy of Child &amp; Adolescent Psychiatry</w:t>
      </w:r>
      <w:r w:rsidRPr="00143D69">
        <w:rPr>
          <w:rFonts w:ascii="Times New Roman" w:hAnsi="Times New Roman" w:cs="Times New Roman"/>
          <w:color w:val="000000"/>
          <w:sz w:val="24"/>
          <w:lang w:val="en-GB"/>
        </w:rPr>
        <w:t xml:space="preserve">, </w:t>
      </w:r>
      <w:r w:rsidRPr="00143D69">
        <w:rPr>
          <w:rFonts w:ascii="Times New Roman" w:hAnsi="Times New Roman" w:cs="Times New Roman"/>
          <w:i/>
          <w:iCs/>
          <w:color w:val="000000"/>
          <w:sz w:val="24"/>
          <w:lang w:val="en-GB"/>
        </w:rPr>
        <w:t>53</w:t>
      </w:r>
      <w:r w:rsidRPr="00143D69">
        <w:rPr>
          <w:rFonts w:ascii="Times New Roman" w:hAnsi="Times New Roman" w:cs="Times New Roman"/>
          <w:color w:val="000000"/>
          <w:sz w:val="24"/>
          <w:lang w:val="en-GB"/>
        </w:rPr>
        <w:t>(1), 34-46.e2. https://doi.org/10.1016/j.jaac.2013.09.001</w:t>
      </w:r>
    </w:p>
    <w:p w14:paraId="1C23F34B" w14:textId="77777777" w:rsidR="00143D69" w:rsidRPr="00143D69" w:rsidRDefault="00143D69" w:rsidP="00143D69">
      <w:pPr>
        <w:pStyle w:val="Bibliography"/>
        <w:rPr>
          <w:rFonts w:ascii="Times New Roman" w:hAnsi="Times New Roman" w:cs="Times New Roman"/>
          <w:color w:val="000000"/>
          <w:sz w:val="24"/>
          <w:lang w:val="en-GB"/>
        </w:rPr>
      </w:pPr>
      <w:r w:rsidRPr="00143D69">
        <w:rPr>
          <w:rFonts w:ascii="Times New Roman" w:hAnsi="Times New Roman" w:cs="Times New Roman"/>
          <w:i/>
          <w:iCs/>
          <w:color w:val="000000"/>
          <w:sz w:val="24"/>
          <w:lang w:val="en-GB"/>
        </w:rPr>
        <w:t>What the U.S. (and Rest of the World) Should Know About Higher Education in China: Change: The Magazine of Higher Learning: Vol 51, No 3</w:t>
      </w:r>
      <w:r w:rsidRPr="00143D69">
        <w:rPr>
          <w:rFonts w:ascii="Times New Roman" w:hAnsi="Times New Roman" w:cs="Times New Roman"/>
          <w:color w:val="000000"/>
          <w:sz w:val="24"/>
          <w:lang w:val="en-GB"/>
        </w:rPr>
        <w:t>. (n.d.). Retrieved August 21, 2021, from https://www.tandfonline.com/doi/abs/10.1080/00091383.2019.1606571</w:t>
      </w:r>
    </w:p>
    <w:p w14:paraId="0750D927" w14:textId="24CD017E" w:rsidR="000A27CD" w:rsidRPr="003416CA" w:rsidRDefault="000A27CD" w:rsidP="007D3437">
      <w:pPr>
        <w:spacing w:line="240" w:lineRule="auto"/>
        <w:contextualSpacing/>
        <w:jc w:val="both"/>
        <w:rPr>
          <w:rFonts w:ascii="Times New Roman" w:eastAsia="Times New Roman" w:hAnsi="Times New Roman" w:cs="Times New Roman"/>
          <w:b/>
          <w:bCs/>
          <w:color w:val="000000" w:themeColor="text1"/>
          <w:sz w:val="24"/>
          <w:szCs w:val="24"/>
          <w:lang w:val="en"/>
        </w:rPr>
      </w:pPr>
      <w:r w:rsidRPr="1D0A6485">
        <w:rPr>
          <w:rFonts w:ascii="Times New Roman" w:eastAsia="Times New Roman" w:hAnsi="Times New Roman" w:cs="Times New Roman"/>
          <w:b/>
          <w:bCs/>
          <w:color w:val="000000" w:themeColor="text1"/>
          <w:sz w:val="24"/>
          <w:szCs w:val="24"/>
          <w:lang w:val="en"/>
        </w:rPr>
        <w:fldChar w:fldCharType="end"/>
      </w:r>
    </w:p>
    <w:sectPr w:rsidR="000A27CD" w:rsidRPr="003416CA">
      <w:footerReference w:type="even"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0CB7EA" w14:textId="77777777" w:rsidR="003470A8" w:rsidRDefault="003470A8" w:rsidP="00D61E2D">
      <w:pPr>
        <w:spacing w:after="0" w:line="240" w:lineRule="auto"/>
      </w:pPr>
      <w:r>
        <w:separator/>
      </w:r>
    </w:p>
  </w:endnote>
  <w:endnote w:type="continuationSeparator" w:id="0">
    <w:p w14:paraId="3BCB1F30" w14:textId="77777777" w:rsidR="003470A8" w:rsidRDefault="003470A8" w:rsidP="00D61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3355030"/>
      <w:docPartObj>
        <w:docPartGallery w:val="Page Numbers (Bottom of Page)"/>
        <w:docPartUnique/>
      </w:docPartObj>
    </w:sdtPr>
    <w:sdtEndPr>
      <w:rPr>
        <w:rStyle w:val="PageNumber"/>
      </w:rPr>
    </w:sdtEndPr>
    <w:sdtContent>
      <w:p w14:paraId="246CBD01" w14:textId="3AFFE364" w:rsidR="00D61E2D" w:rsidRDefault="00D61E2D" w:rsidP="00C23CD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44133CB" w14:textId="77777777" w:rsidR="00D61E2D" w:rsidRDefault="00D61E2D" w:rsidP="00D61E2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79683346"/>
      <w:docPartObj>
        <w:docPartGallery w:val="Page Numbers (Bottom of Page)"/>
        <w:docPartUnique/>
      </w:docPartObj>
    </w:sdtPr>
    <w:sdtEndPr>
      <w:rPr>
        <w:rStyle w:val="PageNumber"/>
      </w:rPr>
    </w:sdtEndPr>
    <w:sdtContent>
      <w:p w14:paraId="44E39713" w14:textId="6AD2EA55" w:rsidR="00D61E2D" w:rsidRDefault="00D61E2D" w:rsidP="00C23CD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50B12F7" w14:textId="77777777" w:rsidR="00D61E2D" w:rsidRDefault="00D61E2D" w:rsidP="00D61E2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C1D8DA" w14:textId="77777777" w:rsidR="003470A8" w:rsidRDefault="003470A8" w:rsidP="00D61E2D">
      <w:pPr>
        <w:spacing w:after="0" w:line="240" w:lineRule="auto"/>
      </w:pPr>
      <w:r>
        <w:separator/>
      </w:r>
    </w:p>
  </w:footnote>
  <w:footnote w:type="continuationSeparator" w:id="0">
    <w:p w14:paraId="32DB8F2C" w14:textId="77777777" w:rsidR="003470A8" w:rsidRDefault="003470A8" w:rsidP="00D61E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45397"/>
    <w:multiLevelType w:val="hybridMultilevel"/>
    <w:tmpl w:val="39386D44"/>
    <w:lvl w:ilvl="0" w:tplc="62B4FA80">
      <w:start w:val="1"/>
      <w:numFmt w:val="bullet"/>
      <w:lvlText w:val=""/>
      <w:lvlJc w:val="left"/>
      <w:pPr>
        <w:ind w:left="720" w:hanging="360"/>
      </w:pPr>
      <w:rPr>
        <w:rFonts w:ascii="Symbol" w:hAnsi="Symbol" w:hint="default"/>
      </w:rPr>
    </w:lvl>
    <w:lvl w:ilvl="1" w:tplc="B414D2A2">
      <w:start w:val="1"/>
      <w:numFmt w:val="bullet"/>
      <w:lvlText w:val="o"/>
      <w:lvlJc w:val="left"/>
      <w:pPr>
        <w:ind w:left="1440" w:hanging="360"/>
      </w:pPr>
      <w:rPr>
        <w:rFonts w:ascii="Courier New" w:hAnsi="Courier New" w:hint="default"/>
      </w:rPr>
    </w:lvl>
    <w:lvl w:ilvl="2" w:tplc="2F9A8090">
      <w:start w:val="1"/>
      <w:numFmt w:val="bullet"/>
      <w:lvlText w:val=""/>
      <w:lvlJc w:val="left"/>
      <w:pPr>
        <w:ind w:left="2160" w:hanging="360"/>
      </w:pPr>
      <w:rPr>
        <w:rFonts w:ascii="Wingdings" w:hAnsi="Wingdings" w:hint="default"/>
      </w:rPr>
    </w:lvl>
    <w:lvl w:ilvl="3" w:tplc="BC128F44">
      <w:start w:val="1"/>
      <w:numFmt w:val="bullet"/>
      <w:lvlText w:val=""/>
      <w:lvlJc w:val="left"/>
      <w:pPr>
        <w:ind w:left="2880" w:hanging="360"/>
      </w:pPr>
      <w:rPr>
        <w:rFonts w:ascii="Symbol" w:hAnsi="Symbol" w:hint="default"/>
      </w:rPr>
    </w:lvl>
    <w:lvl w:ilvl="4" w:tplc="A05424AC">
      <w:start w:val="1"/>
      <w:numFmt w:val="bullet"/>
      <w:lvlText w:val="o"/>
      <w:lvlJc w:val="left"/>
      <w:pPr>
        <w:ind w:left="3600" w:hanging="360"/>
      </w:pPr>
      <w:rPr>
        <w:rFonts w:ascii="Courier New" w:hAnsi="Courier New" w:hint="default"/>
      </w:rPr>
    </w:lvl>
    <w:lvl w:ilvl="5" w:tplc="43C40E74">
      <w:start w:val="1"/>
      <w:numFmt w:val="bullet"/>
      <w:lvlText w:val=""/>
      <w:lvlJc w:val="left"/>
      <w:pPr>
        <w:ind w:left="4320" w:hanging="360"/>
      </w:pPr>
      <w:rPr>
        <w:rFonts w:ascii="Wingdings" w:hAnsi="Wingdings" w:hint="default"/>
      </w:rPr>
    </w:lvl>
    <w:lvl w:ilvl="6" w:tplc="D2A0D7BA">
      <w:start w:val="1"/>
      <w:numFmt w:val="bullet"/>
      <w:lvlText w:val=""/>
      <w:lvlJc w:val="left"/>
      <w:pPr>
        <w:ind w:left="5040" w:hanging="360"/>
      </w:pPr>
      <w:rPr>
        <w:rFonts w:ascii="Symbol" w:hAnsi="Symbol" w:hint="default"/>
      </w:rPr>
    </w:lvl>
    <w:lvl w:ilvl="7" w:tplc="7794DCAE">
      <w:start w:val="1"/>
      <w:numFmt w:val="bullet"/>
      <w:lvlText w:val="o"/>
      <w:lvlJc w:val="left"/>
      <w:pPr>
        <w:ind w:left="5760" w:hanging="360"/>
      </w:pPr>
      <w:rPr>
        <w:rFonts w:ascii="Courier New" w:hAnsi="Courier New" w:hint="default"/>
      </w:rPr>
    </w:lvl>
    <w:lvl w:ilvl="8" w:tplc="9278AA56">
      <w:start w:val="1"/>
      <w:numFmt w:val="bullet"/>
      <w:lvlText w:val=""/>
      <w:lvlJc w:val="left"/>
      <w:pPr>
        <w:ind w:left="6480" w:hanging="360"/>
      </w:pPr>
      <w:rPr>
        <w:rFonts w:ascii="Wingdings" w:hAnsi="Wingdings" w:hint="default"/>
      </w:rPr>
    </w:lvl>
  </w:abstractNum>
  <w:abstractNum w:abstractNumId="1" w15:restartNumberingAfterBreak="0">
    <w:nsid w:val="18842556"/>
    <w:multiLevelType w:val="hybridMultilevel"/>
    <w:tmpl w:val="0A082800"/>
    <w:lvl w:ilvl="0" w:tplc="D714CD96">
      <w:start w:val="1"/>
      <w:numFmt w:val="bullet"/>
      <w:lvlText w:val=""/>
      <w:lvlJc w:val="left"/>
      <w:pPr>
        <w:ind w:left="720" w:hanging="360"/>
      </w:pPr>
      <w:rPr>
        <w:rFonts w:ascii="Symbol" w:hAnsi="Symbol" w:hint="default"/>
      </w:rPr>
    </w:lvl>
    <w:lvl w:ilvl="1" w:tplc="82E28F88">
      <w:start w:val="1"/>
      <w:numFmt w:val="bullet"/>
      <w:lvlText w:val="o"/>
      <w:lvlJc w:val="left"/>
      <w:pPr>
        <w:ind w:left="1440" w:hanging="360"/>
      </w:pPr>
      <w:rPr>
        <w:rFonts w:ascii="Courier New" w:hAnsi="Courier New" w:hint="default"/>
      </w:rPr>
    </w:lvl>
    <w:lvl w:ilvl="2" w:tplc="C37CFCEA">
      <w:start w:val="1"/>
      <w:numFmt w:val="bullet"/>
      <w:lvlText w:val=""/>
      <w:lvlJc w:val="left"/>
      <w:pPr>
        <w:ind w:left="2160" w:hanging="360"/>
      </w:pPr>
      <w:rPr>
        <w:rFonts w:ascii="Wingdings" w:hAnsi="Wingdings" w:hint="default"/>
      </w:rPr>
    </w:lvl>
    <w:lvl w:ilvl="3" w:tplc="50B4699A">
      <w:start w:val="1"/>
      <w:numFmt w:val="bullet"/>
      <w:lvlText w:val=""/>
      <w:lvlJc w:val="left"/>
      <w:pPr>
        <w:ind w:left="2880" w:hanging="360"/>
      </w:pPr>
      <w:rPr>
        <w:rFonts w:ascii="Symbol" w:hAnsi="Symbol" w:hint="default"/>
      </w:rPr>
    </w:lvl>
    <w:lvl w:ilvl="4" w:tplc="C0C03B34">
      <w:start w:val="1"/>
      <w:numFmt w:val="bullet"/>
      <w:lvlText w:val="o"/>
      <w:lvlJc w:val="left"/>
      <w:pPr>
        <w:ind w:left="3600" w:hanging="360"/>
      </w:pPr>
      <w:rPr>
        <w:rFonts w:ascii="Courier New" w:hAnsi="Courier New" w:hint="default"/>
      </w:rPr>
    </w:lvl>
    <w:lvl w:ilvl="5" w:tplc="B61AA008">
      <w:start w:val="1"/>
      <w:numFmt w:val="bullet"/>
      <w:lvlText w:val=""/>
      <w:lvlJc w:val="left"/>
      <w:pPr>
        <w:ind w:left="4320" w:hanging="360"/>
      </w:pPr>
      <w:rPr>
        <w:rFonts w:ascii="Wingdings" w:hAnsi="Wingdings" w:hint="default"/>
      </w:rPr>
    </w:lvl>
    <w:lvl w:ilvl="6" w:tplc="03C87EDC">
      <w:start w:val="1"/>
      <w:numFmt w:val="bullet"/>
      <w:lvlText w:val=""/>
      <w:lvlJc w:val="left"/>
      <w:pPr>
        <w:ind w:left="5040" w:hanging="360"/>
      </w:pPr>
      <w:rPr>
        <w:rFonts w:ascii="Symbol" w:hAnsi="Symbol" w:hint="default"/>
      </w:rPr>
    </w:lvl>
    <w:lvl w:ilvl="7" w:tplc="6240BA76">
      <w:start w:val="1"/>
      <w:numFmt w:val="bullet"/>
      <w:lvlText w:val="o"/>
      <w:lvlJc w:val="left"/>
      <w:pPr>
        <w:ind w:left="5760" w:hanging="360"/>
      </w:pPr>
      <w:rPr>
        <w:rFonts w:ascii="Courier New" w:hAnsi="Courier New" w:hint="default"/>
      </w:rPr>
    </w:lvl>
    <w:lvl w:ilvl="8" w:tplc="F4CA80DA">
      <w:start w:val="1"/>
      <w:numFmt w:val="bullet"/>
      <w:lvlText w:val=""/>
      <w:lvlJc w:val="left"/>
      <w:pPr>
        <w:ind w:left="6480" w:hanging="360"/>
      </w:pPr>
      <w:rPr>
        <w:rFonts w:ascii="Wingdings" w:hAnsi="Wingdings" w:hint="default"/>
      </w:rPr>
    </w:lvl>
  </w:abstractNum>
  <w:abstractNum w:abstractNumId="2" w15:restartNumberingAfterBreak="0">
    <w:nsid w:val="33C723B4"/>
    <w:multiLevelType w:val="hybridMultilevel"/>
    <w:tmpl w:val="B39E5D82"/>
    <w:lvl w:ilvl="0" w:tplc="C26E6E54">
      <w:start w:val="1"/>
      <w:numFmt w:val="bullet"/>
      <w:lvlText w:val=""/>
      <w:lvlJc w:val="left"/>
      <w:pPr>
        <w:ind w:left="720" w:hanging="360"/>
      </w:pPr>
      <w:rPr>
        <w:rFonts w:ascii="Symbol" w:hAnsi="Symbol" w:hint="default"/>
      </w:rPr>
    </w:lvl>
    <w:lvl w:ilvl="1" w:tplc="FEF0DBE4">
      <w:start w:val="1"/>
      <w:numFmt w:val="bullet"/>
      <w:lvlText w:val="o"/>
      <w:lvlJc w:val="left"/>
      <w:pPr>
        <w:ind w:left="1440" w:hanging="360"/>
      </w:pPr>
      <w:rPr>
        <w:rFonts w:ascii="Courier New" w:hAnsi="Courier New" w:hint="default"/>
      </w:rPr>
    </w:lvl>
    <w:lvl w:ilvl="2" w:tplc="61149626">
      <w:start w:val="1"/>
      <w:numFmt w:val="bullet"/>
      <w:lvlText w:val=""/>
      <w:lvlJc w:val="left"/>
      <w:pPr>
        <w:ind w:left="2160" w:hanging="360"/>
      </w:pPr>
      <w:rPr>
        <w:rFonts w:ascii="Wingdings" w:hAnsi="Wingdings" w:hint="default"/>
      </w:rPr>
    </w:lvl>
    <w:lvl w:ilvl="3" w:tplc="D68443EC">
      <w:start w:val="1"/>
      <w:numFmt w:val="bullet"/>
      <w:lvlText w:val=""/>
      <w:lvlJc w:val="left"/>
      <w:pPr>
        <w:ind w:left="2880" w:hanging="360"/>
      </w:pPr>
      <w:rPr>
        <w:rFonts w:ascii="Symbol" w:hAnsi="Symbol" w:hint="default"/>
      </w:rPr>
    </w:lvl>
    <w:lvl w:ilvl="4" w:tplc="0C348954">
      <w:start w:val="1"/>
      <w:numFmt w:val="bullet"/>
      <w:lvlText w:val="o"/>
      <w:lvlJc w:val="left"/>
      <w:pPr>
        <w:ind w:left="3600" w:hanging="360"/>
      </w:pPr>
      <w:rPr>
        <w:rFonts w:ascii="Courier New" w:hAnsi="Courier New" w:hint="default"/>
      </w:rPr>
    </w:lvl>
    <w:lvl w:ilvl="5" w:tplc="D5D8766A">
      <w:start w:val="1"/>
      <w:numFmt w:val="bullet"/>
      <w:lvlText w:val=""/>
      <w:lvlJc w:val="left"/>
      <w:pPr>
        <w:ind w:left="4320" w:hanging="360"/>
      </w:pPr>
      <w:rPr>
        <w:rFonts w:ascii="Wingdings" w:hAnsi="Wingdings" w:hint="default"/>
      </w:rPr>
    </w:lvl>
    <w:lvl w:ilvl="6" w:tplc="5DF8533A">
      <w:start w:val="1"/>
      <w:numFmt w:val="bullet"/>
      <w:lvlText w:val=""/>
      <w:lvlJc w:val="left"/>
      <w:pPr>
        <w:ind w:left="5040" w:hanging="360"/>
      </w:pPr>
      <w:rPr>
        <w:rFonts w:ascii="Symbol" w:hAnsi="Symbol" w:hint="default"/>
      </w:rPr>
    </w:lvl>
    <w:lvl w:ilvl="7" w:tplc="6E02B09C">
      <w:start w:val="1"/>
      <w:numFmt w:val="bullet"/>
      <w:lvlText w:val="o"/>
      <w:lvlJc w:val="left"/>
      <w:pPr>
        <w:ind w:left="5760" w:hanging="360"/>
      </w:pPr>
      <w:rPr>
        <w:rFonts w:ascii="Courier New" w:hAnsi="Courier New" w:hint="default"/>
      </w:rPr>
    </w:lvl>
    <w:lvl w:ilvl="8" w:tplc="C5F02E52">
      <w:start w:val="1"/>
      <w:numFmt w:val="bullet"/>
      <w:lvlText w:val=""/>
      <w:lvlJc w:val="left"/>
      <w:pPr>
        <w:ind w:left="6480" w:hanging="360"/>
      </w:pPr>
      <w:rPr>
        <w:rFonts w:ascii="Wingdings" w:hAnsi="Wingdings" w:hint="default"/>
      </w:rPr>
    </w:lvl>
  </w:abstractNum>
  <w:abstractNum w:abstractNumId="3" w15:restartNumberingAfterBreak="0">
    <w:nsid w:val="64C05747"/>
    <w:multiLevelType w:val="multilevel"/>
    <w:tmpl w:val="EE445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384556E"/>
    <w:multiLevelType w:val="hybridMultilevel"/>
    <w:tmpl w:val="4D0662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99D6402"/>
    <w:rsid w:val="00002B91"/>
    <w:rsid w:val="00026287"/>
    <w:rsid w:val="000360E3"/>
    <w:rsid w:val="000518C1"/>
    <w:rsid w:val="00055C57"/>
    <w:rsid w:val="00061234"/>
    <w:rsid w:val="00094100"/>
    <w:rsid w:val="000A27CD"/>
    <w:rsid w:val="00100EB2"/>
    <w:rsid w:val="00101609"/>
    <w:rsid w:val="00132F50"/>
    <w:rsid w:val="00143D69"/>
    <w:rsid w:val="00190848"/>
    <w:rsid w:val="001C141E"/>
    <w:rsid w:val="001E3935"/>
    <w:rsid w:val="002345C8"/>
    <w:rsid w:val="00265A79"/>
    <w:rsid w:val="002A25F1"/>
    <w:rsid w:val="002F3499"/>
    <w:rsid w:val="00307169"/>
    <w:rsid w:val="00335B83"/>
    <w:rsid w:val="003416CA"/>
    <w:rsid w:val="003470A8"/>
    <w:rsid w:val="00377228"/>
    <w:rsid w:val="00395369"/>
    <w:rsid w:val="003A4918"/>
    <w:rsid w:val="003A6899"/>
    <w:rsid w:val="003E46C5"/>
    <w:rsid w:val="003F4220"/>
    <w:rsid w:val="003F69F5"/>
    <w:rsid w:val="00433BFF"/>
    <w:rsid w:val="004570F2"/>
    <w:rsid w:val="004F03A2"/>
    <w:rsid w:val="00500D14"/>
    <w:rsid w:val="005104A4"/>
    <w:rsid w:val="00531A04"/>
    <w:rsid w:val="005A4197"/>
    <w:rsid w:val="005D0ED6"/>
    <w:rsid w:val="006001F8"/>
    <w:rsid w:val="00736893"/>
    <w:rsid w:val="00741F9E"/>
    <w:rsid w:val="00744B65"/>
    <w:rsid w:val="00747F71"/>
    <w:rsid w:val="00762861"/>
    <w:rsid w:val="007C3A5C"/>
    <w:rsid w:val="007D3437"/>
    <w:rsid w:val="007F635B"/>
    <w:rsid w:val="00800F00"/>
    <w:rsid w:val="00841757"/>
    <w:rsid w:val="00877FE3"/>
    <w:rsid w:val="008A390F"/>
    <w:rsid w:val="008B5966"/>
    <w:rsid w:val="008C6C0D"/>
    <w:rsid w:val="00951F19"/>
    <w:rsid w:val="0096529C"/>
    <w:rsid w:val="009A4213"/>
    <w:rsid w:val="00A4250E"/>
    <w:rsid w:val="00A44921"/>
    <w:rsid w:val="00A925E3"/>
    <w:rsid w:val="00AA27D5"/>
    <w:rsid w:val="00BE22AB"/>
    <w:rsid w:val="00BF581F"/>
    <w:rsid w:val="00C37C3D"/>
    <w:rsid w:val="00C5253D"/>
    <w:rsid w:val="00C97C35"/>
    <w:rsid w:val="00CC7EDA"/>
    <w:rsid w:val="00D077A9"/>
    <w:rsid w:val="00D61E2D"/>
    <w:rsid w:val="00D75045"/>
    <w:rsid w:val="00D8753D"/>
    <w:rsid w:val="00DA1842"/>
    <w:rsid w:val="00E04DDE"/>
    <w:rsid w:val="00E4595F"/>
    <w:rsid w:val="00E6050C"/>
    <w:rsid w:val="00EB087F"/>
    <w:rsid w:val="00EB4C27"/>
    <w:rsid w:val="00EC193F"/>
    <w:rsid w:val="00EC5526"/>
    <w:rsid w:val="00ED39BE"/>
    <w:rsid w:val="00ED4D22"/>
    <w:rsid w:val="00EF3B32"/>
    <w:rsid w:val="00EF4423"/>
    <w:rsid w:val="00F20DA4"/>
    <w:rsid w:val="00F56BC7"/>
    <w:rsid w:val="00FF019A"/>
    <w:rsid w:val="0D7ACBD8"/>
    <w:rsid w:val="1349DECD"/>
    <w:rsid w:val="1B7577B1"/>
    <w:rsid w:val="1D0A6485"/>
    <w:rsid w:val="3005DB5A"/>
    <w:rsid w:val="4031B14C"/>
    <w:rsid w:val="599D6402"/>
    <w:rsid w:val="7A900CF7"/>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AB6BB"/>
  <w15:chartTrackingRefBased/>
  <w15:docId w15:val="{31210ACA-D369-492D-B441-8FC8D4CF7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paragraph" w:styleId="ListParagraph">
    <w:name w:val="List Paragraph"/>
    <w:basedOn w:val="Normal"/>
    <w:uiPriority w:val="34"/>
    <w:qFormat/>
    <w:pPr>
      <w:ind w:left="720"/>
      <w:contextualSpacing/>
    </w:pPr>
  </w:style>
  <w:style w:type="paragraph" w:styleId="Footer">
    <w:name w:val="footer"/>
    <w:basedOn w:val="Normal"/>
    <w:link w:val="FooterChar"/>
    <w:uiPriority w:val="99"/>
    <w:unhideWhenUsed/>
    <w:rsid w:val="00D61E2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1E2D"/>
  </w:style>
  <w:style w:type="character" w:styleId="PageNumber">
    <w:name w:val="page number"/>
    <w:basedOn w:val="DefaultParagraphFont"/>
    <w:uiPriority w:val="99"/>
    <w:semiHidden/>
    <w:unhideWhenUsed/>
    <w:rsid w:val="00D61E2D"/>
  </w:style>
  <w:style w:type="paragraph" w:styleId="Bibliography">
    <w:name w:val="Bibliography"/>
    <w:basedOn w:val="Normal"/>
    <w:next w:val="Normal"/>
    <w:uiPriority w:val="37"/>
    <w:unhideWhenUsed/>
    <w:rsid w:val="000A27CD"/>
    <w:pPr>
      <w:spacing w:after="0" w:line="480" w:lineRule="auto"/>
      <w:ind w:left="720" w:hanging="720"/>
    </w:pPr>
  </w:style>
  <w:style w:type="character" w:styleId="FollowedHyperlink">
    <w:name w:val="FollowedHyperlink"/>
    <w:basedOn w:val="DefaultParagraphFont"/>
    <w:uiPriority w:val="99"/>
    <w:semiHidden/>
    <w:unhideWhenUsed/>
    <w:rsid w:val="00BE22AB"/>
    <w:rPr>
      <w:color w:val="954F72" w:themeColor="followedHyperlink"/>
      <w:u w:val="single"/>
    </w:rPr>
  </w:style>
  <w:style w:type="paragraph" w:styleId="NormalWeb">
    <w:name w:val="Normal (Web)"/>
    <w:basedOn w:val="Normal"/>
    <w:uiPriority w:val="99"/>
    <w:semiHidden/>
    <w:unhideWhenUsed/>
    <w:rsid w:val="00C37C3D"/>
    <w:pPr>
      <w:spacing w:before="100" w:beforeAutospacing="1" w:after="100" w:afterAutospacing="1" w:line="240" w:lineRule="auto"/>
    </w:pPr>
    <w:rPr>
      <w:rFonts w:ascii="Times New Roman" w:eastAsia="Times New Roman" w:hAnsi="Times New Roman" w:cs="Times New Roman"/>
      <w:sz w:val="24"/>
      <w:szCs w:val="24"/>
      <w:lang w:val="en-BD" w:eastAsia="en-GB" w:bidi="bn-BD"/>
    </w:rPr>
  </w:style>
  <w:style w:type="character" w:styleId="Strong">
    <w:name w:val="Strong"/>
    <w:basedOn w:val="DefaultParagraphFont"/>
    <w:uiPriority w:val="22"/>
    <w:qFormat/>
    <w:rsid w:val="00C37C3D"/>
    <w:rPr>
      <w:b/>
      <w:bCs/>
    </w:rPr>
  </w:style>
  <w:style w:type="character" w:styleId="UnresolvedMention">
    <w:name w:val="Unresolved Mention"/>
    <w:basedOn w:val="DefaultParagraphFont"/>
    <w:uiPriority w:val="99"/>
    <w:semiHidden/>
    <w:unhideWhenUsed/>
    <w:rsid w:val="003E46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764571">
      <w:bodyDiv w:val="1"/>
      <w:marLeft w:val="0"/>
      <w:marRight w:val="0"/>
      <w:marTop w:val="0"/>
      <w:marBottom w:val="0"/>
      <w:divBdr>
        <w:top w:val="none" w:sz="0" w:space="0" w:color="auto"/>
        <w:left w:val="none" w:sz="0" w:space="0" w:color="auto"/>
        <w:bottom w:val="none" w:sz="0" w:space="0" w:color="auto"/>
        <w:right w:val="none" w:sz="0" w:space="0" w:color="auto"/>
      </w:divBdr>
    </w:div>
    <w:div w:id="1075858137">
      <w:bodyDiv w:val="1"/>
      <w:marLeft w:val="0"/>
      <w:marRight w:val="0"/>
      <w:marTop w:val="0"/>
      <w:marBottom w:val="0"/>
      <w:divBdr>
        <w:top w:val="none" w:sz="0" w:space="0" w:color="auto"/>
        <w:left w:val="none" w:sz="0" w:space="0" w:color="auto"/>
        <w:bottom w:val="none" w:sz="0" w:space="0" w:color="auto"/>
        <w:right w:val="none" w:sz="0" w:space="0" w:color="auto"/>
      </w:divBdr>
    </w:div>
    <w:div w:id="1319188778">
      <w:bodyDiv w:val="1"/>
      <w:marLeft w:val="0"/>
      <w:marRight w:val="0"/>
      <w:marTop w:val="0"/>
      <w:marBottom w:val="0"/>
      <w:divBdr>
        <w:top w:val="none" w:sz="0" w:space="0" w:color="auto"/>
        <w:left w:val="none" w:sz="0" w:space="0" w:color="auto"/>
        <w:bottom w:val="none" w:sz="0" w:space="0" w:color="auto"/>
        <w:right w:val="none" w:sz="0" w:space="0" w:color="auto"/>
      </w:divBdr>
    </w:div>
    <w:div w:id="1807428363">
      <w:bodyDiv w:val="1"/>
      <w:marLeft w:val="0"/>
      <w:marRight w:val="0"/>
      <w:marTop w:val="0"/>
      <w:marBottom w:val="0"/>
      <w:divBdr>
        <w:top w:val="none" w:sz="0" w:space="0" w:color="auto"/>
        <w:left w:val="none" w:sz="0" w:space="0" w:color="auto"/>
        <w:bottom w:val="none" w:sz="0" w:space="0" w:color="auto"/>
        <w:right w:val="none" w:sz="0" w:space="0" w:color="auto"/>
      </w:divBdr>
    </w:div>
    <w:div w:id="1961689519">
      <w:bodyDiv w:val="1"/>
      <w:marLeft w:val="0"/>
      <w:marRight w:val="0"/>
      <w:marTop w:val="0"/>
      <w:marBottom w:val="0"/>
      <w:divBdr>
        <w:top w:val="none" w:sz="0" w:space="0" w:color="auto"/>
        <w:left w:val="none" w:sz="0" w:space="0" w:color="auto"/>
        <w:bottom w:val="none" w:sz="0" w:space="0" w:color="auto"/>
        <w:right w:val="none" w:sz="0" w:space="0" w:color="auto"/>
      </w:divBdr>
    </w:div>
    <w:div w:id="2036999985">
      <w:bodyDiv w:val="1"/>
      <w:marLeft w:val="0"/>
      <w:marRight w:val="0"/>
      <w:marTop w:val="0"/>
      <w:marBottom w:val="0"/>
      <w:divBdr>
        <w:top w:val="none" w:sz="0" w:space="0" w:color="auto"/>
        <w:left w:val="none" w:sz="0" w:space="0" w:color="auto"/>
        <w:bottom w:val="none" w:sz="0" w:space="0" w:color="auto"/>
        <w:right w:val="none" w:sz="0" w:space="0" w:color="auto"/>
      </w:divBdr>
    </w:div>
    <w:div w:id="2066179372">
      <w:bodyDiv w:val="1"/>
      <w:marLeft w:val="0"/>
      <w:marRight w:val="0"/>
      <w:marTop w:val="0"/>
      <w:marBottom w:val="0"/>
      <w:divBdr>
        <w:top w:val="none" w:sz="0" w:space="0" w:color="auto"/>
        <w:left w:val="none" w:sz="0" w:space="0" w:color="auto"/>
        <w:bottom w:val="none" w:sz="0" w:space="0" w:color="auto"/>
        <w:right w:val="none" w:sz="0" w:space="0" w:color="auto"/>
      </w:divBdr>
    </w:div>
    <w:div w:id="2125299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8EDD6CA-F13C-7B40-92B3-7430FAA182D3}">
  <we:reference id="wa200001011" version="1.2.0.0" store="en-US" storeType="OMEX"/>
  <we:alternateReferences>
    <we:reference id="WA200001011" version="1.2.0.0" store=""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0</TotalTime>
  <Pages>19</Pages>
  <Words>10060</Words>
  <Characters>57348</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Mahadi Hasan</dc:creator>
  <cp:keywords/>
  <dc:description/>
  <cp:lastModifiedBy>Md. Abul Kalam Azad</cp:lastModifiedBy>
  <cp:revision>2</cp:revision>
  <dcterms:created xsi:type="dcterms:W3CDTF">2021-08-26T10:18:00Z</dcterms:created>
  <dcterms:modified xsi:type="dcterms:W3CDTF">2021-08-26T10:18:00Z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zotero-version="5.0.96.2"&gt;&lt;session id="SGuBB1lu"/&gt;&lt;style id="http://www.zotero.org/styles/apa" locale="en-US" hasBibliography="1" bibliographyStyleHasBeenSet="1"/&gt;&lt;prefs&gt;&lt;pref name="fieldType" value="Field"/&gt;&lt;pref name="automaticJou</vt:lpwstr>
  </property>
  <property fmtid="{D5CDD505-2E9C-101B-9397-08002B2CF9AE}" pid="3" name="ZOTERO_PREF_2">
    <vt:lpwstr>rnalAbbreviations" value="true"/&gt;&lt;/prefs&gt;&lt;/data&gt;</vt:lpwstr>
  </property>
  <property fmtid="{D5CDD505-2E9C-101B-9397-08002B2CF9AE}" pid="4" name="grammarly_documentId">
    <vt:lpwstr>documentId_4976</vt:lpwstr>
  </property>
  <property fmtid="{D5CDD505-2E9C-101B-9397-08002B2CF9AE}" pid="5" name="grammarly_documentContext">
    <vt:lpwstr>{"goals":["describe"],"domain":"academic","emotions":["analytical"],"dialect":"american","style":"formal"}</vt:lpwstr>
  </property>
</Properties>
</file>